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95250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37" w:lineRule="exact"/>
        <w:rPr>
          <w:rFonts w:ascii="MS PGothic" w:cs="MS PGothic" w:eastAsia="MS PGothic" w:hAnsi="MS PGothic"/>
          <w:sz w:val="19"/>
          <w:szCs w:val="19"/>
          <w:color w:val="auto"/>
        </w:rPr>
      </w:pPr>
    </w:p>
    <w:p>
      <w:pPr>
        <w:ind w:left="3900"/>
        <w:spacing w:after="0"/>
        <w:rPr>
          <w:rFonts w:ascii="MS PGothic" w:cs="MS PGothic" w:eastAsia="MS PGothic" w:hAnsi="MS PGothic"/>
          <w:sz w:val="19"/>
          <w:szCs w:val="19"/>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2" w:lineRule="exact"/>
        <w:rPr>
          <w:rFonts w:ascii="MS PGothic" w:cs="MS PGothic" w:eastAsia="MS PGothic" w:hAnsi="MS PGothic"/>
          <w:sz w:val="19"/>
          <w:szCs w:val="19"/>
          <w:color w:val="auto"/>
        </w:rPr>
      </w:pPr>
    </w:p>
    <w:p>
      <w:pPr>
        <w:ind w:left="5620"/>
        <w:spacing w:after="0"/>
        <w:rPr>
          <w:rFonts w:ascii="MS PGothic" w:cs="MS PGothic" w:eastAsia="MS PGothic" w:hAnsi="MS PGothic"/>
          <w:sz w:val="19"/>
          <w:szCs w:val="19"/>
          <w:color w:val="auto"/>
        </w:rPr>
      </w:pPr>
      <w:r>
        <w:rPr>
          <w:rFonts w:ascii="Times New Roman" w:cs="Times New Roman" w:eastAsia="Times New Roman" w:hAnsi="Times New Roman"/>
          <w:sz w:val="20"/>
          <w:szCs w:val="20"/>
          <w:b w:val="1"/>
          <w:bCs w:val="1"/>
          <w:color w:val="auto"/>
        </w:rPr>
        <w:t>or</w:t>
      </w:r>
    </w:p>
    <w:p>
      <w:pPr>
        <w:spacing w:after="0" w:line="10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REPORTS PURSUANT TO SECTION 13 OR 15(d) OF THE SECURITIES EXCHANGE ACT OF 1934</w:t>
      </w:r>
    </w:p>
    <w:p>
      <w:pPr>
        <w:spacing w:after="0" w:line="137" w:lineRule="exact"/>
        <w:rPr>
          <w:sz w:val="24"/>
          <w:szCs w:val="24"/>
          <w:color w:val="auto"/>
        </w:rPr>
      </w:pPr>
    </w:p>
    <w:p>
      <w:pPr>
        <w:ind w:left="41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Commission File Number: 0-24006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NEKTAR THERAPEUTICS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p>
      <w:pPr>
        <w:spacing w:after="0" w:line="215"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94-3134940</w:t>
      </w:r>
    </w:p>
    <w:p>
      <w:pPr>
        <w:spacing w:after="0" w:line="34" w:lineRule="exact"/>
        <w:rPr>
          <w:sz w:val="24"/>
          <w:szCs w:val="24"/>
          <w:color w:val="auto"/>
        </w:rPr>
      </w:pPr>
    </w:p>
    <w:p>
      <w:pPr>
        <w:sectPr>
          <w:pgSz w:w="11900" w:h="16838" w:orient="portrait"/>
          <w:cols w:equalWidth="0" w:num="2">
            <w:col w:w="7460" w:space="720"/>
            <w:col w:w="3240"/>
          </w:cols>
          <w:pgMar w:left="240" w:top="786" w:right="2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sectPr>
          <w:pgSz w:w="11900" w:h="16838" w:orient="portrait"/>
          <w:cols w:equalWidth="0" w:num="2">
            <w:col w:w="7340" w:space="720"/>
            <w:col w:w="3360"/>
          </w:cols>
          <w:pgMar w:left="240" w:top="78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455 Mission Bay Boulevard South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415-482-5300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420"/>
          </w:cols>
          <w:pgMar w:left="240" w:top="786" w:right="239" w:bottom="1440" w:gutter="0" w:footer="0" w:header="0"/>
          <w:type w:val="continuous"/>
        </w:sectPr>
      </w:pPr>
    </w:p>
    <w:p>
      <w:pPr>
        <w:spacing w:after="0" w:line="84" w:lineRule="exact"/>
        <w:rPr>
          <w:sz w:val="24"/>
          <w:szCs w:val="24"/>
          <w:color w:val="auto"/>
        </w:rPr>
      </w:pPr>
    </w:p>
    <w:p>
      <w:pPr>
        <w:ind w:right="2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70" w:lineRule="exact"/>
        <w:rPr>
          <w:sz w:val="24"/>
          <w:szCs w:val="24"/>
          <w:color w:val="auto"/>
        </w:rPr>
      </w:pPr>
    </w:p>
    <w:p>
      <w:pPr>
        <w:jc w:val="both"/>
        <w:ind w:right="4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04"/>
        </w:trPr>
        <w:tc>
          <w:tcPr>
            <w:tcW w:w="1180" w:type="dxa"/>
            <w:vAlign w:val="bottom"/>
            <w:tcBorders>
              <w:top w:val="single" w:sz="8" w:color="auto"/>
              <w:right w:val="single" w:sz="8" w:color="auto"/>
            </w:tcBorders>
          </w:tcPr>
          <w:p>
            <w:pPr>
              <w:spacing w:after="0"/>
              <w:rPr>
                <w:sz w:val="24"/>
                <w:szCs w:val="24"/>
                <w:color w:val="auto"/>
              </w:rPr>
            </w:pP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1120" w:type="dxa"/>
            <w:vAlign w:val="bottom"/>
            <w:tcBorders>
              <w:top w:val="single" w:sz="8" w:color="auto"/>
            </w:tcBorders>
          </w:tcPr>
          <w:p>
            <w:pPr>
              <w:spacing w:after="0"/>
              <w:rPr>
                <w:sz w:val="24"/>
                <w:szCs w:val="24"/>
                <w:color w:val="auto"/>
              </w:rPr>
            </w:pPr>
          </w:p>
        </w:tc>
      </w:tr>
      <w:tr>
        <w:trPr>
          <w:trHeight w:val="277"/>
        </w:trPr>
        <w:tc>
          <w:tcPr>
            <w:tcW w:w="1180" w:type="dxa"/>
            <w:vAlign w:val="bottom"/>
            <w:tcBorders>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NKTR</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1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$0.0001 par value, was 174,306,995 on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80" w:type="dxa"/>
            <w:vAlign w:val="bottom"/>
            <w:tcBorders>
              <w:bottom w:val="single" w:sz="8" w:color="0000EE"/>
            </w:tcBorders>
            <w:gridSpan w:val="9"/>
          </w:tcPr>
          <w:p>
            <w:pPr>
              <w:jc w:val="cente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2780" w:type="dxa"/>
            <w:vAlign w:val="bottom"/>
            <w:gridSpan w:val="4"/>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49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Condensed Consolidated Financial Statements — Unaudited:</w:t>
              </w:r>
            </w:hyperlink>
          </w:p>
        </w:tc>
        <w:tc>
          <w:tcPr>
            <w:tcW w:w="506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80" w:type="dxa"/>
            <w:vAlign w:val="bottom"/>
          </w:tcPr>
          <w:p>
            <w:pPr>
              <w:spacing w:after="0"/>
              <w:rPr>
                <w:sz w:val="17"/>
                <w:szCs w:val="17"/>
                <w:color w:val="auto"/>
              </w:rPr>
            </w:pPr>
          </w:p>
        </w:tc>
        <w:tc>
          <w:tcPr>
            <w:tcW w:w="6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 March 31, 2019 and December 31, 2018</w:t>
              </w:r>
            </w:hyperlink>
          </w:p>
        </w:tc>
        <w:tc>
          <w:tcPr>
            <w:tcW w:w="334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80" w:type="dxa"/>
            <w:vAlign w:val="bottom"/>
          </w:tcPr>
          <w:p>
            <w:pPr>
              <w:spacing w:after="0"/>
              <w:rPr>
                <w:sz w:val="17"/>
                <w:szCs w:val="17"/>
                <w:color w:val="auto"/>
              </w:rPr>
            </w:pPr>
          </w:p>
        </w:tc>
        <w:tc>
          <w:tcPr>
            <w:tcW w:w="7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months ended March 31, 2019 and 2018</w:t>
              </w:r>
            </w:hyperlink>
          </w:p>
        </w:tc>
        <w:tc>
          <w:tcPr>
            <w:tcW w:w="192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80" w:type="dxa"/>
            <w:vAlign w:val="bottom"/>
          </w:tcPr>
          <w:p>
            <w:pPr>
              <w:spacing w:after="0"/>
              <w:rPr>
                <w:sz w:val="17"/>
                <w:szCs w:val="17"/>
                <w:color w:val="auto"/>
              </w:rPr>
            </w:pPr>
          </w:p>
        </w:tc>
        <w:tc>
          <w:tcPr>
            <w:tcW w:w="8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for the three months ended March 31, 2019 and 2018</w:t>
              </w:r>
            </w:hyperlink>
          </w:p>
        </w:tc>
        <w:tc>
          <w:tcPr>
            <w:tcW w:w="12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80" w:type="dxa"/>
            <w:vAlign w:val="bottom"/>
          </w:tcPr>
          <w:p>
            <w:pPr>
              <w:spacing w:after="0"/>
              <w:rPr>
                <w:sz w:val="17"/>
                <w:szCs w:val="17"/>
                <w:color w:val="auto"/>
              </w:rPr>
            </w:pPr>
          </w:p>
        </w:tc>
        <w:tc>
          <w:tcPr>
            <w:tcW w:w="9460" w:type="dxa"/>
            <w:vAlign w:val="bottom"/>
            <w:gridSpan w:val="2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for the three months ended March 31, 2019 and 2018</w:t>
              </w:r>
            </w:hyperlink>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80" w:type="dxa"/>
            <w:vAlign w:val="bottom"/>
          </w:tcPr>
          <w:p>
            <w:pPr>
              <w:spacing w:after="0"/>
              <w:rPr>
                <w:sz w:val="17"/>
                <w:szCs w:val="17"/>
                <w:color w:val="auto"/>
              </w:rPr>
            </w:pPr>
          </w:p>
        </w:tc>
        <w:tc>
          <w:tcPr>
            <w:tcW w:w="82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12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580" w:type="dxa"/>
            <w:vAlign w:val="bottom"/>
            <w:tcBorders>
              <w:top w:val="single" w:sz="8" w:color="0000EE"/>
            </w:tcBorders>
            <w:gridSpan w:val="9"/>
          </w:tcPr>
          <w:p>
            <w:pPr>
              <w:spacing w:after="0"/>
              <w:rPr>
                <w:sz w:val="17"/>
                <w:szCs w:val="17"/>
                <w:color w:val="auto"/>
              </w:rPr>
            </w:pPr>
          </w:p>
        </w:tc>
        <w:tc>
          <w:tcPr>
            <w:tcW w:w="18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0040" w:type="dxa"/>
            <w:vAlign w:val="bottom"/>
            <w:gridSpan w:val="2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9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02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040" w:type="dxa"/>
            <w:vAlign w:val="bottom"/>
            <w:gridSpan w:val="22"/>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Controls and Procedures</w:t>
              </w:r>
            </w:hyperlink>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318"/>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12"/>
          </w:tcPr>
          <w:p>
            <w:pPr>
              <w:jc w:val="center"/>
              <w:ind w:right="2940"/>
              <w:spacing w:after="0"/>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PART II: OTHER INFORMATION</w:t>
              </w:r>
            </w:hyperlink>
          </w:p>
        </w:tc>
        <w:tc>
          <w:tcPr>
            <w:tcW w:w="1400" w:type="dxa"/>
            <w:vAlign w:val="bottom"/>
          </w:tcPr>
          <w:p>
            <w:pPr>
              <w:spacing w:after="0"/>
              <w:rPr>
                <w:sz w:val="24"/>
                <w:szCs w:val="24"/>
                <w:color w:val="auto"/>
              </w:rPr>
            </w:pPr>
          </w:p>
        </w:tc>
      </w:tr>
      <w:tr>
        <w:trPr>
          <w:trHeight w:val="196"/>
        </w:trPr>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1. Legal Proceedings</w:t>
              </w:r>
            </w:hyperlink>
          </w:p>
        </w:tc>
        <w:tc>
          <w:tcPr>
            <w:tcW w:w="2420" w:type="dxa"/>
            <w:vAlign w:val="bottom"/>
            <w:gridSpan w:val="4"/>
          </w:tcPr>
          <w:p>
            <w:pPr>
              <w:spacing w:after="0"/>
              <w:rPr>
                <w:sz w:val="17"/>
                <w:szCs w:val="17"/>
                <w:color w:val="auto"/>
              </w:rPr>
            </w:pPr>
          </w:p>
        </w:tc>
        <w:tc>
          <w:tcPr>
            <w:tcW w:w="2780" w:type="dxa"/>
            <w:vAlign w:val="bottom"/>
            <w:tcBorders>
              <w:top w:val="single" w:sz="8" w:color="0000EE"/>
            </w:tcBorders>
            <w:gridSpan w:val="7"/>
          </w:tcPr>
          <w:p>
            <w:pPr>
              <w:spacing w:after="0"/>
              <w:rPr>
                <w:sz w:val="17"/>
                <w:szCs w:val="17"/>
                <w:color w:val="auto"/>
              </w:rPr>
            </w:pPr>
          </w:p>
        </w:tc>
        <w:tc>
          <w:tcPr>
            <w:tcW w:w="294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1A. Risk Factors</w:t>
              </w:r>
            </w:hyperlink>
          </w:p>
        </w:tc>
        <w:tc>
          <w:tcPr>
            <w:tcW w:w="8440" w:type="dxa"/>
            <w:vAlign w:val="bottom"/>
            <w:gridSpan w:val="1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4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2. Unregistered Sales of Equity Securities and Use of Proceeds</w:t>
              </w:r>
            </w:hyperlink>
          </w:p>
        </w:tc>
        <w:tc>
          <w:tcPr>
            <w:tcW w:w="5120" w:type="dxa"/>
            <w:vAlign w:val="bottom"/>
            <w:gridSpan w:val="1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040" w:type="dxa"/>
            <w:vAlign w:val="bottom"/>
            <w:gridSpan w:val="22"/>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3. Defaults Upon Senior Securities</w:t>
              </w:r>
            </w:hyperlink>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23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17"/>
                <w:szCs w:val="17"/>
                <w:color w:val="auto"/>
              </w:rPr>
            </w:pPr>
          </w:p>
        </w:tc>
        <w:tc>
          <w:tcPr>
            <w:tcW w:w="7160" w:type="dxa"/>
            <w:vAlign w:val="bottom"/>
            <w:gridSpan w:val="1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5. Other Information</w:t>
              </w:r>
            </w:hyperlink>
          </w:p>
        </w:tc>
        <w:tc>
          <w:tcPr>
            <w:tcW w:w="8160" w:type="dxa"/>
            <w:vAlign w:val="bottom"/>
            <w:gridSpan w:val="1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0040" w:type="dxa"/>
            <w:vAlign w:val="bottom"/>
            <w:gridSpan w:val="22"/>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6. Exhibits</w:t>
              </w:r>
            </w:hyperlink>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1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Signatures</w:t>
              </w:r>
            </w:hyperlink>
          </w:p>
        </w:tc>
        <w:tc>
          <w:tcPr>
            <w:tcW w:w="8880" w:type="dxa"/>
            <w:vAlign w:val="bottom"/>
            <w:gridSpan w:val="1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669"/>
        </w:trPr>
        <w:tc>
          <w:tcPr>
            <w:tcW w:w="760" w:type="dxa"/>
            <w:vAlign w:val="bottom"/>
            <w:tcBorders>
              <w:top w:val="single" w:sz="8" w:color="0000EE"/>
            </w:tcBorders>
            <w:gridSpan w:val="2"/>
          </w:tcPr>
          <w:p>
            <w:pPr>
              <w:spacing w:after="0"/>
              <w:rPr>
                <w:sz w:val="24"/>
                <w:szCs w:val="24"/>
                <w:color w:val="auto"/>
              </w:rPr>
            </w:pPr>
          </w:p>
        </w:tc>
        <w:tc>
          <w:tcPr>
            <w:tcW w:w="5940" w:type="dxa"/>
            <w:vAlign w:val="bottom"/>
            <w:gridSpan w:val="13"/>
          </w:tcPr>
          <w:p>
            <w:pPr>
              <w:jc w:val="center"/>
              <w:ind w:left="387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(Securities Act), and Section 21E of the Securities Exchange Act of 1934, as amended (Exchange Act). All statements other than statements of historical fact are “forward-looking statements” for purposes of this quarterly report on Form 10-Q,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regarding potential future financing alternatives, any statements concerning proposed drug candidates,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timing of commercial launches and product sales levels by our collaboration partners and future payments that may come due to us under these arrangements,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quarterly report on Form 10-Q, the “Company,” “Nektar,” “we,” “us,” and “our” refer to Nektar Therapeutics, a Delaware corporation, and, where appropriate, its subsidiaries.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Condensed Consolidated Financial Statements—Unaudited: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106,752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Advance payments to contract manufacturers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1,490,114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2,166,482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2,150,172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notes,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 xml:space="preserve">Preferred stock, </w:t>
            </w:r>
            <w:r>
              <w:rPr>
                <w:rFonts w:ascii="Times New Roman" w:cs="Times New Roman" w:eastAsia="Times New Roman" w:hAnsi="Times New Roman"/>
                <w:sz w:val="14"/>
                <w:szCs w:val="14"/>
                <w:color w:val="auto"/>
              </w:rPr>
              <w:t>$0.0001 par value; 10,000 shares authorized; no shares designated or outstanding at March 31, 2019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or December 31, 2018</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14"/>
                <w:szCs w:val="14"/>
                <w:color w:val="auto"/>
              </w:rPr>
              <w:t>$0.0001 par value; 300,000 shares authorized; 174,228 shares and 173,530 shares outstanding at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6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March 31, 2019 and December 31, 2018, respectively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3,178,773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(1,542,563)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(1,424,051)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1,633,511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2,166,482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2,150,172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40" w:type="dxa"/>
            <w:vAlign w:val="bottom"/>
          </w:tcPr>
          <w:p>
            <w:pPr>
              <w:spacing w:after="0"/>
              <w:rPr>
                <w:sz w:val="19"/>
                <w:szCs w:val="19"/>
                <w:color w:val="auto"/>
              </w:rPr>
            </w:pP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148,909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124,757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(120,687)</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(6,065)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(118,512)</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basic and diluted net loss per share</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173,859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160,884</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9860" w:type="dxa"/>
            <w:vAlign w:val="bottom"/>
            <w:gridSpan w:val="5"/>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LOSS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6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(114,912)</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(96,477)</w:t>
            </w: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2"/>
                <w:szCs w:val="12"/>
                <w:color w:val="auto"/>
              </w:rPr>
            </w:pPr>
          </w:p>
        </w:tc>
        <w:tc>
          <w:tcPr>
            <w:tcW w:w="110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159,524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2,207,865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 (2,117,941)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equity compensation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Adoption of new accounting standards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(95,792)</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2,262,219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 (2,201,156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3,147,925</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(6,316)</w:t>
            </w: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(1,424,051)</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equity compensation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(118,512)</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(118,512)</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3,178,773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(1,542,563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6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(118,512)</w:t>
            </w: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(95,792)</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(8,230)</w:t>
            </w: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(6,920)</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discounts, net and other non-cash transactions</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(4,303)</w:t>
            </w: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(397)</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accrued expenses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(4,204)</w:t>
            </w:r>
          </w:p>
        </w:tc>
        <w:tc>
          <w:tcPr>
            <w:tcW w:w="10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(80,895)</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(368,739)</w:t>
            </w:r>
          </w:p>
        </w:tc>
        <w:tc>
          <w:tcPr>
            <w:tcW w:w="10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362,249</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of investments</w:t>
            </w: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(5,648)</w:t>
            </w:r>
          </w:p>
        </w:tc>
        <w:tc>
          <w:tcPr>
            <w:tcW w:w="10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34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w:t>
            </w:r>
          </w:p>
        </w:tc>
        <w:tc>
          <w:tcPr>
            <w:tcW w:w="1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(88,153)</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194,905</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106,752</w:t>
            </w:r>
          </w:p>
        </w:tc>
        <w:tc>
          <w:tcPr>
            <w:tcW w:w="3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12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are a research-based biopharmaceutical company headquartered in San Francisco, California and incorporated in Delaware. We are developing a pipeline of drug candidates that utilize our advanced polymer conjugate technology platforms, which are designed to enable the development of new molecular entities that target known mechanisms of action. Our research and development pipeline of new investigational drugs includes treatments for cancer, autoimmune disease and chronic pain.</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March 31, 2019, we had approximately $1.8 billion in cash and investments in marketable securities and debt of $250.0 million in principal of senior secured notes due in October 2020.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position, results of operations and cash flows of our wholly-owned subsidiaries: Nektar Therapeutics (India) Private Limited (Nektar India), Inheris Pharmaceuticals, Inc. and Nektar Therapeutics UK Limited. All intercompany accounts and transactions have been eliminated in consolidation.</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prepared our Condensed Consolidated Financial Statements following the requirements of the Securities and Exchange Commission (SEC) for interim reporting. As permitted under those rules, certain footnotes or other financial information that are normally required by U.S. generally accepted accounting principles (GAAP) for annual periods can be condensed or omitted. In the opinion of management, these financial statements include all normal and recurring adjustments that we consider necessary for the fair presentation of our financial position and operating results.</w:t>
      </w:r>
    </w:p>
    <w:p>
      <w:pPr>
        <w:spacing w:after="0" w:line="180" w:lineRule="exact"/>
        <w:rPr>
          <w:sz w:val="20"/>
          <w:szCs w:val="20"/>
          <w:color w:val="auto"/>
        </w:rPr>
      </w:pPr>
    </w:p>
    <w:p>
      <w:pPr>
        <w:ind w:right="260" w:firstLine="518"/>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Translation gains and losses are included in accumulated other comprehensive loss in the stockholders’ equity section of the Condensed Consolidated Balance Sheets. To date, such cumulative currency translation adjustments have not been significant to our consolidated financial position.</w:t>
      </w:r>
    </w:p>
    <w:p>
      <w:pPr>
        <w:spacing w:after="0" w:line="184"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and unrealized holding gains and losses on available-for-sale securities, neither of which were significant during the three months ended March 31, 2019 and 2018. In addition, there were no significant reclassifications out of accumulated other comprehensive loss to the statements of operations during the three months ended March 31, 2019 and 2018.</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The Condensed Consolidated Balance Sheet data as of December 31, 2018 was derived from the audited consolidated financial statements which are included in our Annual Report on Form 10-K for the year ended December 31, 2018 filed with the SEC on March 1, 2019. The information included in this Quarterly Report on Form 10-Q should be read in conjunction with the consolidated financial statements and the accompanying notes to those financial statements included in our Annual Report on Form 10-K for the year ended December 31, 2018.</w:t>
      </w:r>
    </w:p>
    <w:p>
      <w:pPr>
        <w:spacing w:after="0" w:line="184"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Revenue, expenses, assets, and liabilities can vary during each quarter of the year. The results and trends in these interim Condensed Consolidated Financial Statements are not necessarily indicative of the results to be expected for the full year or any other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Actual results could differ materially from those estimates and assumptions. Our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right="40"/>
        <w:spacing w:after="0" w:line="255" w:lineRule="auto"/>
        <w:rPr>
          <w:sz w:val="20"/>
          <w:szCs w:val="20"/>
          <w:color w:val="auto"/>
        </w:rPr>
      </w:pPr>
      <w:r>
        <w:rPr>
          <w:rFonts w:ascii="Times New Roman" w:cs="Times New Roman" w:eastAsia="Times New Roman" w:hAnsi="Times New Roman"/>
          <w:sz w:val="18"/>
          <w:szCs w:val="18"/>
          <w:color w:val="auto"/>
        </w:rPr>
        <w:t>include those related to estimated selling prices of performance obligations and estimates of variable consideration in collaboration agreements, estimated royalty revenue, other estimates required for revenue recognition as described further below, the net realizable value of inventory, the impairment of investments, goodwill and long-lived assets, contingencies, accrued clinical trial, contract manufacturing and other expenses, estimated non-cash royalty revenue and non-cash interest expense from our liability related to our sale of future royalties, stock-based compensation, and ongoing litigation, among other estimates. We base our estimates on historical experience and on other assumptions that management believes are reasonable under the circumstances. These estimates form the basis for making judgments about the carrying values of assets and liabilities when these values are not readily apparent from other sources. As appropriate, estimates are assessed each period and updated to reflect current information and any changes in estimates will generally be reflected in the period first identified.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period presentation. Such reclassifications do not materially impact previously reported revenue, operating loss, net loss, total assets, liabilities or stockholders’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operate in one business segment which focuses on applying our technology platform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customers are primarily pharmaceutical and biotechnology companies that are located in the U.S. and Europe and with whom we have multi-year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Our accounts receivable balance contains billed and unbilled trade receivables from product sales, milestones, other contingent payments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as well as reimbursable costs from collaborative research and development agreements. As of March 31, 2019, our accounts receivable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million from contracts with customers and $28.4 million for net expense reimbursements from our collaboration partner. As of December 31, 2018,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includes $24.2 million from contracts with customers and $19.0 million for expense reimbursements from our collaboration partner.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do not require collateral from our customers. We perform a regular review of our customers’ credit risk and payment histories, including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after period-end. When appropriate, we provide for an allowance for doubtful accounts by reserving for specifically identified doubtful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historically we have not experienced credit losses from our accounts receivable.</w:t>
      </w:r>
    </w:p>
    <w:p>
      <w:pPr>
        <w:spacing w:after="0" w:line="207"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Consequently, in the event that supplies are delayed or interrupted for any reason, our ability to develop and produce our drug candidates or our ability to meet our supply obligations could be significantly impaired,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Principle</w:t>
      </w:r>
    </w:p>
    <w:p>
      <w:pPr>
        <w:spacing w:after="0" w:line="227"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On January 1, 2019, we adopted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ASC 842 supersedes the guidance in ASC 840,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840). Under ASC 842, an entity recognizes a right-of-use asset and a corresponding lease liability, measured as the present value of the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for leases with terms greater than one year. In our adoption, we used the package of practical expedients, which among other things, allowed us to carry forward the historical lease classification of those leases in effect as of January 1, 2019. We present results for the three months ended March 31, 2019 under ASC 842. We have not restated the results for the three months ended March 31, 2018 and continue to report them under ASC 840.</w:t>
      </w:r>
    </w:p>
    <w:p>
      <w:pPr>
        <w:spacing w:after="0" w:line="182"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As a result of the adoption of ASC 842 on January 1, 2019, we recorded right-of-use assets of $83.5 million and lease liabilities of $96.2 million with no cumulative effect adjustment to accumulated deficit. Our lease arrangements are further described in Note 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2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We enter into collaboration arrangements with pharmaceutical and biotechnology collaboration partners, under which we may grant licenses to our collaboration partners to further develop and commercialize one of our proprietary drug candidates, either alone or in combination with the collaboration partners’ compounds, or grant licenses to partners to use our technology to research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develop their own proprietary drug candidates. We may also perform research, development, manufacturing and supply activities under our collaboration agreements. Consideration under these contracts may include an upfront payment, development milestones and other contingent payments, expense reimbursements, royalties based on net sales of approved drugs, and commercial sales milestone payments. Additionally, these contracts may provide options for the customer to purchase our proprietary PEGylation materials, drug candidates or additional contract research and development services under separate contracts.</w:t>
      </w:r>
    </w:p>
    <w:p>
      <w:pPr>
        <w:spacing w:after="0" w:line="18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When we enter into collaboration agreements, we assess whether the arrangements fall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 arrangements involve joint operating activities and whether both parties have active participation in the arrangement and are exposed to significant risks and rewards.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However, if we conclude that our collaboration partner is not a customer for certain activities and associated 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19" w:lineRule="exact"/>
        <w:rPr>
          <w:sz w:val="20"/>
          <w:szCs w:val="20"/>
          <w:color w:val="auto"/>
        </w:rPr>
      </w:pPr>
    </w:p>
    <w:p>
      <w:pPr>
        <w:jc w:val="both"/>
        <w:ind w:right="60" w:firstLine="518"/>
        <w:spacing w:after="0" w:line="272" w:lineRule="auto"/>
        <w:rPr>
          <w:sz w:val="20"/>
          <w:szCs w:val="20"/>
          <w:color w:val="auto"/>
        </w:rPr>
      </w:pPr>
      <w:r>
        <w:rPr>
          <w:rFonts w:ascii="Times New Roman" w:cs="Times New Roman" w:eastAsia="Times New Roman" w:hAnsi="Times New Roman"/>
          <w:sz w:val="17"/>
          <w:szCs w:val="17"/>
          <w:color w:val="auto"/>
        </w:rPr>
        <w:t>Product sales are primarily derived from manufacturing and supply agreements with our customers. We have assessed our current manufacturing and supply arrangements and have generally determined that they provide the customer an option to purchase our proprietary PEGylation materials. Accordingly, we treat each purchase order as a discrete exercise of the customer’s option (i.e. a separate contract) rather than as a component of the overall arrangement.</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pricing for the manufacturing and supply is generally at a fixed price and may be subject to annual producer price index (PPI) adjustments. We invoice and recognize product sales when title and risk of loss pass to the customer, which generally occurs upon shipment. Customer payments are generally due 30 days from receipt of invoice. We test our products for adherence to technical specifications before shipment; accordingly, we have not experienced any significant returns from our customers.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Generally, we are entitled to royalties from our collaboration partners based on the net sales of their approved drugs that are marketed and sold in one or more countries where we hold royalty rights. For arrangements that include sales-based royalties, including commercial milestone payments based on the level of sales, we have concluded that the license is the predominant item to which the royalties relate. Accordingly, we recognize royalty revenue, including for our non-cash royalties, when the underlying sales occur based on our best estimates of sales of the drugs. Our partners generally pay royalties or commercial milestones after the end of the calendar quarter in accordance with contractual terms. We present commercial milestone payments within license, collaboration and other revenue.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Collaboration and other Revenue</w:t>
      </w:r>
    </w:p>
    <w:p>
      <w:pPr>
        <w:spacing w:after="0" w:line="117" w:lineRule="exact"/>
        <w:rPr>
          <w:sz w:val="20"/>
          <w:szCs w:val="20"/>
          <w:color w:val="auto"/>
        </w:rPr>
      </w:pPr>
    </w:p>
    <w:p>
      <w:pPr>
        <w:ind w:right="1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License Grants</w:t>
      </w:r>
      <w:r>
        <w:rPr>
          <w:rFonts w:ascii="Times New Roman" w:cs="Times New Roman" w:eastAsia="Times New Roman" w:hAnsi="Times New Roman"/>
          <w:sz w:val="18"/>
          <w:szCs w:val="18"/>
          <w:color w:val="auto"/>
        </w:rPr>
        <w:t>: For collaboration arrangements that include a grant of a license to our intellectual property, we consider whether the license grant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0" w:name="page11"/>
    <w:bookmarkEnd w:id="10"/>
    <w:p>
      <w:pPr>
        <w:ind w:right="4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the arrangement and at each reporting date thereafter, we assess whether we should include any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or other forms of variable consideration in the transaction price, based on whether a significant reversal of revenue previously recognized is not probable upon resolution of the uncertainty. Since milestone payments may become payable to us upon the initiation of a clinical study or filing for or receipt of regulatory approval,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Our partners generally pay development milestones subsequent to achievement of the triggering event.</w:t>
      </w:r>
    </w:p>
    <w:p>
      <w:pPr>
        <w:spacing w:after="0" w:line="183"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For amounts allocated to our research and development obligations in a collaboration arrangement, we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over time using a proportional performance model, representing the transfer of goods or services as we perform activities over the term of the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salaries, benefits and other operating costs such as outside services, supplies and allocated overhead costs. We perform research and development for our proprietary drug candidates and technology development and for certain third parties under collaboration agreements. For our proprietary drug candidates and our internal technology development programs, we invest our own funds without reimbursement from a third party. Where we perform research and development activities under a clinical joint development collaboration, such as our collaboration with Bristol-Myers Squibb Company (BMS), we record the cost reimbursement from our partner as a reduction to research and development expense when reimbursement amounts are due to us under the agreement.</w:t>
      </w:r>
    </w:p>
    <w:p>
      <w:pPr>
        <w:spacing w:after="0" w:line="188" w:lineRule="exact"/>
        <w:rPr>
          <w:sz w:val="20"/>
          <w:szCs w:val="20"/>
          <w:color w:val="auto"/>
        </w:rPr>
      </w:pPr>
    </w:p>
    <w:p>
      <w:pPr>
        <w:ind w:right="80" w:firstLine="518"/>
        <w:spacing w:after="0" w:line="273" w:lineRule="auto"/>
        <w:rPr>
          <w:sz w:val="20"/>
          <w:szCs w:val="20"/>
          <w:color w:val="auto"/>
        </w:rPr>
      </w:pPr>
      <w:r>
        <w:rPr>
          <w:rFonts w:ascii="Times New Roman" w:cs="Times New Roman" w:eastAsia="Times New Roman" w:hAnsi="Times New Roman"/>
          <w:sz w:val="17"/>
          <w:szCs w:val="17"/>
          <w:color w:val="auto"/>
        </w:rPr>
        <w:t>We record an accrued expense for the estimated costs of our clinical trial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accrue costs associated with the start-up and reporting phases of the clinical trials ratably over the estimated duration of the start-up and reporting phases. We generally accrue costs associated with the treatment phase of clinical trials based on the total estimated cost of the treatment phase on a per patient basis and we expense the per patient cost ratably over the estimated patient treatment period based on patient enrollment in the trials. In specific circumstances, such as for certain time-based costs, we recognize clinical trial expenses using a methodology that we consider to be more reflective of the timing of costs incurred.</w:t>
      </w:r>
    </w:p>
    <w:p>
      <w:pPr>
        <w:spacing w:after="0" w:line="17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record an accrued expense for the estimated costs of our contract manufacturing activities performed by third parties. The financial terms of these agreements are subject to negotiation, vary from contract to contract and may result in uneven payment flows to our vendors. Payments under the contracts include upfront payments and milestone payments, which depend on factors such as the achievement of the completion of certain stages of the manufacturing process. For purposes of recognizing expense, we assess whether we consider the production process is sufficiently defined to be considered the delivery of a good, as evidenced by predictive or contractually required yields in the production process, or the delivery of a service, where processes and yields are developing and less certain. If we consider the process to be the delivery of a good, we recognize expense when the drug product is delivered, or we otherwise bear risk of loss. If we consider the process to be the delivery of a service, we recognize expense based on our best estimates of the contract manufacturer’s progress towards completion of the stages in the contracts. We recognize and amortize upfront payments and accrue liabilities based on the specific terms of each arrangement. Certain arrangements may provide upfront payments for certain stages of the arrangement and milestone payments for the completion of certain stages, and, accordingly, we may record advance payments for services that have not been completed or goods not delivered and liabilities for stages where the contract manufacturer is entitled to a milestone payment.</w:t>
      </w:r>
    </w:p>
    <w:p>
      <w:pPr>
        <w:spacing w:after="0" w:line="193"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Advance payments for goods or services that will be used or rendered for future research and development activities are capitalized as prepaid expenses and recognized as expense as the related goods are delivered or the related services are performed. 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discounted net cash flows associated with the asset. In the case of goodwill impairment, we compare the carrying value of the reporting unit to its fair value, which we generally measure using market capitalization for our single reporting unit. If an impairment exists, we write down goodwill such that the carrying value of the reporting units equals its fair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we recorded an income tax provision for our Nektar India operations at an effective tax rate of approximately 29% and 31%, respectively. Due to our unrealized gain on available-for-sale securities in the three months ended March 31, 2019, we recorded a tax provision against such gain with an offsetting tax benefit in continuing operations of $1.1 million. The U.S. federal deferred tax assets generated from our net operating losses have been fully reserved, as we believe it is not more likely than not that the benefit will be realized.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November 2018, the Financial Accounting Standards Board (FASB) issued Accounting Standards Update 2018-18: Clarifying the Interaction between Topic 808 and Topic 606 (ASU 2018-18). The guidance clarifies that certain transactions between collaborative arrangement participants should be accounted for as revenue under ASC 606 when the collaborative arrangement participant is a customer for a promised good or service that is distinct within the collaborative arrangement. The guidance also precludes entities from presenting amounts related to transactions with a collaborative arrangement participant that is not a customer as revenue, unless those transactions are directly related to third-party sales. ASU 2018-18 is effective in the first quarter of 2020 and should be applied retrospectively to January 1, 2018, when we adopted ASC 606. Early adoption is permitted. We are evaluating the effect of adoption, but we do not expect a material effect on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r>
      <w:tr>
        <w:trPr>
          <w:trHeight w:val="156"/>
        </w:trPr>
        <w:tc>
          <w:tcPr>
            <w:tcW w:w="7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3"/>
                <w:szCs w:val="13"/>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106,752</w:t>
            </w: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1,281,913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1,140,445</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455,867</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582,889</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1,844,532</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1,918,239</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As of March 31, 2019 and December 31, 2018, all of our long-term investments had maturities between one and two years.</w:t>
      </w:r>
    </w:p>
    <w:p>
      <w:pPr>
        <w:spacing w:after="0" w:line="17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Gross unrealized gains and losses were not significant at either March 31, 2019 or December 31, 2018. During the three months ended March 31, 2018, we sold available-for-sale securities totaling $12.0 million, and during the three months ended March 31, 2019, we sold no available-for-sale securities. Gross realized gains and losses on those 2018 sales were not significant. The cost of securities sold is based on the specific identification method.</w:t>
      </w:r>
    </w:p>
    <w:p>
      <w:pPr>
        <w:spacing w:after="0" w:line="17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Under the terms of our 7.75% senior secured notes due October 2020, we are required to maintain a minimum cash and investments in marketable securities balance of $60.0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includes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1860" w:type="dxa"/>
            <w:vAlign w:val="bottom"/>
            <w:tcBorders>
              <w:top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1,363,836</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1,288,986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8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412,372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 of U.S. government agencies</w:t>
            </w:r>
          </w:p>
        </w:tc>
        <w:tc>
          <w:tcPr>
            <w:tcW w:w="18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1,789,213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w:t>
      </w:r>
      <w:r>
        <w:rPr>
          <w:rFonts w:ascii="Times New Roman" w:cs="Times New Roman" w:eastAsia="Times New Roman" w:hAnsi="Times New Roman"/>
          <w:sz w:val="18"/>
          <w:szCs w:val="18"/>
          <w:color w:val="auto"/>
        </w:rPr>
        <w:t>Quoted prices in active markets for identical assets or liabilities.</w:t>
      </w:r>
    </w:p>
    <w:p>
      <w:pPr>
        <w:spacing w:after="0" w:line="50" w:lineRule="exact"/>
        <w:rPr>
          <w:sz w:val="20"/>
          <w:szCs w:val="20"/>
          <w:color w:val="auto"/>
        </w:rPr>
      </w:pPr>
    </w:p>
    <w:p>
      <w:pPr>
        <w:ind w:left="760" w:right="320" w:hanging="742"/>
        <w:spacing w:after="0" w:line="266" w:lineRule="auto"/>
        <w:rPr>
          <w:sz w:val="20"/>
          <w:szCs w:val="20"/>
          <w:color w:val="auto"/>
        </w:rPr>
      </w:pPr>
      <w:r>
        <w:rPr>
          <w:rFonts w:ascii="Times New Roman" w:cs="Times New Roman" w:eastAsia="Times New Roman" w:hAnsi="Times New Roman"/>
          <w:sz w:val="18"/>
          <w:szCs w:val="18"/>
          <w:i w:val="1"/>
          <w:iCs w:val="1"/>
          <w:color w:val="auto"/>
        </w:rPr>
        <w:t>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We use a market approach to value our Level 2 investments. The disclosed fair value related to our investments is based on market prices from a variety of industry standard data providers and generally represents quoted prices for similar assets in active markets or has been derived from observable market data. During the three months ended March 31, 2019 and 2018, there were no transfers between Level 1 and Level 2 of the fair value hierarchy.</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Additionally, as of March 31, 2019, based on a discounted cash flow analysis using Level 3 inputs including financial discount rates, we believe the fair value of the $250.0 million in principal amount of our 7.75% senior secured notes due October 2020 is approximately $257.2 million. We may redeem some or all of these notes at a redemption price equal to 102% of the principal amount of the notes if the redemption date is prior to October 5, 2019, or 100% of the principal amount of the notes if the redemption date is on or after October 5, 2019, plus, in each case, accrued and unpaid interest to the applicable redemption date.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40" w:type="dxa"/>
            <w:vAlign w:val="bottom"/>
            <w:tcBorders>
              <w:top w:val="single" w:sz="8" w:color="auto"/>
            </w:tcBorders>
            <w:shd w:val="clear" w:color="auto" w:fill="CFF0FC"/>
          </w:tcPr>
          <w:p>
            <w:pPr>
              <w:jc w:val="right"/>
              <w:ind w:right="147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3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shd w:val="clear" w:color="auto" w:fill="CFF0FC"/>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40" w:type="dxa"/>
            <w:vAlign w:val="bottom"/>
            <w:tcBorders>
              <w:bottom w:val="single" w:sz="8" w:color="auto"/>
            </w:tcBorders>
          </w:tcPr>
          <w:p>
            <w:pPr>
              <w:jc w:val="right"/>
              <w:ind w:right="147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3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Inventory is generally manufactured upon receipt of firm purchase orders from our collaboration partners. Inventory includes direct materials, direct labor, and manufacturing overhead and cost is determined on a first-in, first-out basis for raw materials and on a specific identification basis for work-in-process and finished goods. Inventory is valued at the lower of cost or net realizable value and defective or excess inventory is written down to net realizable value based on historical experience or projected usage. Inventory related to our research and development activities is expensed as manufactured by us or when purchased.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2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As discussed in Note 1, we adopted ASC 842 as of January 1, 2019. Prior period amounts have not been adjusted and continue to be reported in accordance with our historic accounting under ASC 840.</w:t>
      </w:r>
    </w:p>
    <w:p>
      <w:pPr>
        <w:spacing w:after="0" w:line="5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determine if an arrangement contains a lease at the inception of the arrangement. We include operating leases in operating lease right-of-use assets, operating lease liabilities, current portion, and operating lease liabilities, less current portion in our Condensed Consolidated Balance Sheets as of March 31, 2019.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ind w:right="140"/>
        <w:spacing w:after="0" w:line="255" w:lineRule="auto"/>
        <w:rPr>
          <w:sz w:val="20"/>
          <w:szCs w:val="20"/>
          <w:color w:val="auto"/>
        </w:rPr>
      </w:pPr>
      <w:r>
        <w:rPr>
          <w:rFonts w:ascii="Times New Roman" w:cs="Times New Roman" w:eastAsia="Times New Roman" w:hAnsi="Times New Roman"/>
          <w:sz w:val="18"/>
          <w:szCs w:val="18"/>
          <w:color w:val="auto"/>
        </w:rPr>
        <w:t>lease term. In determining the present value of lease payments, we use our incremental borrowing rate based on the information available at the lease commencement date. However, in determining the present value of our lease payments for leases in effect when we adopted ASC 842, we used our incremental borrowing rate as of January 1, 2019. We have elected to recognize lease incentives, such as tenant improvement allowances, at the lease commencement date as a reduction of the right-of-use asset and lease liability to the extent that the lease provides a specified fixed or maximum level of reimbursement and we are reasonably certain to incur reimbursable costs at least equaling such amounts. For leases in effect as of January 1, 2019, we recognized our lease incentives as part of our transition adjustment. Our expected lease terms may include options to extend or terminate the lease when it is reasonably certain that we will exercise any such options. We recognize lease expense on a straight-line basis over the expected lease term.</w:t>
      </w:r>
    </w:p>
    <w:p>
      <w:pPr>
        <w:spacing w:after="0" w:line="8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For our facilities leases, we have elected a practical expedient provided by ASC 842 to account for the lease and non-lease components, such as common area maintenance charges, as a single lease component.</w:t>
      </w:r>
    </w:p>
    <w:p>
      <w:pPr>
        <w:spacing w:after="0" w:line="54" w:lineRule="exact"/>
        <w:rPr>
          <w:sz w:val="20"/>
          <w:szCs w:val="20"/>
          <w:color w:val="auto"/>
        </w:rPr>
      </w:pPr>
    </w:p>
    <w:p>
      <w:pPr>
        <w:ind w:right="300" w:firstLine="518"/>
        <w:spacing w:after="0" w:line="276" w:lineRule="auto"/>
        <w:rPr>
          <w:sz w:val="20"/>
          <w:szCs w:val="20"/>
          <w:color w:val="auto"/>
        </w:rPr>
      </w:pPr>
      <w:r>
        <w:rPr>
          <w:rFonts w:ascii="Times New Roman" w:cs="Times New Roman" w:eastAsia="Times New Roman" w:hAnsi="Times New Roman"/>
          <w:sz w:val="17"/>
          <w:szCs w:val="17"/>
          <w:color w:val="auto"/>
        </w:rPr>
        <w:t>In August 2017, we entered into a Lease Agreement (the Mission Bay Lease) with ARE-San Francisco No. 19, LLC (ARE) and terminated our sublease with Pfizer, Inc., effectively extending our lease term from 2020 to 2030 for our 137,046 square foot corporate office and R&amp;D facility located at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455 Mission Bay Boulevard, San Francisco, California (the Mission Bay Facility). The term of the Mission Bay Lease commenced on September 1, 2017, and will expire January 31, 2030, subject to our right to extend the term of the lease for two consecutive five-year periods, which we have excluded from our determination of the lease term. The monthly base rent for the Mission Bay Facility will escalate over the term of the lease at various intervals. During the term of the Mission Bay Lease, we are responsible for paying our share of operating expenses specified in the lease, including utilities, common area maintenance, insurance and taxes. The Mission Bay Lease also obligates us to rent from ARE a total of an additional approximately 15,000 square feet of space at the Mission Bay Facility. During the three months ended March 31, 2019, ARE delivered 2,690 square feet of space, and therefore we recognized a right-of-use asset and lease liability of $1.3 million for this space. The Mission Bay Lease includes various covenants, indemnities, defaults, termination rights, security deposits and other provisions customary for lease transactions of this nature.</w:t>
      </w:r>
    </w:p>
    <w:p>
      <w:pPr>
        <w:spacing w:after="0" w:line="80" w:lineRule="exact"/>
        <w:rPr>
          <w:sz w:val="20"/>
          <w:szCs w:val="20"/>
          <w:color w:val="auto"/>
        </w:rPr>
      </w:pPr>
    </w:p>
    <w:p>
      <w:pPr>
        <w:ind w:firstLine="577"/>
        <w:spacing w:after="0" w:line="254" w:lineRule="auto"/>
        <w:rPr>
          <w:sz w:val="20"/>
          <w:szCs w:val="20"/>
          <w:color w:val="auto"/>
        </w:rPr>
      </w:pPr>
      <w:r>
        <w:rPr>
          <w:rFonts w:ascii="Times New Roman" w:cs="Times New Roman" w:eastAsia="Times New Roman" w:hAnsi="Times New Roman"/>
          <w:sz w:val="18"/>
          <w:szCs w:val="18"/>
          <w:color w:val="auto"/>
        </w:rPr>
        <w:t>In May 2018, we entered into a Lease Agreement (the Third Street Lease) with Kilroy Realty Finance Partnership, L.P. to lease 135,936 square feet of space located at 360 Third Street, San Francisco, California (the Third Street Facility) from June 2018 to January 31, 2030, subject to our right to extend the term for a consecutive five-year period, which we have excluded from our determination of the lease term. An initial 1,726 square feet was delivered in June 2018, and a total of 67,105 square feet for two additional spaces was delivered in December 2018. The remaining space will be delivered in phases during 2019. The Third Street Lease will provide us additional facilities to support increased personnel for our San Francisco-based R&amp;D activities. Our fixed monthly base rent on an industrial gross lease basis includes certain expenses and property taxes paid directly by the landlord and will escalate each year over the term at specified intervals. We have a onetime right of first offer with respect to certain additional rental space at the Third Street Facility. The Third Street Lease includes various covenants, indemnities, defaults, termination rights, security deposits and other provisions customary for lease transactions of this nature.</w:t>
      </w:r>
    </w:p>
    <w:p>
      <w:pPr>
        <w:spacing w:after="0" w:line="81" w:lineRule="exact"/>
        <w:rPr>
          <w:sz w:val="20"/>
          <w:szCs w:val="20"/>
          <w:color w:val="auto"/>
        </w:rPr>
      </w:pPr>
    </w:p>
    <w:p>
      <w:pPr>
        <w:ind w:firstLine="577"/>
        <w:spacing w:after="0" w:line="282" w:lineRule="auto"/>
        <w:rPr>
          <w:sz w:val="20"/>
          <w:szCs w:val="20"/>
          <w:color w:val="auto"/>
        </w:rPr>
      </w:pPr>
      <w:r>
        <w:rPr>
          <w:rFonts w:ascii="Times New Roman" w:cs="Times New Roman" w:eastAsia="Times New Roman" w:hAnsi="Times New Roman"/>
          <w:sz w:val="18"/>
          <w:szCs w:val="18"/>
          <w:color w:val="auto"/>
        </w:rPr>
        <w:t>The components of lease costs, which were included in Operating expenses in our Condensed Consolidated Statements of Operations, were as follows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4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360" w:type="dxa"/>
            <w:vAlign w:val="bottom"/>
            <w:tcBorders>
              <w:bottom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three months ended March 31, 2019 was $1.8 million, which we included in Net cash used in operating activities in our Condensed Consolidated Statement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March 31, 2019, the maturities of our operating lease liabilities were as follows (in thousands):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9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2019 (Nine months ended)</w:t>
            </w: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Less: portion representing interest</w:t>
            </w:r>
          </w:p>
        </w:tc>
        <w:tc>
          <w:tcPr>
            <w:tcW w:w="7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lease incentives</w:t>
            </w:r>
          </w:p>
        </w:tc>
        <w:tc>
          <w:tcPr>
            <w:tcW w:w="7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7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7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511"/>
        <w:spacing w:after="0" w:line="289" w:lineRule="auto"/>
        <w:rPr>
          <w:sz w:val="20"/>
          <w:szCs w:val="20"/>
          <w:color w:val="auto"/>
        </w:rPr>
      </w:pPr>
      <w:r>
        <w:rPr>
          <w:rFonts w:ascii="Times New Roman" w:cs="Times New Roman" w:eastAsia="Times New Roman" w:hAnsi="Times New Roman"/>
          <w:sz w:val="17"/>
          <w:szCs w:val="17"/>
          <w:color w:val="auto"/>
        </w:rPr>
        <w:t>As of March 31, 2019, we are entitled to an additional lease incentive of $4.1 million, which we present in other current assets on our Condensed Consolidated Balance Sheet, representing the excess of our lease incentive over the current portion of the lease liability for that lease. As of March 31, 2019, the weighted-average remaining lease term is 10.8 years and the weighted-average discount rate used to determine the operating lease liability was 6.5%.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Liability Related to Sale of Future Royalties</w:t>
      </w:r>
    </w:p>
    <w:p>
      <w:pPr>
        <w:spacing w:after="0" w:line="121"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color w:val="auto"/>
        </w:rPr>
        <w:t>On February 24, 2012, we entered into a Purchase and Sale Agreement (the Purchase and Sale Agreement) with RPI Finance Trust (RPI), an affiliate of Royalty Pharma, pursuant to which we sold, and RPI purchased, our right to receive royalty payments (the Royalty Entitlement) arising from the worldwide net sales, from and after January 1, 2012, of (a)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under our license, manufacturing and supply agreement with UCB Pharma (UCB), and</w:t>
      </w:r>
    </w:p>
    <w:p>
      <w:pPr>
        <w:ind w:right="4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under our license, manufacturing and supply agreement with F. Hoffmann-La Roche Ltd and Hoffmann-La Roche Inc. (together referred to as Roche). We received aggregate cash proceeds of $124.0 million for the Royalty Entitlement. As part of this sale, we incurred approximately $4.4 million in transaction costs, which will be amortized to interest expense over the estimated life of the Purchase and Sale Agreement. Although we sold all of our rights to receive royalties from the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as a result of our ongoing manufacturing and supply obligations related to the generation of these royalties, we will continue to account for these royalties as revenue. We recorded the $124.0 million in proceeds from this transaction as a liability (Royalty Obligation) that will be amortized using the interest method over the estimated life of the Purchase and Sale Agreement as royalties from the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are remitted directly to RPI. During the three months ended March 31, 2019 and 2018, we recognized $8.2 million and $6.9 million, respectively, in non-cash royalty revenue from net sales of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we recorded $6.1 million and $5.0 million, respectively, of related non-cash interest expense.</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periodically assess the estimated royalty payments to RPI from UCB and Roche and to the extent such payments are greater or less than our initial estimates or the timing of such payments is materially different from our original estimates, we will prospectively adjust the amortization of the Royalty Obligation. From inception through 2017, our estimate of the total interest expense on the Royalty Obligation resulted in an effective annual interest rate of approximately 17%. During the three months ended December 31, 2017, our estimate of the effective annual interest rate over the life of the agreement increased to 17.6%, which resulted in a prospective interest rate of approximately 21%. During the three months ended December 31, 2018, primarily as a result of increases in the forecasted sales of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our estimate of the effective annual interest rate over the life of the agreement increased to 18.7%, which results in a prospective interest rate of 29%.</w:t>
      </w:r>
    </w:p>
    <w:p>
      <w:pPr>
        <w:spacing w:after="0" w:line="189" w:lineRule="exact"/>
        <w:rPr>
          <w:sz w:val="20"/>
          <w:szCs w:val="20"/>
          <w:color w:val="auto"/>
        </w:rPr>
      </w:pPr>
    </w:p>
    <w:p>
      <w:pPr>
        <w:ind w:right="60" w:firstLine="476"/>
        <w:spacing w:after="0" w:line="261" w:lineRule="auto"/>
        <w:rPr>
          <w:sz w:val="20"/>
          <w:szCs w:val="20"/>
          <w:color w:val="auto"/>
        </w:rPr>
      </w:pPr>
      <w:r>
        <w:rPr>
          <w:rFonts w:ascii="Times New Roman" w:cs="Times New Roman" w:eastAsia="Times New Roman" w:hAnsi="Times New Roman"/>
          <w:sz w:val="18"/>
          <w:szCs w:val="18"/>
          <w:color w:val="auto"/>
        </w:rPr>
        <w:t>The Purchase and Sale Agreement grants RPI the right to receive certain reports and other information relating to the Royalty Entitlement and contains other representations and warranties, covenants and indemnification obligations that are customary for a transaction of this nature. To our knowledge, we are currently in compliance with these provisions of the Purchase and Sale Agreement; however, if we were to breach our obligations, we could be required to pay damages to RPI that are not limited to the purchase price we received in the sale transaction.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of that period and on our cash flows and liquidity.</w:t>
      </w:r>
    </w:p>
    <w:p>
      <w:pPr>
        <w:spacing w:after="0" w:line="188"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On October 30, 2018, we and our CEO and CFO were named in a putative securities class action entitled, Mulquin v. Nektar Therapeutics et. al., N.D. Cal. Also, on February 13, 2019, and February 18, 2019, shareholder derivative complaints were filed in the U.S. District Court for the District of Delaware naming the CEO, CFO and certain members of Nektar’s board. Both the class action and shareholder derivative actions assert, among other things, that for a period beginning at least from November 11, 2017 through October 2, 2018, our stock was inflated due to alleged misrepresentations about the efficacy and safety of NKTR-214. These cases are in the early stages. Accordingly, we cannot reasonably estimate any range of potential future charges, and we have not recorded any accrual for a contingent liability associated with these legal proceedings. However, an unfavorable resolution could potentially have a material adverse effect on our business, financial condition, and results of operations or prospects, and potentially result in paying monetary damages.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 in Connection with Commercial Agreements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drugs based on our proprietary technologies and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any time after execution of the agreement. There is generally no limitation on the potential amount of future payments we could be required to make under these indemnification obligations.</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including our obligation to RPI described in Note 5. In the event it is determined that we breached certain of the representations and warranties or covenants made by us in any such agreements, we could incur substantial indemnification liabilities depending on the timing, nature, and amount of any such claims.</w:t>
      </w:r>
    </w:p>
    <w:p>
      <w:pPr>
        <w:spacing w:after="0" w:line="18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To date, we have not incurred costs to defend lawsuits or settle claims related to these indemnification obligations. Because the aggregate amount of any potential indemnification obligation is not a stated amount, the overall maximum amount of any such obligations cannot be reasonably estimated. No liabilities have been recorded for these obligations in our Condensed Consolidated Balance Sheets at either March 31, 2019 or December 31, 2018.</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License and Collaboration Agreements</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and payments for the manufacture and supply of our proprietary PEGylation materials and/or reimbursement for research and development activities. All of our collaboration agreements are generally cancelable by our partners without significant financial penalty. Our costs of performing these services are generally included in research and development expense, except that costs for product sales to our collaboration partners are included in cost of goods sold. We analyze our agreements to determine whether we should account for the agreements within the scope of ASC 808, and, if so, we analyze whether we should account for any elements under ASC 606. In accordance with our collaboration agreements, we recognized license, collaboration and other revenue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5"/>
                <w:szCs w:val="15"/>
                <w:color w:val="auto"/>
              </w:rPr>
            </w:pPr>
          </w:p>
        </w:tc>
        <w:tc>
          <w:tcPr>
            <w:tcW w:w="346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Drug or Drug Candidate</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4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Baxalta Incorporated/Takeda</w:t>
            </w:r>
          </w:p>
        </w:tc>
        <w:tc>
          <w:tcPr>
            <w:tcW w:w="180" w:type="dxa"/>
            <w:vAlign w:val="bottom"/>
            <w:shd w:val="clear" w:color="auto" w:fill="CFF0FC"/>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ADYNOVATE</w:t>
            </w: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Eli Lilly and Company</w:t>
            </w:r>
          </w:p>
        </w:tc>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NKTR-358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Amgen, Inc.</w:t>
            </w:r>
          </w:p>
        </w:tc>
        <w:tc>
          <w:tcPr>
            <w:tcW w:w="3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34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180" w:type="dxa"/>
            <w:vAlign w:val="bottom"/>
            <w:tcBorders>
              <w:bottom w:val="single" w:sz="8" w:color="CFF0FC"/>
            </w:tcBorders>
            <w:shd w:val="clear" w:color="auto" w:fill="CFF0FC"/>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640" w:type="dxa"/>
            <w:vAlign w:val="bottom"/>
            <w:gridSpan w:val="2"/>
            <w:vMerge w:val="restart"/>
          </w:tcPr>
          <w:p>
            <w:pPr>
              <w:jc w:val="right"/>
              <w:ind w:right="1919"/>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3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6" w:name="page17"/>
    <w:bookmarkEnd w:id="16"/>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2019 and 2018, we recognized $19.6 million and $28.0 million of revenue for performance obligations that we had satisfied in prior periods, respectively. This amount includes all of our royalty revenue and non-cash royalty revenue because these royalties substantially relate to the licenses that we had previously granted. This amount also includes the $10.0 million development milestone payment earned and received from Baxalta in the three months ended March 31, 2018 described below.</w:t>
      </w:r>
    </w:p>
    <w:p>
      <w:pPr>
        <w:spacing w:after="0" w:line="221" w:lineRule="exact"/>
        <w:rPr>
          <w:sz w:val="20"/>
          <w:szCs w:val="20"/>
          <w:color w:val="auto"/>
        </w:rPr>
      </w:pPr>
    </w:p>
    <w:p>
      <w:pPr>
        <w:ind w:right="120" w:firstLine="471"/>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changes in our deferred revenue balance from our collaboration agreements during the three months ended March 31, 2019 (in thousands):</w:t>
      </w:r>
    </w:p>
    <w:tbl>
      <w:tblPr>
        <w:tblLayout w:type="fixed"/>
        <w:tblInd w:w="0" w:type="dxa"/>
        <w:tblCellMar>
          <w:top w:w="0" w:type="dxa"/>
          <w:left w:w="0" w:type="dxa"/>
          <w:bottom w:w="0" w:type="dxa"/>
          <w:right w:w="0" w:type="dxa"/>
        </w:tblCellMar>
      </w:tblPr>
      <w:tr>
        <w:trPr>
          <w:trHeight w:val="138"/>
        </w:trPr>
        <w:tc>
          <w:tcPr>
            <w:tcW w:w="9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4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73"/>
        </w:trPr>
        <w:tc>
          <w:tcPr>
            <w:tcW w:w="9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revenue—December 31, 2018</w:t>
            </w: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previously unearned revenue</w:t>
            </w:r>
          </w:p>
        </w:tc>
        <w:tc>
          <w:tcPr>
            <w:tcW w:w="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revenue—March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60" w:firstLine="471"/>
        <w:spacing w:after="0" w:line="266" w:lineRule="auto"/>
        <w:rPr>
          <w:sz w:val="20"/>
          <w:szCs w:val="20"/>
          <w:color w:val="auto"/>
        </w:rPr>
      </w:pPr>
      <w:r>
        <w:rPr>
          <w:rFonts w:ascii="Times New Roman" w:cs="Times New Roman" w:eastAsia="Times New Roman" w:hAnsi="Times New Roman"/>
          <w:sz w:val="18"/>
          <w:szCs w:val="18"/>
          <w:color w:val="auto"/>
        </w:rPr>
        <w:t>Our balance of deferred revenue contains the transaction price from our collaboration agreements allocated to performance obligations which are partially unsatisfied. We expect to recognize approximately $11.1 million of our deferred revenue over the next twelve months and recognize approximately one-third of the remaining $9.3 million over the following twelve months.</w:t>
      </w:r>
    </w:p>
    <w:p>
      <w:pPr>
        <w:spacing w:after="0" w:line="176"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our collaboration agreements with partners included potential future payments for development and regulatory milestones totaling approximately $1.7 billion, including amounts from our agreements with BMS and Lilly described below. In addition, under our collaboration agreements we are entitled to receive contingent sales milestone payments, other contingent payments and royalty payments, as described below.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collaboration agreements in the three months ended March 31, 2019, except as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(BMS)</w:t>
      </w:r>
      <w:r>
        <w:rPr>
          <w:rFonts w:ascii="Times New Roman" w:cs="Times New Roman" w:eastAsia="Times New Roman" w:hAnsi="Times New Roman"/>
          <w:sz w:val="18"/>
          <w:szCs w:val="18"/>
          <w:i w:val="1"/>
          <w:iCs w:val="1"/>
          <w:color w:val="auto"/>
        </w:rPr>
        <w:t>: Bempegaldesleukin, also referred to as NKTR-214</w:t>
      </w:r>
    </w:p>
    <w:p>
      <w:pPr>
        <w:spacing w:after="0" w:line="121" w:lineRule="exact"/>
        <w:rPr>
          <w:sz w:val="20"/>
          <w:szCs w:val="20"/>
          <w:color w:val="auto"/>
        </w:rPr>
      </w:pPr>
    </w:p>
    <w:p>
      <w:pPr>
        <w:ind w:firstLine="518"/>
        <w:spacing w:after="0" w:line="241" w:lineRule="auto"/>
        <w:rPr>
          <w:sz w:val="20"/>
          <w:szCs w:val="20"/>
          <w:color w:val="auto"/>
        </w:rPr>
      </w:pPr>
      <w:r>
        <w:rPr>
          <w:rFonts w:ascii="Times New Roman" w:cs="Times New Roman" w:eastAsia="Times New Roman" w:hAnsi="Times New Roman"/>
          <w:sz w:val="18"/>
          <w:szCs w:val="18"/>
          <w:color w:val="auto"/>
        </w:rPr>
        <w:t>On February 13, 2018, we entered into a Strategic Collaboration Agreement (BMS Collaboration Agreement) and a Share Purchase Agreement with BMS, both of which became effective on April 3, 2018. Pursuant to these agreements, we and BMS will jointly develop NKTR-214, including, without limitation, in combination with BMS’s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(nivolumab) and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plus Yervoy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(ipilimumab), and other compounds of BMS, us or any third party. The parties have agreed to jointly commercialize NKTR-214 on a worldwide basis. We retained the right to record all worldwide sales for NKTR-214. We will share global commercialization profits and losses with BMS for NKTR-214, with Nektar sharing 65% and BMS sharing 35% of the net profits and losses. The parties will share the internal and external development costs for NKTR-214 in combination regimens based on each party’s relative ownership interest in the compounds included in the regimens. In accordance with the agreement, the parties will share development costs for NKTR-214 in combination with Opdivo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67.5% of costs to BMS and 32.5% to Nektar, and for NKTR-214 in a triplet combination with Opdivo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Yervoy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78% of costs to BMS and 22% to Nektar. The parties will share costs for the production of NKTR-214, 35% of costs to BMS and 65% to Nektar.</w:t>
      </w:r>
    </w:p>
    <w:p>
      <w:pPr>
        <w:spacing w:after="0" w:line="9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BMS Collaboration Agreement superseded and replaced the Clinical Trial Agreement we entered into with BMS in September 2016 to develop NKTR-214 in combination with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Under the Clinical Trial Agreement, we acted as the sponsor of each Combination Therapy Trial and BMS was responsible for 50% of all out-of-pocket costs reasonably incurred in connection with third party contract research organizations, laboratories, clinical sites and institutional review boards. We recorded cost reimbursement payments to us from BMS as a reduction to research and development expense. Each party was otherwise responsible for its own internal costs, including internal personnel costs, incurred in connection with each Combination Therapy Trial.</w:t>
      </w:r>
    </w:p>
    <w:p>
      <w:pPr>
        <w:spacing w:after="0" w:line="184" w:lineRule="exact"/>
        <w:rPr>
          <w:sz w:val="20"/>
          <w:szCs w:val="20"/>
          <w:color w:val="auto"/>
        </w:rPr>
      </w:pPr>
    </w:p>
    <w:p>
      <w:pPr>
        <w:ind w:right="80" w:firstLine="577"/>
        <w:spacing w:after="0" w:line="261" w:lineRule="auto"/>
        <w:rPr>
          <w:sz w:val="20"/>
          <w:szCs w:val="20"/>
          <w:color w:val="auto"/>
        </w:rPr>
      </w:pPr>
      <w:r>
        <w:rPr>
          <w:rFonts w:ascii="Times New Roman" w:cs="Times New Roman" w:eastAsia="Times New Roman" w:hAnsi="Times New Roman"/>
          <w:sz w:val="18"/>
          <w:szCs w:val="18"/>
          <w:color w:val="auto"/>
        </w:rPr>
        <w:t>Upon the effective date of the BMS Collaboration Agreement in April 2018, BMS paid us a non-refundable upfront cash payment of $1.0 billion. We are eligible to receive additional cash payments up to a total of approximately $1.4 billion upon the achievement of certain development and regulatory milestones and up to a total of $350.0 million upon the achievement of certain sales milestones. In April 2018, BMS also purchased 8,284,600 shares of our common stock pursuant to the Share Purchase Agreement for total additional cash consideration of $850.0 million.</w:t>
      </w:r>
    </w:p>
    <w:p>
      <w:pPr>
        <w:spacing w:after="0" w:line="72" w:lineRule="exact"/>
        <w:rPr>
          <w:sz w:val="20"/>
          <w:szCs w:val="20"/>
          <w:color w:val="auto"/>
        </w:rPr>
      </w:pPr>
    </w:p>
    <w:p>
      <w:pPr>
        <w:ind w:right="220" w:firstLine="571"/>
        <w:spacing w:after="0" w:line="258" w:lineRule="auto"/>
        <w:rPr>
          <w:sz w:val="20"/>
          <w:szCs w:val="20"/>
          <w:color w:val="auto"/>
        </w:rPr>
      </w:pPr>
      <w:r>
        <w:rPr>
          <w:rFonts w:ascii="Times New Roman" w:cs="Times New Roman" w:eastAsia="Times New Roman" w:hAnsi="Times New Roman"/>
          <w:sz w:val="18"/>
          <w:szCs w:val="18"/>
          <w:color w:val="auto"/>
        </w:rPr>
        <w:t>We determined that the BMS Collaboration Agreement falls within the scope of ASC 808. As mentioned above, BMS shares certain percentages of development costs incurred by us and we share certain percentages of development costs incurred by BMS. We consider these activities to represent collaborative activities under ASC 808 and we recognize such cost sharing proportionately with the performance of the underlying services. We recognize BMS’ reimbursement of our costs as a reduction of research and development expense and our reimbursement of BMS’ costs as research and development expense. During the three months ended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March 31, 2019 and 2018, we recorded $28.8 million and $2.3 million, respectively, as a reduction of research and development expenses for BMS’ share of our expenses, net of our share of BMS’ expenses. As of March 31, 2019, we have recorded a receivable of $28.4 million from BMS in accounts receivable in our Condensed Consolidated Balance Sheet.</w:t>
      </w:r>
    </w:p>
    <w:p>
      <w:pPr>
        <w:spacing w:after="0" w:line="68"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analogized to ASC 606 for the accounting for our two performance obligations, consisting of the delivery of the licenses to develop and commercialize NKTR-214 and our participation on joint steering and other collaboration committees. We determined that our committee participation is not material.</w:t>
      </w:r>
    </w:p>
    <w:p>
      <w:pPr>
        <w:spacing w:after="0" w:line="6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aggregated the total consideration of $1.85 billion received under the agreements and allocated it between the stock purchase and the revenue-generating elements, because we and BMS negotiated the agreements together and the effective date of the BMS Collaboration Agreement was dependent upon the effective date of the Share Purchase Agreement. We recorded the estimated fair value of the shares of $790.2 million in stockholders’ equity based on the closing date price of our common stock of $99.36, adjusted for a discount for lack of marketability reflecting the unregistered nature of the shares. We allocated the remaining $1,059.8 million to the transaction price of the collaboration agreement. We consider the future potential development, regulatory and sales milestones of up to approximately $1.8 billion to be variable consideration. We excluded these milestones from the transaction price as of March 31, 2019 due to the significant uncertainties involved with clinical development and regulatory approval. We will re-evaluate the transaction price at each reporting period and as uncertain events are resolved or other changes in circumstances occur.</w:t>
      </w:r>
    </w:p>
    <w:p>
      <w:pPr>
        <w:spacing w:after="0" w:line="77" w:lineRule="exact"/>
        <w:rPr>
          <w:sz w:val="20"/>
          <w:szCs w:val="20"/>
          <w:color w:val="auto"/>
        </w:rPr>
      </w:pPr>
    </w:p>
    <w:p>
      <w:pPr>
        <w:ind w:right="20" w:firstLine="571"/>
        <w:spacing w:after="0" w:line="282" w:lineRule="auto"/>
        <w:rPr>
          <w:sz w:val="20"/>
          <w:szCs w:val="20"/>
          <w:color w:val="auto"/>
        </w:rPr>
      </w:pPr>
      <w:r>
        <w:rPr>
          <w:rFonts w:ascii="Times New Roman" w:cs="Times New Roman" w:eastAsia="Times New Roman" w:hAnsi="Times New Roman"/>
          <w:sz w:val="18"/>
          <w:szCs w:val="18"/>
          <w:color w:val="auto"/>
        </w:rPr>
        <w:t>Accordingly, we allocated the entire transaction price of $1,059.8 million to the granting of the licenses and therefore recognized $1,059.8 million for the year ended December 31, 2018 as license, collaboration and other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 (Lilly</w:t>
      </w:r>
      <w:r>
        <w:rPr>
          <w:rFonts w:ascii="Times New Roman" w:cs="Times New Roman" w:eastAsia="Times New Roman" w:hAnsi="Times New Roman"/>
          <w:sz w:val="18"/>
          <w:szCs w:val="18"/>
          <w:i w:val="1"/>
          <w:iCs w:val="1"/>
          <w:color w:val="auto"/>
        </w:rPr>
        <w:t>): NKTR-358</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Effective August 23, 2017, we entered into a worldwide license agreement with Eli Lilly and Company (Lilly) to co-develop NKTR-358, a novel immunological drug candidate that we invented. Under the terms of the agreement, we (i) received an initial payment of $150.0 million in September 2017 and are eligible for up to $250.0 million in additional development milestones, (ii) will co-develop NKTR-358 with Lilly, for which we are responsible for completing Phase 1 clinical development and certain drug product development and supply activities, (iii) will share with Lilly Phase 2 development costs with 75% of those costs borne by Lilly and 25% of the costs borne by us, (iv) will have the option to contribute funding to Phase 3 development on an indication-by-indication basis ranging from zero to 25% of development costs, and (v) will have the opportunity to receive up to double-digit sales royalty rates that escalate based upon our Phase 3 development cost contribution and the level of annual global product sales. Lilly will be responsible for all costs of global commercialization and we will have an option to co-promote in the U.S. under certain conditions. A portion of the development milestones may be reduced by 50% under certain conditions, related to the final formulation of the approved product and the timing of prior approval (if any) of competitive products with a similar mechanism of action, which could reduce these milestone payments by 75% if both conditions occur.</w:t>
      </w:r>
    </w:p>
    <w:p>
      <w:pPr>
        <w:spacing w:after="0" w:line="19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agreement will continue until Lilly no longer has any royalty payment obligations or, if earlier, the termination of the agreement in accordance with its terms. The agreement may be terminated by Lilly for convenience, and may also be terminated under certain other circumstances, including material breach.</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identified our license grant to Lilly, our ongoing Phase 1 clinical development obligation and our drug product development obligation as the significant performance obligations in the arrangement. The valuation of each performance obligation involves significant estimates and assumptions, including but not limited to, expected market opportunity and pricing, assumed royalty rates, clinical trial costs, timelines and likelihood of success; in each case these estimates and assumptions covering long time periods. We determined the selling price for the license based on a discounted cash flow analysis of projected revenues from NKTR-358 and development and commercial costs using a discount rate based on a market participant’s weighted average cost of capital adjusted for forecasting risk. We determined the selling prices for our Phase 1 clinical development and drug product development deliverables based on the nature of the services to be performed and estimates of the associated efforts and third-party rates for similar services.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Although we are entitled to significant development milestones under this arrangement, as of March 31, 2019, we have excluded such milestones from the transaction price due to the significant uncertainties involved with clinical development. We have therefore determined the transaction price to consist of the upfront payment of $150.0 million in September 2017. Based on our estimates of the standalone selling prices of the performance obligations, we allocated the $150.0 million upfront payment as $125.9 million to the license, $17.6 million to the Phase 1 clinical development and $6.5 million to the drug product development.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8" w:name="page19"/>
    <w:bookmarkEnd w:id="18"/>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We recognized the $125.9 million of revenue allocated to the license upon the effective date of the license agreement in August 2017, since we determined that the license was a right to use our intellectual property, for which, as of the effective date, we had provided all necessary information to Lilly to benefit from the license and the license term had begun. We recognize revenue for the Phase 1 clinical development and drug product development using an input method, using costs incurred, as this method depicts our progress towards providing Lilly with the results of clinical trials and drug production processes. As of March 31, 2019, we have deferred revenue of approximately $5.8 million related to this agreement, which we expect to recognize through December 2019, the estimated end of our performance obligations under this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Baxalta Incorporated/Takeda</w:t>
      </w:r>
      <w:r>
        <w:rPr>
          <w:rFonts w:ascii="Times New Roman" w:cs="Times New Roman" w:eastAsia="Times New Roman" w:hAnsi="Times New Roman"/>
          <w:sz w:val="18"/>
          <w:szCs w:val="18"/>
          <w:i w:val="1"/>
          <w:iCs w:val="1"/>
          <w:color w:val="auto"/>
        </w:rPr>
        <w:t>: Hemophilia</w:t>
      </w:r>
    </w:p>
    <w:p>
      <w:pPr>
        <w:spacing w:after="0" w:line="121"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are a party to an exclusive research, development, license and manufacturing and supply agreement with Baxalta Incorporated (Baxalta), a subsidiary of Takeda Pharmaceutical Company Ltd. (Takeda), entered into in September 2005 to develop products designed to improve therapies for Hemophilia A patients using our PEGylation technology. Under the terms of the agreement, we are entitled to research and development funding for our active programs, which are now complete for Factor VIII, and are responsible for supplying Takeda with its requirements for our proprietary materials. Takeda is responsible for all clinical development, regulatory, and commercialization expenses. The agreement is terminable by the parties under customary conditions.</w:t>
      </w:r>
    </w:p>
    <w:p>
      <w:pPr>
        <w:spacing w:after="0" w:line="188" w:lineRule="exact"/>
        <w:rPr>
          <w:sz w:val="20"/>
          <w:szCs w:val="20"/>
          <w:color w:val="auto"/>
        </w:rPr>
      </w:pPr>
    </w:p>
    <w:p>
      <w:pPr>
        <w:ind w:right="100" w:firstLine="518"/>
        <w:spacing w:after="0" w:line="241" w:lineRule="auto"/>
        <w:rPr>
          <w:sz w:val="20"/>
          <w:szCs w:val="20"/>
          <w:color w:val="auto"/>
        </w:rPr>
      </w:pPr>
      <w:r>
        <w:rPr>
          <w:rFonts w:ascii="Times New Roman" w:cs="Times New Roman" w:eastAsia="Times New Roman" w:hAnsi="Times New Roman"/>
          <w:sz w:val="18"/>
          <w:szCs w:val="18"/>
          <w:color w:val="auto"/>
        </w:rPr>
        <w:t>This Hemophilia A program includes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was approved by the United States Food and Drug Administration (FDA) in November 2015 for use in adults and adolescents, aged 12 years and older, who have Hemophilia A, and is now marketed in the U.S., the European Union, and many other countries. As a result of the marketing authorization in the EU in January 2018, we earned a $10.0 million development milestone, which was received in March 2018. We updated the transaction price for this milestone in January 2018 since we had previously excluded it due to the significant uncertainty from regulatory approval. Based on the terms of this milestone, we allocated the entire milestone to the license grant and research and development services, and therefore recognized the entire $10.0 million in the three months ended March 31, 2018 as we had previously satisfied those performance obligations. In December 2018, we earned an additional $10.0 million milestone for annual sales of ADYNOVATE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/ADYNOVI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reaching a certain specified amount. In addition, we are entitled to an additional sales milestone upon achievement of an annual sales target and royalties based on annual worldwide net sales of products resulting from this agreement.</w:t>
      </w:r>
    </w:p>
    <w:p>
      <w:pPr>
        <w:spacing w:after="0" w:line="198"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October 2017, we entered into a right to sublicense agreement with Baxalta, under which we granted to Baxalta the right to grant a nonexclusive sublicense to certain patents that were previously exclusively licensed to Baxalta under our 2005 agreement. Under the right to sublicense agreement, Baxalta paid us $12.0 million in November 2017 and agreed to pay us single digit royalty payments based upon net sales of the products covered under the sublicense throughout the term of the agreement.</w:t>
      </w:r>
    </w:p>
    <w:p>
      <w:pPr>
        <w:spacing w:after="0" w:line="180"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Our remaining unsatisfied performance obligation consists of our ongoing supply of PEGylation materials at a price less than the standalone selling price of these materials. As of March 31, 2019, our deferred revenue from this arrangement is not significant.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r>
        <w:rPr>
          <w:rFonts w:ascii="Times New Roman" w:cs="Times New Roman" w:eastAsia="Times New Roman" w:hAnsi="Times New Roman"/>
          <w:sz w:val="18"/>
          <w:szCs w:val="18"/>
          <w:i w:val="1"/>
          <w:iCs w:val="1"/>
          <w:color w:val="auto"/>
        </w:rPr>
        <w:t>.: Neulasta</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October 2010, we amended and restated an existing supply and license agreement by entering into a supply, dedicated suite and manufacturing guarantee agreement (the Amended and Restated Agreement) and a license agreement with Amgen Inc. and Amgen Manufacturing, Limited (together referred to as Amgen). Under the terms of the Amended and Restated Agreement, we received a $50.0 million payment in the fourth quarter of 2010 in return for our guaranteeing the supply of certain quantities of our proprietary PEGylation materials to Amgen.</w:t>
      </w:r>
    </w:p>
    <w:p>
      <w:pPr>
        <w:spacing w:after="0" w:line="18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determined that our obligation to manufacture and supply our PEGylation materials and to maintain the dedicated manufacturing suite solely for the production of such materials for Amgen represented an obligation to stand ready to manufacture such materials. We concluded that we should recognize revenue based on the passage of time as this method depicts the satisfaction of Amgen’s right to require production of PEGylation materials at any time. As of March 31, 2019, we have deferred revenue of approximately $7.9 million related to this agreement, which we expect to recognize through October 2020, the estimated end of our obligations under this agreement.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AB</w:t>
      </w:r>
      <w:r>
        <w:rPr>
          <w:rFonts w:ascii="Times New Roman" w:cs="Times New Roman" w:eastAsia="Times New Roman" w:hAnsi="Times New Roman"/>
          <w:sz w:val="18"/>
          <w:szCs w:val="18"/>
          <w:i w:val="1"/>
          <w:iCs w:val="1"/>
          <w:color w:val="auto"/>
        </w:rPr>
        <w:t>: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(naloxegol oxalate), previously referred to as naloxegol and NKTR-118</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September 2009, we entered into an agreement with AstraZeneca AB (AstraZeneca) under which we granted AstraZeneca a worldwide, exclusive license under our patents and other intellectual property to develop, market, and sell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AstraZeneca is responsible for all research, development and commercialization and is responsible for all drug development and commercialization decisions for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September 2014 and December 2014,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/MOVENTIG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was approved in the US and EU, respectively. As of March 31, 2019, we have received a total of $385.0 million of upfront and contingent milestone payments from this agreement, all of which was received in or before 2015. In addition, we are entitled to significant and escalating double-digit royalty payments and sales milestone payments based on annual worldwide net sales of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March 2016, AstraZeneca announced that it had entered into an agreement with ProStrakan Group plc, a subsidiary of Kyowa Hakko Kirin Co. Ltd. (Kirin), granting Kirin exclusive marketing rights to MOVENTIG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the EU, Iceland, Liechtenstein, Norway and Switzerland. Under our license agreement with AstraZeneca, we and AstraZeneca will share the upfront payment, market access milestone payments, royalties and sales milestone payments made by Kirin to AstraZeneca with AstraZeneca receiving 60% and Nektar receiving 40%. As of March 31, 2019, we do not have deferred revenue related to our agreement with AstraZeneca.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as of March 31, 2019, we have a number of other collaboration agreements, including with our collaboration partners UCB Pharma and Halozyme Therapeutics, Inc., under which we are entitled to up to a total of $45.5 million of development milestone payments upon achievement of certain development objectives, as well as sales milestones upon achievement of annual sales targets and royalties based on net sales of commercialized products, if any. However, given the current phase of development of the potential products under these collaboration agreements, we cannot estimate the probability or timing of achieving these milestones and, therefore, have excluded all development milestones from the respective transaction prices for these agreements. As of March 31, 2019, we have deferred revenue of approximately $6.0 million related to these other collaboration agreements.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was recognized in our Condensed Consolidated Statements of Operations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5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40" w:type="dxa"/>
            <w:vAlign w:val="bottom"/>
          </w:tcPr>
          <w:p>
            <w:pPr>
              <w:spacing w:after="0"/>
              <w:rPr>
                <w:sz w:val="19"/>
                <w:szCs w:val="19"/>
                <w:color w:val="auto"/>
              </w:rPr>
            </w:pPr>
          </w:p>
        </w:tc>
        <w:tc>
          <w:tcPr>
            <w:tcW w:w="1360" w:type="dxa"/>
            <w:vAlign w:val="bottom"/>
            <w:tcBorders>
              <w:bottom w:val="single" w:sz="8" w:color="auto"/>
            </w:tcBorders>
          </w:tcPr>
          <w:p>
            <w:pPr>
              <w:jc w:val="right"/>
              <w:ind w:right="119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2018, we granted 20,455 and 209,700 stock options, respectively, and these options had a weighted average grant-date fair value of $25.51 per share and $68.88 per share, respectively. During the three months ended March 31, 2019 and 2018, we granted 132,820 and 10,000 RSUs, respectively.</w:t>
      </w:r>
    </w:p>
    <w:p>
      <w:pPr>
        <w:spacing w:after="0" w:line="176"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As a result of stock issuances under our equity compensation plans, during the three months ended March 31, 2019 and 2018, we issued 698,000 and 2,854,816 shares of our common stock,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Per Share</w:t>
      </w:r>
    </w:p>
    <w:p>
      <w:pPr>
        <w:spacing w:after="0" w:line="12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based on the weighted-average number of common shares outstanding during the periods presented. Diluted net loss per share is calculated based on the weighted-average number of shares of common stock outstanding, including potentially dilutive securities. For all periods presented in the accompanying Condensed Consolidated Statements of Operations, the net loss available to common stockholders is equal to the reported net loss. For the three months ended March 31, 2019 and 2018, basic and diluted net loss per share are the same due to our net losses and the requirement to exclude potentially dilutive securities which would have an antidilutive effect on net loss per share. During the three months ended March 31, 2019 and 2018, potentially dilutive securities consisted of common shares underlying outstanding stock options and RSUs. During the three months ended March 31, 2019 and 2018, there were weighted average outstanding stock options and RSUs of 18.9 million and 20.0 million shares,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 w:name="page21"/>
    <w:bookmarkEnd w:id="20"/>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II, Item 1A “Risk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2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Nektar Therapeutics is a research-based biopharmaceutical company that discovers and develops innovative new medicines in areas of high unmet medical need. Our research and development pipeline of new investigational drugs includes treatments for cancer, autoimmune disease and chronic pain. We leverage our proprietary and proven chemistry platform to discover and design new drug candidates. These drug candidates utilize our advanced polymer conjugate technology platforms, which are designed to enable the development of new molecular entities that target known mechanisms of action. We continue to make significant investments in building and advancing our pipeline of proprietary drug candidates as we believe that this is the best strategy to build long-term stockholder value.</w:t>
      </w:r>
    </w:p>
    <w:p>
      <w:pPr>
        <w:spacing w:after="0" w:line="80"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In immuno-oncology, we are executing a broad clinical development for bempegaldesleukin, also referred to as NKTR-214, in collaboration with BMS as well as other independent development work evaluating NKTR-214 in combination with other agents with potential complementary mechanisms of action. We expect our research and development expense to continue to grow over the next few years as we expand and execute a very broad clinical development program for NKTR-214. For development work within our collaboration development plan, we share development costs based on each party’s relative ownership interest in the compounds included in the regimen. For example, we share development costs for NKTR-214 in combination with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BMS 67.5% and Nektar 32.5%, and for NKTR-214 in a triplet combination with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Yervoy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BMS 78% and Nektar 22%. For costs of producing NKTR-214, however, BMS is responsible for 35% and Nektar is responsible for 65% of costs. Under our collaboration development plan, we have started registration enabling studies in first line melanoma, first line renal cell carcinoma, cisplatin ineligible, locally advanced or metastatic urothelial cancer, second line metastatic non-small cell lung cancer (post-checkpoint inhibitor and chemotherapy), and several more registrational studies in additional tumor types and indications are planned to begin in 2019. Our share of such development costs under the collaboration development plan is limited to an annual cap of $125 million. To the extent this annual cap is exceeded, we will recognize our full share of the research and development expense and BMS will reimburse us for the amount over the annual cap and it will be recorded as a contingent liability. This contingent liability will be paid to BMS only if NKTR-214 is approved and solely by reducing our share of a portion of our net profits following the first commercial sale of NKTR-214. In addition, under the BMS collaboration agreement, we are entitled to $1.43 billion of regulatory and commercial launch milestones, $650 million of which are associated with approval and launch of NKTR-214 in its first indication in the U.S., EU and Japan. As a result, whether and when NKTR-214 is approved in any indication will have a significant impact on our future results of operations and financial condition.</w:t>
      </w:r>
    </w:p>
    <w:p>
      <w:pPr>
        <w:spacing w:after="0" w:line="8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Outside of the collaboration development plan with BMS, we are conducting a broad array of development activities evaluating NKTR-214 in combination with other agents that have potential complementary mechanisms of action. Our strategic objective is to establish NKTR-214 as a key component of many immuno-oncology combination regimens with the potential to enhance the standard of care in multiple oncology settings. On November 6, 2018, we entered into a clinical collaboration with Pfizer to evaluate several combination regimens in multiple cancer settings, including metastatic castration-resistant prostate cancer and squamous cell carcinoma of the head and neck. The combination regimens in this collaboration will evaluate NKTR-214 with avelumab, a human anti-PD-L1 antibody in development by Merck KGaA, and Pfizer; talazoparib, a poly (ADP-ribose) polymerase (PARP) inhibitor developed by Pfizer; or enzalutamide, an androgen receptor inhibitor in development by Pfizer and Astellas Pharma Inc. In February 2019, we started a Phase 1 dose-escalation study with Takeda to evaluate NKTR-214 with Takeda’s investigational medicine, TAK-659, a dual inhibitor of both spleen tyrosine kinase (SYK) and FLT-3, in up to 40 patients with advanced non-hodgkin lymphoma. We are planning a Phase 1 study this year in pancreatic cancer patients in collaboration with BioXcel to evaluate a triplet combination of NKTR-214, BXCL-701 (a small molecule immune-modulator, DPP 8/9), and avelumab being supplied to BioXcel by Pfizer and Merck KGaA. We are also working in collaboration with Vaccibody AS to evaluate in a Phase 1 proof-of-concept study combining NKTR-214 with Vaccibody’s personalized cancer neoantigen vaccine. With our non-BMS clinical collaborations for NKTR-214, we generally equally share clinical development costs on a substantially pro-rata basis. We expect to continue to make significant and increasing investments exploring the potential of NKTR-214 with mechanisms of action that we believe are synergistic with NKTR-214 based on emerging scientific findings in cancer biology and preclinical development work.</w:t>
      </w:r>
    </w:p>
    <w:p>
      <w:pPr>
        <w:spacing w:after="0" w:line="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also advancing other molecules in our immuno-oncology portfolio. NKTR-262 is a small molecule agonist that targets toll-like receptors found on innate immune cells in the body. NKTR-262 is designed to stimulate the innate immune system and promote maturation and activation of antigen-presenting cells (APC), such as dendritic cells, which are critical to induce the body’s adaptive immunity and create antigen-specific cytotoxic T cells. NKTR-262 is being developed as an intra-tumoral injection in combination with systemic NKTR-214 in order to induce an abscopal response and achieve the goal of complete tumor regression 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cancer patients treated with both therapies. The Phase 1 dose-escalation trial is currently ongoing. NKTR-255 is a biologic that targets the interleukin-15 (IL-</w:t>
      </w:r>
    </w:p>
    <w:p>
      <w:pPr>
        <w:spacing w:after="0" w:line="27" w:lineRule="exact"/>
        <w:rPr>
          <w:sz w:val="20"/>
          <w:szCs w:val="20"/>
          <w:color w:val="auto"/>
        </w:rPr>
      </w:pPr>
    </w:p>
    <w:p>
      <w:pPr>
        <w:ind w:right="80" w:firstLine="8"/>
        <w:spacing w:after="0" w:line="252"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pathway in order to activate the body’s innate and adaptive immunity. Signaling of the IL-15 pathway enhances the survival and function of natural killer (NK) cells and induces survival of both effector and CD8 memory T cells. Preclinical findings suggest NKTR-255 has the potential to synergistically combine with antibody dependent cellular toxicity molecules as well as enhance CAR-T therapies. NKTR-255 is currently advancing through preclinical development as we are completing IND-enabling work for NKTR-255 in the second half of this year and we are currently designing our first clinical trials in both liquid and solid tumor settings. Over the next several years, we plan to continue to make significant investments to advance our early drug candidate pipeline.</w:t>
      </w:r>
    </w:p>
    <w:p>
      <w:pPr>
        <w:spacing w:after="0" w:line="82" w:lineRule="exact"/>
        <w:rPr>
          <w:sz w:val="20"/>
          <w:szCs w:val="20"/>
          <w:color w:val="auto"/>
        </w:rPr>
      </w:pPr>
    </w:p>
    <w:p>
      <w:pPr>
        <w:ind w:right="160" w:firstLine="518"/>
        <w:spacing w:after="0" w:line="253" w:lineRule="auto"/>
        <w:rPr>
          <w:sz w:val="20"/>
          <w:szCs w:val="20"/>
          <w:color w:val="auto"/>
        </w:rPr>
      </w:pPr>
      <w:r>
        <w:rPr>
          <w:rFonts w:ascii="Times New Roman" w:cs="Times New Roman" w:eastAsia="Times New Roman" w:hAnsi="Times New Roman"/>
          <w:sz w:val="18"/>
          <w:szCs w:val="18"/>
          <w:color w:val="auto"/>
        </w:rPr>
        <w:t>In immunology, we are developing NKTR-358, which is designed to correct the underlying immune system imbalance in the body that occurs in patients with autoimmune disease. NKTR-358 is designed to optimally target the IL-2 receptor complex in order to stimulate proliferation and growth of regulatory T cells. NKTR-358 is being developed as a once or twice monthly self-administered injection for a number of autoimmune diseases. In 2017, we entered into a worldwide license agreement with Eli Lilly and Company (Lilly) to co-develop NKTR-358. We received an initial payment of $150.0 million in September 2017 and are eligible for up to an additional $250.0 million for development and regulatory milestones. We are responsible for completing Phase 1 clinical development and certain drug product development and supply activities. We also share Phase 2 development costs with Lilly, with 75% of those costs borne by Lilly and 25% of the costs borne by us. We will have the option to contribute funding to Phase 3 development on an indication-by-indication basis, ranging from zero to 25% of the Phase 3 development costs. Lilly will be responsible for all costs of global commercialization and we will have an option to co-promote in the U.S. under certain conditions. We have completed the first Phase 1 dose-finding trial of NKTR-358 to evaluate single-ascending doses of NKTR-358 in approximately 100 healthy patients. The Phase 1 multiple-ascending dose trial to evaluate NKTR-358 in patients with systemic lupus erythematosus (SLE) was initiated in May 2018 and is currently enrolling patients. Over the next several years, we plan to continue to fund our share of the development costs under this collaboration.</w:t>
      </w:r>
    </w:p>
    <w:p>
      <w:pPr>
        <w:spacing w:after="0" w:line="83"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pain, we have filed the NDA for NKTR-181 for the treatment of chronic low back pain in adult opioid-naïve patients and the FDA’s current Prescription Drug User Fee Act target action date is August 29, 2019. NKTR-181 met its primary and key secondary endpoints in the SUMMIT-07 Phase 3 efficacy study in opioid-naïve patients with chronic low back pain and also demonstrated positive results in a pivotal human abuse potential study, long-term safety study, and several other clinical and non-clinical studies included in the NDA data package. If approved, we plan to commercialize NKTR-181 through a separate subsidiary company with one or more potential capital partners to support commercial launch. Since we have not yet completed our work to establish a commercial launch capability for NKTR-181, there remains substantial risk and uncertainties related to successful and timely completion of establishing this commercialization infrastructure for NKTR-181.</w:t>
      </w:r>
    </w:p>
    <w:p>
      <w:pPr>
        <w:spacing w:after="0" w:line="8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level of our future research and development investment will depend on a number of trends and uncertainties including clinical outcomes, future studies required to advance programs to regulatory approval, and the economics related to potential future collaborations that may include up-front payments, development funding, milestones, and royalties.</w:t>
      </w:r>
    </w:p>
    <w:p>
      <w:pPr>
        <w:spacing w:after="0" w:line="6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historically derived all of our revenue and substantial amounts of operating capital from our collaboration agreements including the BMS collaboration for NKTR-214 that was effective on April 3, 2018, pursuant to which we recognized $1.06 billion in revenue and recorded $790.2 million in additional paid in capital for shares of our common stock issued in the transaction. While in the near-term we continue to expect to generate substantially all of our revenue from collaboration arrangements, including the potential $1.43 billion in development and regulatory milestones under the BMS collaboration, in the medium- to long-term our plan is to generate significant revenue from proprietary products including NKTR-181 and NKTR-214. Since we do not have experience commercializing products or an established commercialization organization, there will be substantial risks and uncertainties in future years as we build commercial, organizational, and operational capabilities.</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also receive royalties and milestones from two approved drugs. We have a collaboration with AstraZeneca for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 oral peripherally-acting mu-opioid antagonist for the treatment of opioid-induced constipation in adult patients with non-cancer pain which was approved and subsequently launched in March 2015 and MOVENTIG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 the treatment of opioid-induced constipation in adult patients who have an inadequate response to laxatives, which was approved by health authorities in the European Union and many other countries beginning in 2014. We have a collaboration with Baxalta (a wholly-owned subsidiary of Takeda) for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that was approved by the FDA in late 2015 for use in adults and adolescents, aged 12 years and older, who have Hemophilia A. ADYNOVI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was approved by health authorities in Europe in January 2018, and has also been approved in many other countries.</w:t>
      </w:r>
    </w:p>
    <w:p>
      <w:pPr>
        <w:spacing w:after="0" w:line="8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For a discussion of these and some of the other key risks and uncertainties affecting our business, see Part II, Item 1A “Risk Factors.”</w:t>
      </w:r>
    </w:p>
    <w:p>
      <w:pPr>
        <w:spacing w:after="0" w:line="72"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While the approved drugs and clinical development programs described above are key elements of our future success, we believe it is critically important that we continue to make substantial investments in our earlier-stage drug candidate pipeline. We have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several drug candidates in earlier stage clinical development or being explored in research that we are preparing to advance into the clinic in future years. We are also advancing several other drug candidates in preclinical development in the areas of immuno-oncology, immunology, and other therapeutic indications. We believe that our substantial investment in research and development has the potential to create significant value if one or more of our drug candidates demonstrates positive clinical results, receives regulatory approval in one or more major markets and achieves commercial success. Drug research and development is an inherently uncertain process and there is a high risk of failure at every stage prior to approval and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and Trends in Liquidity and Capital Resources</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through at least the next twelve months. As of March 31, 2019, we had approximately $1.8 billion in cash and investments in marketable securities and had debt of $250.0 million in principal of senior secured notes due in October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2019 and 2018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 thousands,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00" w:type="dxa"/>
            <w:vAlign w:val="bottom"/>
            <w:gridSpan w:val="4"/>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(1,897)</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auto"/>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revenue is derived from our collaboration agreements, under which we may receive product sales revenue, royalties, license fees, milestone and other contingent payments and/or contract research payments. Revenue is recognized when we transfer promised goods or services to our collaboration partners. The amount of upfront fees received under our license and collaboration agreements allocated to continuing obligations, such as manufacturing and supply commitments, is generally recognized as we deliver products or provide development services. As a result, there may be significant variations in the timing of receipt of cash payments and our recognition of revenue. We make our best estimate of the timing and amount of products and services expected to be required to fulfill our performance obligations. Given the uncertainties in research and development collaborations, significant judgment is required by us to make these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Product sales include predominantly fixed price manufacturing and supply agreements with our collaboration partners and are the result of firm purchase orders from those partners. The timing of shipments is based solely on the demand and requirements of our collaboration partners and is not ratable throughout the year.</w:t>
      </w:r>
    </w:p>
    <w:p>
      <w:pPr>
        <w:spacing w:after="0" w:line="68"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Product sales decreased for the three months ended March 31, 2019 compared to the three months ended March 31, 2018 primarily due to decreased product demand from one of our collaboration partners. We expect product sales for the full year of 2019 to be consistent with 2018. However, if NKTR-181 receives regulatory approval and commercial sales begin in 2019, we expect an increase in product sales in 2019 compared to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2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We receive royalty revenue from certain of our collaboration partners based on their net sales of commercial products. Royalty revenue increased marginally for the three months ended March 31, 2019 compared to the three months ended March 31, 2018. We expect royalty revenue for the full year of 2019 to increase marginally as compared to 2018, due primarily to the sales growth of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/ADYNOVI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As part of its approval of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 FDA required AstraZeneca to perform a post-marketing, observational epidemiological study comparing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to other treatments of opioid-induced constipation in patients with chronic, non-cancer pain. As a result, the royalty rate payable to us from net sales of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the U.S. by AstraZeneca can be reduced by up to two percentage points to fund 33% of the external costs incurred by AstraZeneca to fund such post approval study, subject to a $35.0 million aggregate cap. As of March 31, 2019, our cumulative share of the post-approval study expenses since 2015 has been $1.4 million. Any costs incurred by AstraZeneca can only be recovered by the reduction of the royalty paid to us. In no case can amounts be recovered by the reduction of a contingent payment due from AstraZeneca to us or through a payment from us to AstraZeneca.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 Related to Sale of Future Royalties</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February 2012, we sold all of our rights to receive future royalty payments on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As described in Note 5 to our Condensed Consolidated Financial Statements, this royalty sale transaction has been recorded as a liability that amortizes over the estimated royalty payment period. As a result of this liability accounting, even though the royalties from UCB and Roche are remitted directly to the purchaser of these royalty interests, we will continue to record revenue for these royalties. We expect non-cash royalties from net sales of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full year of 2019 to be consistent with 2018.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Collaboration and Other Revenue</w:t>
      </w:r>
    </w:p>
    <w:p>
      <w:pPr>
        <w:spacing w:after="0" w:line="121" w:lineRule="exact"/>
        <w:rPr>
          <w:sz w:val="20"/>
          <w:szCs w:val="20"/>
          <w:color w:val="auto"/>
        </w:rPr>
      </w:pPr>
    </w:p>
    <w:p>
      <w:pPr>
        <w:ind w:right="520" w:firstLine="518"/>
        <w:spacing w:after="0" w:line="261" w:lineRule="auto"/>
        <w:rPr>
          <w:sz w:val="20"/>
          <w:szCs w:val="20"/>
          <w:color w:val="auto"/>
        </w:rPr>
      </w:pPr>
      <w:r>
        <w:rPr>
          <w:rFonts w:ascii="Times New Roman" w:cs="Times New Roman" w:eastAsia="Times New Roman" w:hAnsi="Times New Roman"/>
          <w:sz w:val="18"/>
          <w:szCs w:val="18"/>
          <w:color w:val="auto"/>
        </w:rPr>
        <w:t>License, collaboration and other revenue includes the recognition of upfront payments, milestone and other contingent payments received in connection with our license and collaboration agreements and certain research and development activities. The level of license, collaboration and other revenue depends in part upon the achievement of milestones and other contingent events, the continuation of existing collaborations, the amount of our research and development services, and entering into new collaboration agreements, if any.</w:t>
      </w:r>
    </w:p>
    <w:p>
      <w:pPr>
        <w:spacing w:after="0" w:line="180"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License, collaboration and other revenue decreased for the three months ended March 31, 2019 compared to the three months ended March 31, 2018 primarily due to the recognition of a $10.0 million milestone payment received in March 2018 as a result of the marketing authorization of ADYNOVI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in the EU in January 2018.</w:t>
      </w:r>
    </w:p>
    <w:p>
      <w:pPr>
        <w:spacing w:after="0" w:line="176"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We expect that our license, collaboration and other revenue will decrease significantly in the full year of 2019 compared to 2018 as a result of the revenue recognized from the BMS Collaboration Agreement in the three months ended June 30,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Product Gross Margin (in thousands, except percentages)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820" w:type="dxa"/>
            <w:vAlign w:val="bottom"/>
            <w:gridSpan w:val="5"/>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820" w:type="dxa"/>
            <w:vAlign w:val="bottom"/>
            <w:gridSpan w:val="5"/>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Borders>
              <w:top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(1,206)</w:t>
            </w:r>
          </w:p>
        </w:tc>
        <w:tc>
          <w:tcPr>
            <w:tcW w:w="172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profit</w:t>
            </w:r>
          </w:p>
        </w:tc>
        <w:tc>
          <w:tcPr>
            <w:tcW w:w="9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strategy is to manufacture and supply polymer reagents to support our proprietary drug candidates or our third-party collaborators where we have a strategic development and commercialization relationship or where we derive substantial economic benefit. We have elected to only enter into and maintain those manufacturing relationships associated with long-term collaboration agreements which include multiple sources of revenue, which we view holistically and in aggregate. We have a predominantly fixed cost base associated with our manufacturing activities. As a result, our product gross profit and margin are significantly impacted by the mix and volume of products sold in each period.</w:t>
      </w:r>
    </w:p>
    <w:p>
      <w:pPr>
        <w:spacing w:after="0" w:line="184"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Cost of goods sold decreased during the three months ended March 31, 2019 compared to the three months ended March 31, 2018 primarily due to decreased product sales. The decrease in product gross profit and product gross margin during the three months ended March 31, 2019 compared to the three months ended March 31, 2018 is primarily due to decreased product sales as well as a more unfavorable product mix in 2019 compared to 2018. We have a manufacturing arrangement with a partner that includes a fixed price which is less than the fully burdened manufacturing cost for the reagent, and we expect this situation to continue with this partner in future years. In addition to product sales from reagent materials supplied to this partner, we also receive royalty revenue from this collaboration. In the three months ended March 31, 2019 and 2018, the royalty revenue from this collaboration exceeded the related negative gross profit.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expect product gross margin to continue to fluctuate in future periods depending on the level and mix of manufacturing orders from our customers due to the predominantly fixed cost base associated with our manufacturing activities. We currently expect product gross margin to be negative in 2019 primarily as a result of the shipments to our partner where our sales are less than our fully burdened manufacturing cost. However, if NKTR-181 receives regulatory approval and commercial sales begin, we expect an increase in product sales, which would improve our margin.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(in thousands, except percentages)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gridSpan w:val="4"/>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99,424</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and stock-based compensation). Research and development expense also includes certain overhead allocations consisting of support and facilities-related costs. Where we perform research and development activities under a clinical joint development collaboration, such as our collaboration with BMS, we record the cost reimbursement from our partner as a reduction to research and development expense and we record our share of our partners’ expenses as an increase to research and development expense.</w:t>
      </w:r>
    </w:p>
    <w:p>
      <w:pPr>
        <w:spacing w:after="0" w:line="184"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during the three months ended March 31, 2019 compared to the three months ended March 31, 2018 primarily due to our clinical development of NKTR-214 and NKTR-358, and preclinical activities for NKTR-255. In particular, we incurred significant contract manufacturing costs for NKTR-214 and our other drug candidates for our broad clinical development for NKTR-214 under the BMS Collaboration Agreement, collaboration agreements with third parties and our own studies. In addition, the increase in research and development expense during the three months ended March 31, 2019 compared with the three months ended March 31, 2018 includes increases in personnel costs, including non-cash stock-based compensation. These increases were partially offset by cost reimbursements by BMS under our collaboration agreement. During the three months ended March 31, 2019 and 2018, we recorded net reductions to research and development expense for BMS’ reimbursements of our costs of $28.8 million and $2.3 million, respectively. Under the BMS Collaboration Agreement, BMS bears 67.5% of expenses for development costs for NKTR-214 in combination with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35% of costs for producing NKTR-214. We expect research and development expense to increase significantly for the full year of 2019 compared to 2018 primarily as a result of the development of NKTR-214 under the BMS Collaboration Agreement, as well as the ongoing development of NKTR-358, NKTR-255 and NKTR-262.</w:t>
      </w:r>
    </w:p>
    <w:p>
      <w:pPr>
        <w:spacing w:after="0" w:line="193" w:lineRule="exact"/>
        <w:rPr>
          <w:sz w:val="20"/>
          <w:szCs w:val="20"/>
          <w:color w:val="auto"/>
        </w:rPr>
      </w:pPr>
    </w:p>
    <w:p>
      <w:pPr>
        <w:ind w:right="440" w:firstLine="518"/>
        <w:spacing w:after="0" w:line="313" w:lineRule="auto"/>
        <w:rPr>
          <w:sz w:val="20"/>
          <w:szCs w:val="20"/>
          <w:color w:val="auto"/>
        </w:rPr>
      </w:pPr>
      <w:r>
        <w:rPr>
          <w:rFonts w:ascii="Times New Roman" w:cs="Times New Roman" w:eastAsia="Times New Roman" w:hAnsi="Times New Roman"/>
          <w:sz w:val="17"/>
          <w:szCs w:val="17"/>
          <w:color w:val="auto"/>
        </w:rPr>
        <w:t>Other than as described in the Overview section above, there have been no material changes to the status of clinical programs in the three months ended March 31, 2019 from the activities discussed in our Annual Report on Form 10-K for the year ended December 31, 2018 on file with the SEC.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 (in thousands, except percentages)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gridSpan w:val="4"/>
            <w:vMerge w:val="restart"/>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business development, marketing, finance, and legal activities. General and administrative expense increased during the three months ended March 31, 2019 compared with the three months March 31, 2018 primarily due to increased costs related to personnel, facilities, outside services and NKTR-181 commercialization readiness activities. We expect general and administrative expenses in the full year of 2019 to increase compared to 2018, due to costs related to personnel, facilities and outside services to support the continued expansion of our business. If NKTR-181 receives regulatory approval, we initially plan to commercialize NKTR-181 through a subsidiary and we expect significant increases in commercialization costs, including sales personnel and related costs to support that separate subsidiary organization.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 thousands, except percentages)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4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on</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Interest expense during the three months ended March 31, 2019 and 2018 primarily consists of interest from our senior secured notes. In October 2015, we issued $250.0 million in aggregate principal amount of 7.75% senior secured notes due October 2020. Interest on the 7.75% senior secured notes is calculated based on actual days outstanding over a 360 day year. Interest expense decreased marginally for the three months ended March 31, 2019 compared with the three months ended March 31, 2018. We expect interest expense during the full year of 2019 to be consistent with 2018.</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Non-cash interest expense on the liability related to sale of future royalties for the three months ended March 31, 2019 increased compared with the three months ended March 31, 2018 as a result of the increase to our estimated interest rate. On February 24, 2012, we sold all of our rights to receive future royalty payments on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exchange for $124.0 million. As described in Note 5 to our Condensed Consolidated Financial Statements, this royalty sale transaction has been recorded as a liability that amortizes over the estimated royalty payment period as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royalties are remitted directly to the purchaser. We impute interest on the transaction and record interest expense at the effective interest rate. During the three months ended March 31, 2018, we recognized interest expense at a rate of 21%. During the three month period ended December 31, 2018, primarily as a result of increases in the forecasted sales of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our estimate of the effective annual interest rate over the life of the agreement increased to approximately 18.7%, which results in a prospective interest rate of 29%. There are a number of factors that could materially affect the estimated interest rate, in particular, the amount and timing of royalty payments from future net sales of CIMZIA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we will assess this estimate on a periodic basis. As a result, future interest rates could differ significantly and any such change in interest rate will be adjusted prospectively. Unless we adjust our estimated interest rate, we expect non-cash interest expense on the liability related to sale of future royalties for the full year of 2019 to increase compared to 2018 as a result of the increase of the estimated prospective interest rate noted above.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(in thousands, except percentages)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Increase/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40" w:type="dxa"/>
            <w:vAlign w:val="bottom"/>
            <w:gridSpan w:val="4"/>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 vs. 2018</w:t>
            </w: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4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Interest income and other income (expense) for the three months ended March 31, 2019 increased significantly compared to the three months ended March 31, 2018 primarily due to increased interest income resulting from our investments in debt securities purchased with the $1.85 billion received in April 2018 from BMS under the BMS Collaboration Agreement and the Share Purchase Agreement. We expect that our interest income and other income (expense), net will increase in the full year of 2019 compared to 2018 as a result of the increased interest income resulting from our increased investments balances.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we recorded an income tax provision for our Nektar India operations at an effective tax rate of approximately 29% and 31%, respectively. Due to our unrealized gain on available-for-sale securities during the three months ended March 31, 2019, we recorded a tax provision against such gain with an offsetting tax benefit in continuing operations of $1.1 million. The U.S. federal deferred tax assets generated from our net operating losses have been fully reserved, as we believe it is not more likely than not that the benefit will be realized.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product sales, royalties and strategic collaboration agreements, as well as public offering and private placements of debt and equity securities. At March 31, 2019, we had approximately $1.8 billion in cash and investments in marketable securities and had debt of $250.0 million in principal of senior secured notes due on October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ind w:firstLine="518"/>
        <w:spacing w:after="0" w:line="253" w:lineRule="auto"/>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through at least the next twelve months. We expect the clinical development of our proprietary drug candidates, including NKTR-214, NKTR-358, NKTR-262, NKTR-255, NKTR-181, and ONZEALD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will continue to require significant investment in order to continue to advance in clinical development and to obtain regulatory approval, as well as for NKTR-181 commercialization activities. In the past, we have received a number of significant payments from collaboration agreements and other significant transactions. In April 2018, we received a total of $1.85 billion from BMS under the BMS Collaboration Agreement and the Share Purchase Agreement. In addition, in July 2017, we entered into a collaboration agreement for NKTR-358 with Lilly, under which we received a $150.0 million upfront payment. In the future, we expect to receive substantial payments from our collaboration agreements with BMS and Lilly and other existing and future collaboration transactions if drug candidates in our pipeline achieve positive clinical or regulatory outcomes. In particular, under the BMS Collaboration Agreement, we are entitled to $1.43 billion of regulatory and commercial launch milestones, $650 million of which are associated with approval and launch of NKTR-214 in its first indication in the U.S., EU and Japan. As a result, whether and when NKTR-214 is approved in any indication will have a significant impact on our future liquidity and capital resources. We have no credit facility or any other sources of committed capital.</w:t>
      </w:r>
    </w:p>
    <w:p>
      <w:pPr>
        <w:spacing w:after="0" w:line="193" w:lineRule="exact"/>
        <w:rPr>
          <w:sz w:val="20"/>
          <w:szCs w:val="20"/>
          <w:color w:val="auto"/>
        </w:rPr>
      </w:pPr>
    </w:p>
    <w:p>
      <w:pPr>
        <w:jc w:val="both"/>
        <w:ind w:right="140" w:firstLine="518"/>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At March 31, 2019, the average time to maturity of the investments held in our portfolio was approximately eight months. To date we have not experienced any liquidity issues with respect to these securities. We believe that, even allowing for potential liquidity issues with respect to these securities, our remaining cash and investments in marketable securities will be sufficient to meet our anticipated cash needs for at least the next twelve months.</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current business plan is subject to significant uncertainties and risks as a result of, among other factors, clinical and regulatory outcomes for NKTR-214, the sales levels of our products, if and when they are approved, the sales levels for those products for which we are entitled to royalties, clinical program outcomes, whether, when and on what terms we are able to enter into new collaboration transactions, expenses being higher than anticipated, unplanned expenses, cash receipts being lower than anticipated, and the need to satisfy contingent liabilities, including litigation matters and indemnification obligations.</w:t>
      </w:r>
    </w:p>
    <w:p>
      <w:pPr>
        <w:spacing w:after="0" w:line="184"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for the three months ended March 31, 2019 totaled $80.9 million, which includes $86.0 million of net operating cash uses as well as $4.9 million for interest payments on our senior secured notes, partially offset by the receipt of a $10.0 million sales milestone payment from our collaboration agreement with Baxalta.</w:t>
      </w:r>
    </w:p>
    <w:p>
      <w:pPr>
        <w:spacing w:after="0" w:line="6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for the three months ended March 31, 2018 totaled $52.5 million, which includes $57.5 million of net operating cash uses as well as $5.0 million for interest payments on our senior secured notes, partially offset by the receipt of a $10.0 million milestone payment from our collaboration agreement with Baxalta.</w:t>
      </w:r>
    </w:p>
    <w:p>
      <w:pPr>
        <w:spacing w:after="0" w:line="68"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will increase in the full year of 2019 compared to 2018 primarily as a result of increased research and development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We paid $5.6 million and $1.0 million to purchase property, plant and equipment in the three months ended March 31, 2019 and 2018, respectively. We expect our capital expenditures in the full year of 2019 to increase significantly compared with 2018, primarily due to construction of leasehold improvements at our new facilities lease on Third St. as described in Note 4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We received proceeds from issuance of common stock related to our employee option and stock purchase plans of $4.9 million and $34.4 million in the three months ended March 31, 2019 and 2018,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three months ended March 31, 2019 to the summary of contractual obligations included in our Annual Report on Form 10-K for the year ended December 31, 2018 on file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Other than as the result of the adoption of the new lease accounting guidance (ASC 842) as described in Note 1 to our Condensed Consolidated Financial Statements, there have been no material changes to our critical accounting policies and estimates discussed in our Annual Report on Form 10-K for the fiscal year ended December 31, 2018.</w:t>
      </w:r>
    </w:p>
    <w:p>
      <w:pPr>
        <w:spacing w:after="0" w:line="36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Our market risks at March 31, 2019 have not changed materially from those discussed in Item 7A of our Annual Report on Form 10-K for the year ended December 31, 2018 on file with the SEC.</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380" w:firstLine="518"/>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However, there was no change in our internal control over financial reporting that occurred in the three months ended March 31, 2019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Reference is hereby made to our disclosures in “Legal Matters” under Note 6 to our Condensed Consolidated Financial Statements in this Quarterly Report on Form 10-Q and the information under the heading “Legal Matters” is incorporated by reference herein.</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Investors in Nektar Therapeutics should carefully consider the risks described below before making an investment decision. The risks described below may not be the only ones relating to our company. This description includes any material changes to and supersedes the description of the risk factors associated with our business previously disclosed in Item 1A of our Annual Report on Form 10-K for the year ended December 31, 2018. Additional risks that we currently believe are immaterial may also impair our business operations. Our business, results of operations, financial condition, cash flows and future prospects and the trading price of our common stock and our ability to repay our senior secured notes could be harmed as a result of any of these risks, and investors may lose all or part of their investment. In assessing these risks, investors should also refer to the other information contained or incorporated by reference in this Quarterly Report on Form 10-Q and our Annual Report on Form 10-K for the year ended December 31, 2018, including our consolidated financial statements and related notes, and our other filings made from time to time with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NKTR-214, our lead immuno-oncology (I-O) candidate. We are executing a broad development program for NKTR-214 and clinical and regulatory outcomes for NKTR-214, if not successful, will significantly harm our business.</w:t>
      </w:r>
    </w:p>
    <w:p>
      <w:pPr>
        <w:spacing w:after="0" w:line="51" w:lineRule="exact"/>
        <w:rPr>
          <w:sz w:val="20"/>
          <w:szCs w:val="20"/>
          <w:color w:val="auto"/>
        </w:rPr>
      </w:pPr>
    </w:p>
    <w:p>
      <w:pPr>
        <w:ind w:right="40" w:firstLine="502"/>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successfully develop, obtain regulatory approval for, and commercialize NKTR-214. In general, most early stage investigation drugs, including immuno-oncology drug candidates such as NKTR-214, do not become approved drugs. Accordingly, there is a very meaningful risk that NKTR-214 will not succeed in one or more clinical trials sufficient to support one or more regulatory approvals. To date, reported clinical outcomes from NKTR-214 have had a significant impact on our market valuation, financial position, and business prospects and we expect this to continue in future periods. If one or more clinical studies of NKTR-214 are delayed or not successful, it would materially harm our market valuation, prospects, financial condition and results of operations. For example, under the BMS Collaboration Agreement, we are entitled to up to $1.43 billion in development milestones that are based upon clinical and regulatory successes from the NKTR-214 development program. One or more failures in NKTR-214 studies could jeopardize such milestone payments, and any product sales or royalty revenue or commercial milestones that we would otherwise be entitled to receive could be reduced, delayed or eliminated.</w:t>
      </w:r>
    </w:p>
    <w:p>
      <w:pPr>
        <w:spacing w:after="0" w:line="293"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5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We or our partners may experience delays in clinical trials of drug candidates. We have ongoing trials evaluating NKTR-214 including a trial</w:t>
      </w:r>
    </w:p>
    <w:p>
      <w:pPr>
        <w:spacing w:after="0" w:line="2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evaluating NKTR-214 as a potential combination treatment with BMS’s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(nivolumab) as well as other ongoing and planned combination trials. We also have an ongoing Phase 1 multiple-ascending dose trial to evaluate NKTR-358 in patients with systemic lupus erythematosus. We also continue to enroll patients in a Phase 1/2 study evaluating NKTR-214 in combination with NKTR-262. These and other clinical studies may not begin on time, enroll a sufficient number of patients or be completed on schedule, if at all. Clinical trials for any of our product candidates could be delayed for a variety of reasons, including:</w:t>
      </w:r>
    </w:p>
    <w:p>
      <w:pPr>
        <w:spacing w:after="0" w:line="80"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to the detriment of enrollment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w:t>
      </w:r>
    </w:p>
    <w:p>
      <w:pPr>
        <w:spacing w:after="0" w:line="22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If the initiation or completion of any of the planned clinical studies for our drug candidates is delayed for any of the above or other reasons, the regulatory approval process would be delayed and the ability to commercialize and commence sales of these drug candidates could be materially harmed,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0" w:lineRule="exact"/>
        <w:rPr>
          <w:sz w:val="20"/>
          <w:szCs w:val="20"/>
          <w:color w:val="auto"/>
        </w:rPr>
      </w:pPr>
    </w:p>
    <w:p>
      <w:pPr>
        <w:ind w:left="30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outcomes from competitive I-O and combination therapy clinical trials, and the discovery and development of new potential oncology therapies, could have a material and adverse impact on the value of our I-O research and development pipeline.</w:t>
      </w:r>
    </w:p>
    <w:p>
      <w:pPr>
        <w:spacing w:after="0" w:line="159" w:lineRule="exact"/>
        <w:rPr>
          <w:sz w:val="20"/>
          <w:szCs w:val="20"/>
          <w:color w:val="auto"/>
        </w:rPr>
      </w:pPr>
    </w:p>
    <w:p>
      <w:pPr>
        <w:ind w:firstLine="563"/>
        <w:spacing w:after="0" w:line="255" w:lineRule="auto"/>
        <w:rPr>
          <w:sz w:val="20"/>
          <w:szCs w:val="20"/>
          <w:color w:val="auto"/>
        </w:rPr>
      </w:pPr>
      <w:r>
        <w:rPr>
          <w:rFonts w:ascii="Times New Roman" w:cs="Times New Roman" w:eastAsia="Times New Roman" w:hAnsi="Times New Roman"/>
          <w:sz w:val="18"/>
          <w:szCs w:val="18"/>
          <w:color w:val="auto"/>
        </w:rPr>
        <w:t>The research and development of I-O therapies is a very competitive global segment in the biopharmaceutical industry attracting billions of dollars of investment each year. Our clinical trial plans for NKTR-214, NKTR-262, and NKTR-255 face substantial competition from other I-O combination regimens already approved, and many more combination therapies that are either ahead of or in parallel development in patient populations where we are studying our drug candidates. As I-O combination therapies are relatively new approaches in cancer treatment and few have successfully completed late stage development, I-O drug development entails substantial risks and uncertainties that include rapidly changing standards of care, patient enrollment competition, evolving regulatory frameworks to evaluate combination regimens, and varying risk-benefit profiles of competing therapies, any or all of which could have a material and adverse impact on the probability of success of I-O drug candidates.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is a long and inherently uncertain process with a high risk of failure at every stage of development.</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a number of proprietary drug candidates and partnered drug candidates in research and development ranging from the early discovery research phase through preclinical testing and clinical trials. Preclinical testing and clinical studies are long, expensive, difficult to design and implement and highly uncertain as to outcome. It will take us, or our collaborative partners, many years to conduct extensive preclinical tests and clinical trials to demonstrate the safety and efficacy in humans of our product candidates.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or our and our partners’ financial constraints.</w:t>
      </w:r>
    </w:p>
    <w:p>
      <w:pPr>
        <w:spacing w:after="0" w:line="18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Drug development is a highly uncertain scientific and medical endeavor, and failure can unexpectedly occur at any stage of preclinical and clinical development. Typically, there is a high rate of attrition for drug candidates in preclinical and clinical trials due to scientific feasibility, safety, efficacy, changing standards of medical care (including commercialization of a competing therapy in the same or similar indication for which our drug candidate is being studied) and other variables (such as commercial supply challenges). The risk of failure increases for our drug candidates that are based on new technologies, such as the application of our advanced polymer conjugate technology to NKTR-214, NKTR-358, NKTR-262, NKTR-255, NKTR-181, ONZEALD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other drug candidates currently in discovery research or preclinical development. The failure of one or more of our drug candidates could have a material adverse effect on our business, financial condition and results of operations.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product candidate may not predict the results that will be obtained in later phase clinical trials of the product candidate. We, the FDA, an independent Institutional Review Board (IRB), an independent ethics committee (IEC), or other applicable regulatory authorities may suspend clinical trials of a product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1" w:name="page32"/>
    <w:bookmarkEnd w:id="31"/>
    <w:p>
      <w:pPr>
        <w:ind w:left="2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are not able to manufacture drugs or drug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67"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If we or our contract manufacturers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contract manufacturing organizations to manufacture and supply drug product for our clinical studies and those of our collaboration partners. The manufacturing of drugs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contract manufacturers required for drug supply to support our clinical studies and the clinical studies and products of our collaboration partners. Failure by us or our contract manufacturers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288" w:lineRule="exact"/>
        <w:rPr>
          <w:sz w:val="20"/>
          <w:szCs w:val="20"/>
          <w:color w:val="auto"/>
        </w:rPr>
      </w:pPr>
    </w:p>
    <w:p>
      <w:pPr>
        <w:jc w:val="both"/>
        <w:ind w:left="26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starting material for drugs and drug candidates from a single source or a limited number of suppliers, and the partial or complete loss of one of these suppliers could cause production delays, clinical trial delays, substantial loss of revenue and contract liability to third parties.</w:t>
      </w:r>
    </w:p>
    <w:p>
      <w:pPr>
        <w:spacing w:after="0" w:line="6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clinical trial delays, substantial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or failure to procure such raw materials on commercially feasible terms could harm our business by delaying our clinical trials, impeding commercialization of approved drugs or increasing our costs.</w:t>
      </w:r>
    </w:p>
    <w:p>
      <w:pPr>
        <w:spacing w:after="0" w:line="288"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and those of our contract manufacturers are subject to laws and other governmental regulatory requirements, which, if not met, would have a material adverse effect on our business, results of operations and financial condition.</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and our contract manufacturers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the Drug Enforcement Administration or comparable agencies in other jurisdictions administering such requirements. We anticipate periodic regulatory inspections of our drug manufacturing facilities and the manufacturing facilities of our contract manufacturers for compliance with applicable regulatory requirements. Any failure to follow and document our or our contract manufacturers’ adherence to such cGMP and other laws and governmental regulations or satisfy other manufacturing and product release regulatory requirements may disrupt our ability to meet our manufacturing obligations to our customers,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us or our contract manufacturers, pending resolution of regulatory deficiencies or suspensions could have a material adverse effect on our business, results of operations and financial condition.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ind w:left="2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For example, while data from certain pre-specified subgroups in our BEACON study for ONZEALD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2015 was positive, the study did not achieve statistical significance for its primary endpoint and the FDA and European Medicines Agency rarely approve drugs on the basis of studies that do not achieve statistical significance on the primary endpoint. Further, regulatory authorities have the discretion to analyze data using their own methodologies that may differ from those used by us or our partners, which could lead such authorities to arrive at different conclusions regarding the safety or efficacy of a drug candidate. In addition, undesirable side effects caused by our drug candidates could cause us or regulatory authorities to interrupt, delay or halt clinical trials and could result in a more restricted label or the delay or denial of regulatory approval by regulatory authorities. For example, AstraZeneca is conducting a post-marketing, observational epidemiological study comparing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to other treatments of opioid-induced constipation (OIC) in patients with chronic, non-cancer pain and the results of this study could at some point in the future negatively impact the labeling, regulatory status, and commercial potential of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product candidates, any product marketing limitations or a product withdrawal would negatively impact our business, results of operations and financial condition.</w:t>
      </w:r>
    </w:p>
    <w:p>
      <w:pPr>
        <w:spacing w:after="0" w:line="292" w:lineRule="exact"/>
        <w:rPr>
          <w:sz w:val="20"/>
          <w:szCs w:val="20"/>
          <w:color w:val="auto"/>
        </w:rPr>
      </w:pPr>
    </w:p>
    <w:p>
      <w:pPr>
        <w:ind w:left="26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NKTR-181 program is subject to important risks and uncertainties related to likelihood of FDA approval, commercial potential, and nonconvertibility of NKTR-181, any of which could significantly and negatively impact the economic value of NKTR-181.</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May 31, 2018, we announced that we submitted an NDA for NKTR-181 and on July 30, 2018, we announced that the NDA for NKTR-181 for the treatment of chronic low back pain in opioid-naïve adult patients was accepted by the FDA for review. The FDA has assigned a PDUFA target action date of August 29, 2019. While the results from the Phase 3 study of NKTR-181 were positive, and NKTR-181 has Fast Track designation, the regulatory pathway for NKTR-181 remains subject to substantial uncertainty including the amount of data required to support an approval of NKTR-181. In addition, regulations concerning and controlling the access to opioid-based pharmaceuticals are strict and there is no guarantee which scheduling category will apply to NKTR-181 if regulatory approval is achieved.</w:t>
      </w:r>
    </w:p>
    <w:p>
      <w:pPr>
        <w:spacing w:after="0" w:line="80"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commercial potential of NKTR-181 remains difficult to predict due to factors that include, for example, the safety and efficacy compared to other available treatments, changing standards of care, third party payer reimbursement standards, scope and contents of the NKTR-181 label, constraints on marketing, patient and physician preferences, drug scheduling status, current and future litigation involving analgesic pharmaceuticals, perceived or actual resistance to the introduction of new controlled substances to the market, the availability of competitive alternatives that may emerge either during or after approval, the availability of generic versions of our NKTR-181, and the countries in which we receive regulatory approvals. If the market potential for NKTR-181 is lower than we anticipated, it could significantly and negatively impact the commercial potential and value of NKTR-181.</w:t>
      </w:r>
    </w:p>
    <w:p>
      <w:pPr>
        <w:spacing w:after="0" w:line="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event that we commercialize and market NKTR-181 products, we would be required to build, either internally or through third-party contracts, a sales and marketing organization and infrastructure, which would require a significant investment, and we may not be successful in building this organization and infrastructure in a timely or efficient manner. An important objective of our NKTR-181 drug development program is to create a unique opioid molecule that does not rapidly enter a patient’s central nervous system, thereby having the potential to be less susceptible to abuse than alternative opioid therapies. To date, we have conducted numerous experiments using laboratory and home-based chemistry techniques that have been unable to convert NKTR-181 into a rapidly-acting, more abusable form of opioid. In the future, an alternative chemistry technique, process or method of administration, or combination thereof, may be discovered to enable the conversion of NKTR-181 into a more abusable opioid.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3" w:name="page34"/>
    <w:bookmarkEnd w:id="33"/>
    <w:p>
      <w:pPr>
        <w:ind w:left="2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NKTR-181 is approved by FDA, the ability to market and promote NKTR-181 will depend on the scope and content of the final FDA-approved labeling, which could have a material and adverse impact on the market potential of NKTR-181.</w:t>
      </w:r>
    </w:p>
    <w:p>
      <w:pPr>
        <w:spacing w:after="0" w:line="5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If NKTR-181 is approved by the FDA, the commercial success of NKTR-181 will be materially impacted by the FDA-approved label which will set forth the patient population covered by the approved indication in the label, the required warnings, a description of efficacy outcomes, and the human abuse potential profile of NKTR-181, among other matters, for healthcare providers and patients. FDA approval is required to make safety and efficacy claims regarding a product. As a result, there is substantial risk and uncertainty regarding the content of the final label and package insert for NKTR-181, if approved by FDA, which could materially and adversely impact the commercial potential of NKTR-181.</w:t>
      </w:r>
    </w:p>
    <w:p>
      <w:pPr>
        <w:spacing w:after="0" w:line="396"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5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(other than the BMS Collaboration Agreement), our collaboration partner is generally solely responsible for:</w:t>
      </w:r>
    </w:p>
    <w:p>
      <w:pPr>
        <w:spacing w:after="0" w:line="54"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17" w:lineRule="exact"/>
        <w:rPr>
          <w:sz w:val="20"/>
          <w:szCs w:val="20"/>
          <w:color w:val="auto"/>
        </w:rPr>
      </w:pPr>
    </w:p>
    <w:p>
      <w:pPr>
        <w:ind w:left="1040" w:right="2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7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with commercial rights may choose to devote fewer resources to the marketing of our partnered drugs than they devote to their own drugs or other drugs that they have in-licensed;</w:t>
      </w:r>
    </w:p>
    <w:p>
      <w:pPr>
        <w:spacing w:after="0" w:line="53"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53"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product candidates or to litigation or arbitration proceedings;</w:t>
      </w:r>
    </w:p>
    <w:p>
      <w:pPr>
        <w:spacing w:after="0" w:line="53" w:lineRule="exact"/>
        <w:rPr>
          <w:rFonts w:ascii="Times New Roman" w:cs="Times New Roman" w:eastAsia="Times New Roman" w:hAnsi="Times New Roman"/>
          <w:sz w:val="18"/>
          <w:szCs w:val="18"/>
          <w:color w:val="auto"/>
        </w:rPr>
      </w:pPr>
    </w:p>
    <w:p>
      <w:pPr>
        <w:ind w:left="1040" w:right="62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 and</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w:t>
      </w:r>
    </w:p>
    <w:p>
      <w:pPr>
        <w:spacing w:after="0" w:line="162"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drugs in development fail to have positive late stage clinical outcomes sufficient to support regulatory approval in major markets, it could significantly impair our access to capital necessary to fund our research and development efforts for our proprietary drug candidates. If we are unable to obtain sufficient capital resources to advance our drug candidate pipeline, it would negatively impact the value of our business, results of operations and financial condition.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4" w:name="page35"/>
    <w:bookmarkEnd w:id="34"/>
    <w:p>
      <w:pPr>
        <w:ind w:left="26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73"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2019, we had cash and investments in marketable securities valued at approximately $1.8 billion and had debt of $250.0 million in principal of senior secured notes. While we believe that our cash position will be sufficient to meet our liquidity requirements through at least the next 12 months, our future capital requirements will depend upon numerous unpredictable factors, including:</w:t>
      </w:r>
    </w:p>
    <w:p>
      <w:pPr>
        <w:spacing w:after="0" w:line="68" w:lineRule="exact"/>
        <w:rPr>
          <w:sz w:val="20"/>
          <w:szCs w:val="20"/>
          <w:color w:val="auto"/>
        </w:rPr>
      </w:pPr>
    </w:p>
    <w:p>
      <w:pPr>
        <w:ind w:left="1040" w:right="64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proprietary drug candidates that we have licensed to our collaboration partners —important examples include NKTR-214 in collaboration with BMS and NKTR-358 licensed to Lilly;</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9"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launch and sales levels of products marketed by our collaboration partners for which we are entitled to royalties and sales milestones—importantly, the level of success in marketing and selling MOVANTIK</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by AstraZeneca in the U.S. and ADYNOVATE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by Baxalta (a wholly-owned subsidiary of Takeda) globally, as well as MOVENTIG</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(the naloxegol brand name in the EU) by Kirin in the EU;</w:t>
      </w:r>
    </w:p>
    <w:p>
      <w:pPr>
        <w:spacing w:after="0" w:line="50" w:lineRule="exact"/>
        <w:rPr>
          <w:rFonts w:ascii="Times New Roman" w:cs="Times New Roman" w:eastAsia="Times New Roman" w:hAnsi="Times New Roman"/>
          <w:sz w:val="17"/>
          <w:szCs w:val="17"/>
          <w:color w:val="auto"/>
        </w:rPr>
      </w:pPr>
    </w:p>
    <w:p>
      <w:pPr>
        <w:ind w:left="1040" w:right="44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313"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30" w:lineRule="exact"/>
        <w:rPr>
          <w:rFonts w:ascii="Times New Roman" w:cs="Times New Roman" w:eastAsia="Times New Roman" w:hAnsi="Times New Roman"/>
          <w:sz w:val="17"/>
          <w:szCs w:val="17"/>
          <w:color w:val="auto"/>
        </w:rPr>
      </w:pPr>
    </w:p>
    <w:p>
      <w:pPr>
        <w:ind w:left="1040" w:right="40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17" w:lineRule="exact"/>
        <w:rPr>
          <w:rFonts w:ascii="Times New Roman" w:cs="Times New Roman" w:eastAsia="Times New Roman" w:hAnsi="Times New Roman"/>
          <w:sz w:val="18"/>
          <w:szCs w:val="18"/>
          <w:color w:val="auto"/>
        </w:rPr>
      </w:pPr>
    </w:p>
    <w:p>
      <w:pPr>
        <w:ind w:left="1040" w:right="280" w:hanging="519"/>
        <w:spacing w:after="0" w:line="313"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concerning patents, proprietary rights, or license and collaboration agreements that negatively impact our receipt of milestone payments or royalties or require us to make significant payments arising from licenses, settlements, adverse judgments or ongoing royalties.</w:t>
      </w:r>
    </w:p>
    <w:p>
      <w:pPr>
        <w:spacing w:after="0" w:line="13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our later stage research and development programs,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289" w:lineRule="exact"/>
        <w:rPr>
          <w:sz w:val="20"/>
          <w:szCs w:val="20"/>
          <w:color w:val="auto"/>
        </w:rPr>
      </w:pPr>
    </w:p>
    <w:p>
      <w:pPr>
        <w:ind w:left="2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product candidates due to important factors such as safety and efficacy compared to other available treatments, including potential generic drug alternatives with similar efficacy profiles, changing standards of care, third party payer reimbursement standards, patient and physician preferences, drug scheduling status, the availability of competitive alternatives that may emerge either during the long drug development process or after commercial introduction, and the availability of generic versions of our product candidates following approval by regulatory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also depend on our relationships with other companies for sales and marketing performance and the commercialization of product candidates. Poor performance by these companies, or disputes with these companies, could negatively impact our revenue and financial condition.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5" w:name="page36"/>
    <w:bookmarkEnd w:id="35"/>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products or proprietary products, those products will not be widely accepted, which would have a negative impact on our business, results of operations and financial condition.</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both domestic and foreign markets, sales of our partnered and proprietary products that have received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w:t>
      </w:r>
    </w:p>
    <w:p>
      <w:pPr>
        <w:spacing w:after="0" w:line="8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297"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293" w:lineRule="exact"/>
        <w:rPr>
          <w:sz w:val="20"/>
          <w:szCs w:val="20"/>
          <w:color w:val="auto"/>
        </w:rPr>
      </w:pPr>
    </w:p>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exclusively derived from our collaboration agreements, which can result in significant fluctuation in our revenue from period to period, and our past revenue is therefore not necessarily indicative of our future revenue.</w:t>
      </w:r>
    </w:p>
    <w:p>
      <w:pPr>
        <w:spacing w:after="0" w:line="5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Our revenue is exclusively derived from our collaboration agreements, from which we receive upfront fees, contract research payments,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our ability to find and maintain suitable collaboration partners, the timing of the negotiation and conclusion of collaboration agreements with such partners,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product candidate under our collaboration agreement, our business, financial condition, and results of operations could be materially and adversely affected.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5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We currently derive, and expect to derive in the foreseeable future, substantially all of our revenue from collaboration agreements with biotechnology and pharmaceutical companies. These collaboration agreements contain complex commercial terms, including:</w:t>
      </w:r>
    </w:p>
    <w:p>
      <w:pPr>
        <w:spacing w:after="0" w:line="54" w:lineRule="exact"/>
        <w:rPr>
          <w:sz w:val="20"/>
          <w:szCs w:val="20"/>
          <w:color w:val="auto"/>
        </w:rPr>
      </w:pPr>
    </w:p>
    <w:p>
      <w:pPr>
        <w:ind w:left="1040" w:right="2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53"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drug candidate development programs;</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53"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22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it could subject us to substantial liabilities and harm our financial condition.</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284"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through our collaborations, are not successful in recruiting sales and marketing personnel or in building a sales and marketing infrastructure, we will have difficulty commercializing our products, which would adversely affect our business, results of operations and financial condition.</w:t>
      </w:r>
    </w:p>
    <w:p>
      <w:pPr>
        <w:spacing w:after="0" w:line="67"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To the extent we rely on other pharmaceutical or biotechnology companies with established sales, marketing and distribution systems to market our products, we will need to establish and maintain partnership arrangements, and we may not be able to enter into these arrangements on acceptable terms or at all. To the extent that we enter into co-promotion or other arrangements, any revenue we receive will depend upon the efforts of third parties, which may not be successful and over which we have little or no control—important examples of this risk include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partnered with AstraZeneca and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(previously referred to as BAX 855) partnered with Baxalta (a wholly-owned subsidiary of Takeda). In the event that we market our products without a partner, we would be required to build, either internally or through third-party contracts, a sales and marketing organization and infrastructure, which would require a significant investment, and we may not be successful in building this organization and infrastructure in a timely or efficient manner.</w:t>
      </w:r>
    </w:p>
    <w:p>
      <w:pPr>
        <w:spacing w:after="0" w:line="289" w:lineRule="exact"/>
        <w:rPr>
          <w:sz w:val="20"/>
          <w:szCs w:val="20"/>
          <w:color w:val="auto"/>
        </w:rPr>
      </w:pPr>
    </w:p>
    <w:p>
      <w:pPr>
        <w:ind w:left="26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create robust sales, marketing and distribution capabilities or to enter into agreements with third parties to perform these functions, we will be unable to commercialize our product candidates successfully.</w:t>
      </w:r>
    </w:p>
    <w:p>
      <w:pPr>
        <w:spacing w:after="0" w:line="5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currently have no sales or distribution capabilities. To commercialize any of our drugs that receive regulatory approval for commercialization, we must develop robust internal sales, marketing and distribution capabilities, and manage inventory, supply, labeling, storage, record keeping, and advertising and promotion capabilities, which would be expensive and time consuming, or enter into collaboration arrangements with third parties to perform these services. If we decide to market our products directly, we must commit significant financial and managerial resources to develop a marketing and sales force with technical expertise and with supporting distribution, administration and compliance capabilities. Factors that may inhibit our efforts to commercialize our products directly or through partnerships include:</w:t>
      </w:r>
    </w:p>
    <w:p>
      <w:pPr>
        <w:spacing w:after="0" w:line="80"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successfully educate adequate numbers of physicians about the potential benefits associated with the use of, and to subsequently prescribe, our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7" w:name="page38"/>
    <w:bookmarkEnd w:id="37"/>
    <w:p>
      <w:pPr>
        <w:ind w:left="1040" w:right="18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or multiple product pricing arrangements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329" w:lineRule="exact"/>
        <w:rPr>
          <w:sz w:val="20"/>
          <w:szCs w:val="20"/>
          <w:color w:val="auto"/>
        </w:rPr>
      </w:pPr>
    </w:p>
    <w:p>
      <w:pPr>
        <w:ind w:left="26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clinical trials for our proprietary product candidates and any failure of those parties to fulfill their obligations could harm our development and commercialization plans.</w:t>
      </w:r>
    </w:p>
    <w:p>
      <w:pPr>
        <w:spacing w:after="0" w:line="5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depend on independent clinical investigators, contract research organizations and other third-party service providers to conduct clinical trials for our proprietary product candidates. We rely heavily on these parties for the successful execution of our clinical trials. Though we are ultimately responsible for the results of their activities, many aspects of their activities are beyond our control.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products to us in an untimely manner. Third parties may not complete activities on schedule or may not conduct our clinical trials in accordance with regulatory requirements or our stated protocols. The early termination of any of our clinical trial arrangements, the failure of third parties to comply with the regulations and requirements governing clinical trials or the failure of third parties to properly conduct our clinical trials could hinder or delay the development, approval and commercialization of our product candidates and would adversely affect our business, results of operations and financial condition.</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losses and negative cash flow from operations and may not achieve or sustain profitability in the future.</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we reported net loss of $118.5 million. If and when we achieve profitability depends upon a number of factors, including the timing and recognition of milestone and other contingent payments and royalties received, the timing of revenue under our collaboration agreements, the amount of investments we make in our proprietary product candidates and the regulatory approval and market success of our product candidates. We may not be able to achieve and sustain profitability.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1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NKTR-214, NKTR-358, NKTR-262, NKTR-255, and ONZEALD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on products that have been approved, marketed or submitted for marketing approval with regulatory authorities;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329" w:lineRule="exact"/>
        <w:rPr>
          <w:sz w:val="20"/>
          <w:szCs w:val="20"/>
          <w:color w:val="auto"/>
        </w:rPr>
      </w:pPr>
    </w:p>
    <w:p>
      <w:pPr>
        <w:ind w:left="2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for our polymer conjugate chemistry technology platforms and our partnered and proprietary products and product candidates could make our technologies, products or product candidates obsolete or uncompetitive, which would negatively impact our business, results of operations and financial condition.</w:t>
      </w:r>
    </w:p>
    <w:p>
      <w:pPr>
        <w:spacing w:after="0" w:line="67"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Our advanced polymer conjugate chemistry platforms and our partnered and proprietary products and product candidates compete with various pharmaceutical and biotechnology companies. Competitors of our polymer conjugate chemistry technologies include Biogen Inc., Savient Pharmaceuticals, Inc., Dr. Reddy’s Laboratories Ltd., SunBio Corporation, Mountain View Pharmaceuticals, Inc., Novo Nordisk A/S (formerly assets held by Neose Technologies, Inc.), and NOF Corporation. Several other chemical, biotechnology and pharmaceutical companies may also be developing polymer conjugation technologies or technologies that have similar impact on target drug molecules. Some of these companies license or provide the technology to other companies, while others are developing the technology for internal use.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8" w:name="page39"/>
    <w:bookmarkEnd w:id="38"/>
    <w:p>
      <w:pPr>
        <w:ind w:firstLine="518"/>
        <w:spacing w:after="0" w:line="251" w:lineRule="auto"/>
        <w:rPr>
          <w:sz w:val="20"/>
          <w:szCs w:val="20"/>
          <w:color w:val="auto"/>
        </w:rPr>
      </w:pPr>
      <w:r>
        <w:rPr>
          <w:rFonts w:ascii="Times New Roman" w:cs="Times New Roman" w:eastAsia="Times New Roman" w:hAnsi="Times New Roman"/>
          <w:sz w:val="18"/>
          <w:szCs w:val="18"/>
          <w:color w:val="auto"/>
        </w:rPr>
        <w:t>There are many competitors for our proprietary product candidates currently in development. For NKTR-214, there are numerous companies engaged in developing immunotherapies to be used alone, or in combination, to treat a wide range of oncology indications targeting both solid and liquid tumors. In particular, we expect to compete with therapies with tumor infiltrating lymphocytes, or TILS, chimeric antigen receptor-expressing T cells, or CAR-T, cytokine-based therapies, and checkpoint inhibitors. Potential competitors in the TIL and CAR-T space include Gilead Sciences, Inc. (through its acquisition of Kite Pharma, Inc.)/NCI, Apeiron Biologics, Philogen S.p.A., IRX Therapeutics, Anaveon AG, Adaptimmune LLC, and Novartis AG, Alkermes plc, Altor Bioscience, Roche, Synthorx, Inc., and Eli Lilly &amp; Co. (through its acquisition of Armo BioSciences) in the cytokine-based therapies space, and Tesaro, Inc., Macrogenics, Inc., Merck, Bristol-Myers Squibb Company, and Roche in the checkpoint inhibitor space. For NKTR-358,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therapies (Symbiotix, LLC and Tizona Therapeutics), regulatory T cell therapies (Targazyme, Inc., Caladrius BioSciences, Inc., and Tract Therapeutics, Inc.), or IL-2-based-therapies (Amgen Inc.). For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there are currently several alternative therapies used to address opioid-induced constipation (OIC) and opioid-induced bowel dysfunction (OBD), including RELISTOR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Subcutaneous Injection (methylnaltrexone bromide), oral therapy AMITIZA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(lubiprostone), and oral and rectal over-the-counter laxatives and stool softeners such as docusate sodium, senna and milk of magnesia. For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there is substantial competition from Sanofi’s Fc fusion protein ELOCTATE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for Hemophilia A treatment, JIVI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(antihemophilic factor (recombinant) PEGylated-aucl, an extended half-life Factor VIII for Hemophilia A treatment, approved in the U.S. in August 2018, and marketed by Bayer Healthcare, and Novo Nordisk which is expected to launch an extended half-life product in 2020. In addition, technologies other than those based on Fc fusion and polymer conjugation approaches (such as gene therapy approaches being developed by BioMarin Pharmaceutical Inc. and others) are being pursued to treat patients with Hemophilia A. For NKTR-181, there are numerous companies developing pain therapies designed to have less abuse potential primarily through formulation technologies and techniques applied to existing pain therapies. Potential competitors include Acura Pharmaceuticals, Inc., Cara Therapeutics, Inc., Collegium Pharmaceutical, Inc., Egalet Ltd, Elite Pharmaceuticals, Inc., Endo Health Solutions Inc., KemPharm, Inc., Pfizer/Eli Lilly &amp; Co., Purdue Pharma L.P., and Regeneron Pharmaceuticals, Inc./Teva Pharmaceutical Industries Ltd. For ONZEALD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there are a number of chemotherapies and cancer therapies approved today and in various stages of clinical development for breast cancer, including, but not limited to: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(paclitaxel protein-bound particles for injectable suspension (albumin bound)), Xeloda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(capecitabine), Afinitor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(everolimus), Ellence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(epirubicin), Gemzar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(gemcitabine), Halaven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(eribulin), Herceptin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(trastuzumab), Ixempra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(ixabepilone), Navelbine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(vinolrebine), and Taxotere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(docetaxel). Major pharmaceutical or biotechnology companies with approved drugs or drugs in development for breast cancers include, but are not limited to, Bristol-Myers Squibb Company, Eli Lilly &amp; Co., Roche, GlaxoSmithKline plc, Pfizer Inc., Eisai Inc., and Sanofi Aventis S.A.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uncompetitive or obsolete.</w:t>
      </w:r>
    </w:p>
    <w:p>
      <w:pPr>
        <w:spacing w:after="0" w:line="3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 which could adversely affect our operations and financial performance.</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ability to manage and operate our business as we execute our development and growth strategy will require effective planning. Significant rapid growth could strain our management and internal resources, and other problems may arise that could adversely affect our financial performance. We expect that our efforts to grow will place a significant strain on personnel, management systems, infrastructure and other resources. Our ability to effectively manage future growth will also require us to successfully attract, train, motivate, retain and manage new employees and continue to update and improve our operational, financial and management controls and procedures. If we do not manage our growth effectively, our operations and financial performance could be adversely affected.</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121" w:lineRule="exact"/>
        <w:rPr>
          <w:sz w:val="20"/>
          <w:szCs w:val="20"/>
          <w:color w:val="auto"/>
        </w:rPr>
      </w:pPr>
    </w:p>
    <w:p>
      <w:pPr>
        <w:jc w:val="both"/>
        <w:ind w:right="40" w:firstLine="518"/>
        <w:spacing w:after="0" w:line="277" w:lineRule="auto"/>
        <w:rPr>
          <w:sz w:val="20"/>
          <w:szCs w:val="20"/>
          <w:color w:val="auto"/>
        </w:rPr>
      </w:pPr>
      <w:r>
        <w:rPr>
          <w:rFonts w:ascii="Times New Roman" w:cs="Times New Roman" w:eastAsia="Times New Roman" w:hAnsi="Times New Roman"/>
          <w:sz w:val="17"/>
          <w:szCs w:val="17"/>
          <w:color w:val="auto"/>
        </w:rPr>
        <w:t>Our business strategy requires us to manage our business to provide for the continued development and potential commercialization of our proprietary and partnered drug candidates. Our strategy also calls for us to undertake increased research and development activities and to manage an increasing number of relationships with partners and other third parties, while simultaneously managing the capital necessary to support this strategy. If we are unable to manage effectively our current operations and any growth we may experience, our business, financial condition and results of operations may be adversely affected. If we are unable to effectively manage our expenses, we may find it necessary to reduce our personnel-related costs through reductions in our workforce,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financing arrangements on unfavorable terms.</w:t>
      </w:r>
    </w:p>
    <w:p>
      <w:pPr>
        <w:spacing w:after="0" w:line="280" w:lineRule="exact"/>
        <w:rPr>
          <w:sz w:val="20"/>
          <w:szCs w:val="20"/>
          <w:color w:val="auto"/>
        </w:rPr>
      </w:pPr>
    </w:p>
    <w:p>
      <w:pPr>
        <w:ind w:left="2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must attract and retain experts in the areas of clinical testing, manufacturing, research,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options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293" w:lineRule="exact"/>
        <w:rPr>
          <w:sz w:val="20"/>
          <w:szCs w:val="20"/>
          <w:color w:val="auto"/>
        </w:rPr>
      </w:pPr>
    </w:p>
    <w:p>
      <w:pPr>
        <w:ind w:left="2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51"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293" w:lineRule="exact"/>
        <w:rPr>
          <w:sz w:val="20"/>
          <w:szCs w:val="20"/>
          <w:color w:val="auto"/>
        </w:rPr>
      </w:pPr>
    </w:p>
    <w:p>
      <w:pPr>
        <w:ind w:left="26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litigation.</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stock price is volatile. During the three months ended March 31, 2019, based on closing prices on The NASDAQ Global Select Market, the closing price of our common stock ranged from $31.58 to $46.35 per share. Plaintiffs’ securities litigation firms have recently publicly announced that they are investigating a potential breach of fiduciary duty claim involving our board of directors. Additionally, on October 30, 2018, the Company and its CEO and CFO were named in a putative securities class action entitled, Mulquin v. Nektar Therapeutics et. al., N.D. Cal. Also, on February 13, 2019, and February 18, 2019, shareholder derivative complaints were filed in the U.S. District Court for the District of Delaware naming the CEO, CFO and certain members of Nektar’s board. Both the class action and shareholder derivative actions assert, among other things, that for a period beginning at least from November 11, 2017 through October 2, 2018, the Company’s stock was inflated due to alleged misrepresentations about the efficacy and safety of NKTR-214. We expect our stock price to remain volatile. A variety of factors may have a significant effect on the market price of our common stock, including the risks described in this section titled “Risk Factors” and the following:</w:t>
      </w:r>
    </w:p>
    <w:p>
      <w:pPr>
        <w:spacing w:after="0" w:line="81" w:lineRule="exact"/>
        <w:rPr>
          <w:sz w:val="20"/>
          <w:szCs w:val="20"/>
          <w:color w:val="auto"/>
        </w:rPr>
      </w:pPr>
    </w:p>
    <w:p>
      <w:pPr>
        <w:ind w:left="1040" w:right="100" w:hanging="519"/>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data from clinical studies of NKTR-214 has had a significant impact on our stock price;</w:t>
      </w:r>
    </w:p>
    <w:p>
      <w:pPr>
        <w:spacing w:after="0" w:line="68"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drug candidates and approved drugs in which we have a substantial economic interest;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17" w:lineRule="exact"/>
        <w:rPr>
          <w:rFonts w:ascii="Times New Roman" w:cs="Times New Roman" w:eastAsia="Times New Roman" w:hAnsi="Times New Roman"/>
          <w:sz w:val="18"/>
          <w:szCs w:val="18"/>
          <w:color w:val="auto"/>
        </w:rPr>
      </w:pPr>
    </w:p>
    <w:p>
      <w:pPr>
        <w:ind w:left="1040" w:right="6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53"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products or products under development;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22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266"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51"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54"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pacing w:after="0" w:line="53" w:lineRule="exact"/>
        <w:rPr>
          <w:rFonts w:ascii="Times New Roman" w:cs="Times New Roman" w:eastAsia="Times New Roman" w:hAnsi="Times New Roman"/>
          <w:sz w:val="18"/>
          <w:szCs w:val="18"/>
          <w:color w:val="auto"/>
        </w:rPr>
      </w:pPr>
    </w:p>
    <w:p>
      <w:pPr>
        <w:ind w:left="1040" w:right="3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22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288"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our 7.75% senior secured notes imposes significant operating and financial restrictions on us and our subsidiaries that may prevent us from pursuing certain business opportunities and restrict our ability to operate our business.</w:t>
      </w:r>
    </w:p>
    <w:p>
      <w:pPr>
        <w:spacing w:after="0" w:line="5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On October 5, 2015, we issued $250.0 million in aggregate principal amount of 7.75% senior secured notes due October 2020. The indenture governing the senior secured notes contains covenants that restrict our and our subsidiaries’ ability to take various actions, including, among other things:</w:t>
      </w:r>
    </w:p>
    <w:p>
      <w:pPr>
        <w:spacing w:after="0" w:line="54"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disqualified capital stock or cause certain of our subsidiaries to issue preferred stock;</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redeem equity interests or subordinated indebtedness or make certain types of investments;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lease or otherwise dispose of assets and issue or sell equity interests in certain of our subsidiaries;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certain of our subsidiaries’ ability to pay dividends or other distributions to the Company or to make intercompany loans, advances or asset transfers;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ind w:left="1040" w:right="28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businesses which are the same, similar, ancillary or reasonably related to our business as of the date of the indenture; and</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merger, consolidation, reorganization or business combination, sell, lease, convey or otherwise dispose of all or substantially all of our assets or other change of control transaction.</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This indenture also requires us to maintain a minimum cash and investments in marketable securities balance of $60.0 million. We have certain reporting obligations under the indenture regarding cash position and royalty revenue. The indenture specifies a number of events of default, some of which are subject to applicable grace or cure periods, including, among other things, non-payment defaults, covenant defaults, cross-defaults to other material indebtedness, bankruptcy and insolvency defaults, non-payment of material judgments, loss of any material business license, criminal indictment of the Company, and certain civil forfeiture proceedings involving material assets of the Company. Our ability to comply with these covenants will likely be affected by many factors, including events beyond our control, and we may not satisfy those requirements. Our failure to comply with our obligations could result in an event of default under our other indebtedness and the acceleration of our other indebtedness, in whole or in part, could result in an event of default under the indenture governing the senior secured notes.</w:t>
      </w:r>
    </w:p>
    <w:p>
      <w:pPr>
        <w:spacing w:after="0" w:line="18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restrictions contained in the indenture governing the senior secured notes could also limit our ability to plan for or react to market conditions, meet capital needs or otherwise restrict our activities or business plans and adversely affect our ability to finance our operations, enter into acquisitions or to engage in other business activities that would be in our interest.</w:t>
      </w:r>
    </w:p>
    <w:p>
      <w:pPr>
        <w:spacing w:after="0" w:line="280"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51"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288" w:lineRule="exact"/>
        <w:rPr>
          <w:sz w:val="20"/>
          <w:szCs w:val="20"/>
          <w:color w:val="auto"/>
        </w:rPr>
      </w:pPr>
    </w:p>
    <w:p>
      <w:pPr>
        <w:ind w:left="2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drug candidates on a commercially reasonable basis, if at all.</w:t>
      </w:r>
    </w:p>
    <w:p>
      <w:pPr>
        <w:spacing w:after="0" w:line="5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references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scope and adequacy of these licenses is very uncertain and can change substantially during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drug, which could significantly harm our business, results of operations, and financial condition.</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more than 275 U.S. and 850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inter partes review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post grant or inter parties review before the U.S. Patent and Trademark Office, which could result in a loss of the patent and/or substantial cost to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ind w:firstLine="518"/>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PEGylation and advanced polymer conjugate technologies and our proprietary product candidates. There can be no assurance that the patent applications for which we apply would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284"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5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rely on trade secret protection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288" w:lineRule="exact"/>
        <w:rPr>
          <w:sz w:val="20"/>
          <w:szCs w:val="20"/>
          <w:color w:val="auto"/>
        </w:rPr>
      </w:pPr>
    </w:p>
    <w:p>
      <w:pPr>
        <w:ind w:left="3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drug candidates,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drug candidates for which we obtain marketing approval. Our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Restrictions under applicable federal and state healthcare laws and regulations, include the following:</w:t>
      </w:r>
    </w:p>
    <w:p>
      <w:pPr>
        <w:spacing w:after="0" w:line="297" w:lineRule="exact"/>
        <w:rPr>
          <w:sz w:val="20"/>
          <w:szCs w:val="20"/>
          <w:color w:val="auto"/>
        </w:rPr>
      </w:pPr>
    </w:p>
    <w:p>
      <w:pPr>
        <w:ind w:left="960" w:right="140" w:hanging="385"/>
        <w:spacing w:after="0" w:line="255"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w:t>
      </w:r>
    </w:p>
    <w:p>
      <w:pPr>
        <w:spacing w:after="0" w:line="2" w:lineRule="exact"/>
        <w:rPr>
          <w:rFonts w:ascii="Times New Roman" w:cs="Times New Roman" w:eastAsia="Times New Roman" w:hAnsi="Times New Roman"/>
          <w:sz w:val="18"/>
          <w:szCs w:val="18"/>
          <w:color w:val="auto"/>
        </w:rPr>
      </w:pPr>
    </w:p>
    <w:p>
      <w:pPr>
        <w:ind w:left="960" w:right="60" w:hanging="385"/>
        <w:spacing w:after="0" w:line="237" w:lineRule="auto"/>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w:t>
      </w:r>
    </w:p>
    <w:p>
      <w:pPr>
        <w:spacing w:after="0" w:line="91" w:lineRule="exact"/>
        <w:rPr>
          <w:rFonts w:ascii="Times New Roman" w:cs="Times New Roman" w:eastAsia="Times New Roman" w:hAnsi="Times New Roman"/>
          <w:sz w:val="22"/>
          <w:szCs w:val="22"/>
          <w:color w:val="auto"/>
        </w:rPr>
      </w:pPr>
    </w:p>
    <w:p>
      <w:pPr>
        <w:jc w:val="both"/>
        <w:ind w:left="960" w:right="360" w:hanging="385"/>
        <w:spacing w:after="0" w:line="239" w:lineRule="auto"/>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provisions of the federal Health Insurance Portability and Accountability Act of 1996 (HIPAA), which created new federal criminal statutes, referred to as the “HIPAA All-Payer Fraud Prohibition,” that prohibit knowingly and willfully executing a scheme to defraud any healthcare benefit program and making false statements relating to healthcare matters;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ind w:left="960" w:right="60" w:hanging="385"/>
        <w:spacing w:after="0" w:line="243" w:lineRule="auto"/>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federal transparency laws, including the federal Physician Payment Sunshine Act, which require manufacturers of certain drugs and biologics to track and disclose payments and other transfers of value they make to U.S. physicians and teaching hospitals as well as physician ownership and investment interests in the manufacturer, and that such information is subsequently made publicly available in a searchable format on a CMS website;</w:t>
      </w:r>
    </w:p>
    <w:p>
      <w:pPr>
        <w:spacing w:after="0" w:line="87" w:lineRule="exact"/>
        <w:rPr>
          <w:rFonts w:ascii="Times New Roman" w:cs="Times New Roman" w:eastAsia="Times New Roman" w:hAnsi="Times New Roman"/>
          <w:sz w:val="22"/>
          <w:szCs w:val="22"/>
          <w:color w:val="auto"/>
        </w:rPr>
      </w:pPr>
    </w:p>
    <w:p>
      <w:pPr>
        <w:ind w:left="960" w:right="40" w:hanging="385"/>
        <w:spacing w:after="0" w:line="239" w:lineRule="auto"/>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w:t>
      </w:r>
    </w:p>
    <w:p>
      <w:pPr>
        <w:spacing w:after="0" w:line="2" w:lineRule="exact"/>
        <w:rPr>
          <w:rFonts w:ascii="Times New Roman" w:cs="Times New Roman" w:eastAsia="Times New Roman" w:hAnsi="Times New Roman"/>
          <w:sz w:val="22"/>
          <w:szCs w:val="22"/>
          <w:color w:val="auto"/>
        </w:rPr>
      </w:pPr>
    </w:p>
    <w:p>
      <w:pPr>
        <w:ind w:left="960" w:right="40" w:hanging="385"/>
        <w:spacing w:after="0" w:line="25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w:t>
      </w:r>
    </w:p>
    <w:p>
      <w:pPr>
        <w:spacing w:after="0" w:line="18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third-parties comply with applicable healthcare laws and regulations could involve substantial costs. If our operations are found to be in violation of any such requirements, we may be subject to penalties, including civil or criminal penalties,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89" w:lineRule="exact"/>
        <w:rPr>
          <w:sz w:val="20"/>
          <w:szCs w:val="20"/>
          <w:color w:val="auto"/>
        </w:rPr>
      </w:pPr>
    </w:p>
    <w:p>
      <w:pPr>
        <w:ind w:left="26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5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From time to time, third parties have asserted, and may in the future assert, that we or our partners infringe their proprietary rights, such as patents and trade secrets, or have otherwise breached our obligations to them. A third party often bases its assertions on a claim that its patents cover our technology platform or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8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For example, we are currently involved in a German litigation proceedings whereby Bayer is seeking co-ownership rights in certain of our patent filings pending at the European Patent Office covering, among other things, PEGylated Factor VIII which we have exclusively licensed to Baxalta (a wholly-owned subsidiary of Takeda). The subject matter of our patent filings in this proceeding relates to Bayer’s PEGylated recombinant Factor VIII compound, BAY 94-9027, now commercially marketed as JIVI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We believe that Bayer’s claim to an ownership interest in these patent filings is without merit and are vigorously defending sole and exclusive ownership rights to this intellectual property. In addition, Nektar has filed claims in Germany seeking ownership rights of certain Bayer patent applications. In the U.S., Bayer filed a complaint against Baxalta and Nektar alleging the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infringes a Bayer patent. Although the U.S. court dismissed all of Bayer’s claims against Nektar and Nektar was removed as a defendant, a jury found the Bayer patent was valid and infringed, and awarded Bayer damages, the responsibility of which are borne fully by Baxalta. This damages award does not impact our royalties from sales of ADYNOVATE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under our collaboration with Baxalta. In other U.S. proceedings, Nektar and Baxalta filed complaints against Bayer Healthcare alleging Bayer’s JIVI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 infringes a total of twelve Nektar patents. In addition, in response to notices AstraZeneca and we received from the generic companies, Apotex (Apotex Inc. and Apotex Corp.) and MSN Laboratories Pvt. Ltd., alerting us that they had filed abbreviated new drug applications (ANDAs) with the FDA to market a generic version of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(Paragraph IV Certifications), AstraZeneca and we together filed patent infringement suits against each of these generic companies in December 2018. In the Paragraph IV Certifications, both generic companies only alleged one patent, U.S. Patent No. 9,012,469, was either invalid, unenforceable and/or not infringed by the manufacture, use or sale of their respective genetic products. At this time, none of the other five Orange Book listed patents associated with MOVANTIK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are being challenged by these generics companies. In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addition, we are currently named in a putative securities class action lawsuit, and our CEO, CFO and certain members of our board are named in a shareholder derivative complaint. We are also regularly involved in opposition proceedings at the European Patent Office where third parties seek to invalidate or limit the scope of our allowed European patent applications covering (among other things) our drugs and platform technologies. 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w:t>
      </w:r>
    </w:p>
    <w:p>
      <w:pPr>
        <w:spacing w:after="0" w:line="292"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partners, vendors, CROs or other contractors or consultants, may fail or suffer security breaches, which could result in a material disruption of our product development programs or the theft of our confidential information or patient confidential information.</w:t>
      </w:r>
    </w:p>
    <w:p>
      <w:pPr>
        <w:spacing w:after="0" w:line="67"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partners, vendors, contract research organizations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future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of our company or clinical patients, we could suffer or be subject to reputational harm, monetary fines (such as those imposed by European Regulation 2016/679, known as the General Data Protection Regulation, or “GDPR” and, effective in 2020, the California Consumer Privacy Act, or “CCPA”),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ind w:left="30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(EU) may have a negative effect on global economic conditions, access to patient markets, and regulatory certainty, which could adversely affect our operations.</w:t>
      </w:r>
    </w:p>
    <w:p>
      <w:pPr>
        <w:spacing w:after="0" w:line="5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In June 2016, the electorate in the United Kingdom voted to withdraw from the EU in a national referendum (Brexit). Although the United Kingdom and the EU continue to discuss the terms under which the United Kingdom will withdraw from the EU, no agreement has been reached.</w:t>
      </w:r>
    </w:p>
    <w:p>
      <w:pPr>
        <w:spacing w:after="0" w:line="5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addition to having a negative effect on global economic conditions, Brexit is expected to lead to a period of considerable uncertainty on regulatory processes in Europe and the European Economic Area. The lack of clarity about which EU rules and regulations the United Kingdom would replace or replicate in the event of Brexit, such as rules and regulations relating to trade (including the importation and exportation of pharmaceuticals), clinical research, and intellectual property, increases the risk that our clinical trials being carried out in United Kingdom are delayed or disrupted. Further, depending on which rules and regulations the United Kingdom ultimately adopts following a withdrawal from the EU, our business could be negatively affected.</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negatively affect us and may magnify certain risks that affect our business.</w:t>
      </w:r>
    </w:p>
    <w:p>
      <w:pPr>
        <w:spacing w:after="0" w:line="121"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affected by global economic conditions.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and our collaboration partners’ drug products, which could have a material adverse effect on our product sales, business and results of operations.</w:t>
      </w:r>
    </w:p>
    <w:p>
      <w:pPr>
        <w:spacing w:after="0" w:line="7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Further, rising international trade tensions, new or increased tariffs and changes in the U.S. trade policy may increase the costs of materials and products imported into the U.S. and may adversely affect our business.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earthquakes or other catastrophic events strike, our business may be harmed.</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Our corporate headquarters, including a substantial portion of our research and development operations, are located in the San Francisco Bay Area, a region known for seismic activity and a potential terrorist target. In addition, we own facilities for the manufacture of products using our advanced polymer conjugate technologies in Huntsville, Alabama and own and lease offices in Hyderabad, India. There are no backup facilities for our manufacturing operations located in Huntsville, Alabama. In the event of an earthquake or other natural disaster, political instability, or terrorist event in any of these locations, our ability to manufacture and supply materials for drug candidates in development and our ability to meet our manufacturing obligations to our customers would be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18"/>
          <w:szCs w:val="18"/>
          <w:color w:val="auto"/>
        </w:rPr>
        <w:t>significantly disrupted and our business, results of operations and financial condition would be harmed. Our collaborative partners may also be subject to catastrophic events, such as earthquakes, floods, hurricanes and tornadoes, any of which could harm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None, including no purchases of any class of our equity securities by us or any affiliate pursuant to any publicly announced repurchase plan in the three months ended March 31, 2019.</w:t>
      </w:r>
    </w:p>
    <w:p>
      <w:pPr>
        <w:spacing w:after="0" w:line="34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445" w:right="519" w:bottom="1440" w:gutter="0" w:footer="0" w:header="0"/>
        </w:sectPr>
      </w:pPr>
    </w:p>
    <w:bookmarkStart w:id="46" w:name="page47"/>
    <w:bookmarkEnd w:id="4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Quarterly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87"/>
        </w:trPr>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Documents</w:t>
            </w:r>
          </w:p>
        </w:tc>
      </w:tr>
      <w:tr>
        <w:trPr>
          <w:trHeight w:val="178"/>
        </w:trPr>
        <w:tc>
          <w:tcPr>
            <w:tcW w:w="980" w:type="dxa"/>
            <w:vAlign w:val="bottom"/>
          </w:tcPr>
          <w:p>
            <w:pPr>
              <w:spacing w:after="0"/>
              <w:rPr>
                <w:sz w:val="15"/>
                <w:szCs w:val="15"/>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7"/>
                <w:szCs w:val="7"/>
                <w:color w:val="auto"/>
              </w:rPr>
              <w:t>\</w:t>
            </w:r>
          </w:p>
        </w:tc>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02"/>
        </w:trPr>
        <w:tc>
          <w:tcPr>
            <w:tcW w:w="9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260" w:type="dxa"/>
            <w:vAlign w:val="bottom"/>
            <w:gridSpan w:val="9"/>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Incorporation of Inhale Therapeutic Systems (Delaware), Inc.</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85"/>
        </w:trPr>
        <w:tc>
          <w:tcPr>
            <w:tcW w:w="9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7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of the Amended Certificate of Incorporation of Inhale Therapeutic Systems, Inc.</w:t>
              </w:r>
            </w:hyperlink>
          </w:p>
        </w:tc>
        <w:tc>
          <w:tcPr>
            <w:tcW w:w="2520" w:type="dxa"/>
            <w:vAlign w:val="bottom"/>
            <w:gridSpan w:val="4"/>
          </w:tcPr>
          <w:p>
            <w:pPr>
              <w:spacing w:after="0"/>
              <w:rPr>
                <w:sz w:val="24"/>
                <w:szCs w:val="24"/>
                <w:color w:val="auto"/>
              </w:rPr>
            </w:pPr>
          </w:p>
        </w:tc>
      </w:tr>
      <w:tr>
        <w:trPr>
          <w:trHeight w:val="385"/>
        </w:trPr>
        <w:tc>
          <w:tcPr>
            <w:tcW w:w="9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24"/>
                <w:szCs w:val="24"/>
                <w:color w:val="auto"/>
              </w:rPr>
            </w:pPr>
          </w:p>
        </w:tc>
        <w:tc>
          <w:tcPr>
            <w:tcW w:w="10260" w:type="dxa"/>
            <w:vAlign w:val="bottom"/>
            <w:gridSpan w:val="9"/>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Ownership and Merger of Nektar Therapeutics.</w:t>
              </w:r>
            </w:hyperlink>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85"/>
        </w:trPr>
        <w:tc>
          <w:tcPr>
            <w:tcW w:w="9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24"/>
                <w:szCs w:val="24"/>
                <w:color w:val="auto"/>
              </w:rPr>
            </w:pPr>
          </w:p>
        </w:tc>
        <w:tc>
          <w:tcPr>
            <w:tcW w:w="81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Ownership and Merger of Nektar Therapeutics AL, Corporation with and into Nektar Therapeutics.</w:t>
              </w:r>
            </w:hyperlink>
          </w:p>
        </w:tc>
        <w:tc>
          <w:tcPr>
            <w:tcW w:w="2080" w:type="dxa"/>
            <w:vAlign w:val="bottom"/>
          </w:tcPr>
          <w:p>
            <w:pPr>
              <w:spacing w:after="0"/>
              <w:rPr>
                <w:sz w:val="24"/>
                <w:szCs w:val="24"/>
                <w:color w:val="auto"/>
              </w:rPr>
            </w:pPr>
          </w:p>
        </w:tc>
      </w:tr>
      <w:tr>
        <w:trPr>
          <w:trHeight w:val="385"/>
        </w:trPr>
        <w:tc>
          <w:tcPr>
            <w:tcW w:w="9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24"/>
                <w:szCs w:val="24"/>
                <w:color w:val="auto"/>
              </w:rPr>
            </w:pPr>
          </w:p>
        </w:tc>
        <w:tc>
          <w:tcPr>
            <w:tcW w:w="40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Amended and Restated Bylaws of Nektar Therapeutics.</w:t>
              </w:r>
            </w:hyperlink>
          </w:p>
        </w:tc>
        <w:tc>
          <w:tcPr>
            <w:tcW w:w="6240" w:type="dxa"/>
            <w:vAlign w:val="bottom"/>
            <w:gridSpan w:val="7"/>
          </w:tcPr>
          <w:p>
            <w:pPr>
              <w:spacing w:after="0"/>
              <w:rPr>
                <w:sz w:val="24"/>
                <w:szCs w:val="24"/>
                <w:color w:val="auto"/>
              </w:rPr>
            </w:pPr>
          </w:p>
        </w:tc>
      </w:tr>
      <w:tr>
        <w:trPr>
          <w:trHeight w:val="264"/>
        </w:trPr>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tcPr>
          <w:p>
            <w:pPr>
              <w:spacing w:after="0"/>
              <w:rPr>
                <w:sz w:val="22"/>
                <w:szCs w:val="22"/>
                <w:color w:val="auto"/>
              </w:rPr>
            </w:pPr>
          </w:p>
        </w:tc>
        <w:tc>
          <w:tcPr>
            <w:tcW w:w="10260" w:type="dxa"/>
            <w:vAlign w:val="bottom"/>
            <w:gridSpan w:val="9"/>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Certification of Nektar Therapeutics’ principal executive officer required by Rule 13a-14(a) or Rule 15d-14(a).</w:t>
              </w:r>
            </w:hyperlink>
          </w:p>
        </w:tc>
      </w:tr>
      <w:tr>
        <w:trPr>
          <w:trHeight w:val="25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31.2(6)</w:t>
            </w:r>
          </w:p>
        </w:tc>
        <w:tc>
          <w:tcPr>
            <w:tcW w:w="180" w:type="dxa"/>
            <w:vAlign w:val="bottom"/>
          </w:tcPr>
          <w:p>
            <w:pPr>
              <w:spacing w:after="0"/>
              <w:rPr>
                <w:sz w:val="21"/>
                <w:szCs w:val="21"/>
                <w:color w:val="auto"/>
              </w:rPr>
            </w:pPr>
          </w:p>
        </w:tc>
        <w:tc>
          <w:tcPr>
            <w:tcW w:w="80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Certification of Nektar Therapeutics’ principal financial officer required by Rule 13a-14(a) or Rule 15d-14(a).</w:t>
              </w:r>
            </w:hyperlink>
          </w:p>
        </w:tc>
        <w:tc>
          <w:tcPr>
            <w:tcW w:w="2260" w:type="dxa"/>
            <w:vAlign w:val="bottom"/>
            <w:gridSpan w:val="2"/>
          </w:tcPr>
          <w:p>
            <w:pPr>
              <w:spacing w:after="0"/>
              <w:rPr>
                <w:sz w:val="21"/>
                <w:szCs w:val="21"/>
                <w:color w:val="auto"/>
              </w:rPr>
            </w:pPr>
          </w:p>
        </w:tc>
      </w:tr>
      <w:tr>
        <w:trPr>
          <w:trHeight w:val="25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79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Section 1350 Certifications.</w:t>
              </w:r>
            </w:hyperlink>
          </w:p>
        </w:tc>
        <w:tc>
          <w:tcPr>
            <w:tcW w:w="2320" w:type="dxa"/>
            <w:vAlign w:val="bottom"/>
            <w:gridSpan w:val="3"/>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r>
      <w:tr>
        <w:trPr>
          <w:trHeight w:val="245"/>
        </w:trPr>
        <w:tc>
          <w:tcPr>
            <w:tcW w:w="9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Nektar Therapeutics’ Quarterly Report on Form 10-Q for the quarter ended March 31, 2019, formatted in</w:t>
            </w:r>
          </w:p>
        </w:tc>
      </w:tr>
      <w:tr>
        <w:trPr>
          <w:trHeight w:val="189"/>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rPr>
              <w:t>XBRL (Extensible Business Reporting Language): (i) the unaudited Condensed Consolidated Balance Sheets, (ii) the unaudited Condensed</w:t>
            </w:r>
          </w:p>
        </w:tc>
      </w:tr>
      <w:tr>
        <w:trPr>
          <w:trHeight w:val="189"/>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(iii) the unaudited Condensed Consolidated Statements of Comprehensive Loss, (iv) the unaudited</w:t>
            </w:r>
          </w:p>
        </w:tc>
      </w:tr>
      <w:tr>
        <w:trPr>
          <w:trHeight w:val="189"/>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Stockholders’ Equity, (v) the unaudited Condensed Consolidated Statements of Cash Flows, and (vi)</w:t>
            </w:r>
          </w:p>
        </w:tc>
      </w:t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969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Quarterly Report on Form 10-Q, for the quarter ended June 30, 1998.</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Nektar Therapeutics’ Quarterly Report on Form 10-Q, for the quarter ended June 30, 2000.</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January 23, 2003.</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Nektar Therapeutics’ Annual Report on Form 10-K, for the year ended December 31, 2009.</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Nektar Therapeutics’ Current Report on Form 8-K, filed with the SEC on February 6, 2019.</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right="160" w:hanging="512"/>
        <w:spacing w:after="0" w:line="281" w:lineRule="auto"/>
        <w:tabs>
          <w:tab w:leader="none" w:pos="5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2"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7" w:name="page48"/>
    <w:bookmarkEnd w:id="47"/>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GIL M. LABRUCHERIE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Gil M. Labrucherie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Date: May 8, 2019</w:t>
      </w:r>
    </w:p>
    <w:p>
      <w:pPr>
        <w:spacing w:after="0" w:line="20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JILLIAN B. THOMSEN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Jillian B.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Senior Vice President, Finance and Chief Accounting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Date: May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00"/>
          </w:cols>
          <w:pgMar w:left="240" w:top="333" w:right="8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Howard W. Robin,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2019 of Nektar Therapeutics;</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May 8, 2019</w:t>
      </w:r>
      <w:r>
        <w:rPr>
          <w:sz w:val="20"/>
          <w:szCs w:val="20"/>
          <w:color w:val="auto"/>
        </w:rPr>
        <w:tab/>
      </w:r>
      <w:r>
        <w:rPr>
          <w:rFonts w:ascii="Times New Roman" w:cs="Times New Roman" w:eastAsia="Times New Roman" w:hAnsi="Times New Roman"/>
          <w:sz w:val="17"/>
          <w:szCs w:val="17"/>
          <w:color w:val="auto"/>
        </w:rPr>
        <w:t>/s/ HOWARD W. ROBIN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Gil M. Labrucherie,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2019 of Nektar Therapeutics;</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May 8, 2019</w:t>
      </w:r>
      <w:r>
        <w:rPr>
          <w:sz w:val="20"/>
          <w:szCs w:val="20"/>
          <w:color w:val="auto"/>
        </w:rPr>
        <w:tab/>
      </w:r>
      <w:r>
        <w:rPr>
          <w:rFonts w:ascii="Times New Roman" w:cs="Times New Roman" w:eastAsia="Times New Roman" w:hAnsi="Times New Roman"/>
          <w:sz w:val="17"/>
          <w:szCs w:val="17"/>
          <w:color w:val="auto"/>
        </w:rPr>
        <w:t>/s/ GIL M. LABRUCHERIE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Gil M. Labrucherie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Howard W. Robin, Chief Executive Officer, President and Director of Nektar Therapeutics (the “Company”), and Gil M. Labrucherie, Senior Vice President and Chief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three months ended March 31, 2019,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May 8, 2019</w:t>
            </w:r>
          </w:p>
        </w:tc>
        <w:tc>
          <w:tcPr>
            <w:tcW w:w="4560" w:type="dxa"/>
            <w:vAlign w:val="bottom"/>
          </w:tcPr>
          <w:p>
            <w:pPr>
              <w:spacing w:after="0"/>
              <w:rPr>
                <w:sz w:val="20"/>
                <w:szCs w:val="20"/>
                <w:color w:val="auto"/>
              </w:rPr>
            </w:pPr>
          </w:p>
        </w:tc>
      </w:tr>
      <w:tr>
        <w:trPr>
          <w:trHeight w:val="432"/>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HOWARD W. ROBIN</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 GIL M. LABRUCHERIE</w:t>
            </w:r>
          </w:p>
        </w:tc>
      </w:tr>
      <w:tr>
        <w:trPr>
          <w:trHeight w:val="187"/>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Howard W. Robin</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Gil M. Labrucherie</w:t>
            </w:r>
          </w:p>
        </w:tc>
      </w:tr>
      <w:tr>
        <w:trPr>
          <w:trHeight w:val="238"/>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tc>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right="2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2"/>
    </w:lvl>
  </w:abstractNum>
  <w:abstractNum w:abstractNumId="3">
    <w:nsid w:val="41A7C4C9"/>
    <w:multiLevelType w:val="hybridMultilevel"/>
    <w:lvl w:ilvl="0">
      <w:lvlJc w:val="left"/>
      <w:lvlText w:val="%1)"/>
      <w:numFmt w:val="decimal"/>
      <w:start w:val="15"/>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62" Type="http://schemas.openxmlformats.org/officeDocument/2006/relationships/hyperlink" Target="http://www.sec.gov/Archives/edgar/data/906709/0001047469-98-031070.txt" TargetMode="External"/><Relationship Id="rId63" Type="http://schemas.openxmlformats.org/officeDocument/2006/relationships/hyperlink" Target="http://www.sec.gov/Archives/edgar/data/906709/000091205700037283/ex-3_3.txt" TargetMode="External"/><Relationship Id="rId64" Type="http://schemas.openxmlformats.org/officeDocument/2006/relationships/hyperlink" Target="http://www.sec.gov/Archives/edgar/data/906709/000104746903002325/a2101294zex-3_1.htm" TargetMode="External"/><Relationship Id="rId65" Type="http://schemas.openxmlformats.org/officeDocument/2006/relationships/hyperlink" Target="http://www.sec.gov/Archives/edgar/data/906709/000114420410011093/v176023_ex3-6.htm" TargetMode="External"/><Relationship Id="rId66" Type="http://schemas.openxmlformats.org/officeDocument/2006/relationships/hyperlink" Target="http://www.sec.gov/Archives/edgar/data/906709/000119312519029550/d69225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2019-12-28T12:40:20Z</dcterms:created>
  <dcterms:modified xsi:type="dcterms:W3CDTF">2019-12-28T12:40:20Z</dcterms:modified>
</cp:coreProperties>
</file>