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55880</wp:posOffset>
            </wp:positionV>
            <wp:extent cx="332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84455</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39" w:lineRule="exact"/>
        <w:rPr>
          <w:sz w:val="24"/>
          <w:szCs w:val="24"/>
          <w:color w:val="auto"/>
        </w:rPr>
      </w:pPr>
    </w:p>
    <w:p>
      <w:pPr>
        <w:ind w:left="600" w:hanging="54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ind w:left="600" w:hanging="544"/>
        <w:spacing w:after="0" w:line="182" w:lineRule="auto"/>
        <w:tabs>
          <w:tab w:leader="none" w:pos="600" w:val="left"/>
        </w:tabs>
        <w:numPr>
          <w:ilvl w:val="0"/>
          <w:numId w:val="2"/>
        </w:numPr>
        <w:rPr>
          <w:rFonts w:ascii="MS PGothic" w:cs="MS PGothic" w:eastAsia="MS PGothic" w:hAnsi="MS PGothic"/>
          <w:sz w:val="33"/>
          <w:szCs w:val="33"/>
          <w:color w:val="auto"/>
          <w:vertAlign w:val="subscript"/>
        </w:rPr>
      </w:pPr>
      <w:r>
        <w:rPr>
          <w:rFonts w:ascii="Times New Roman" w:cs="Times New Roman" w:eastAsia="Times New Roman" w:hAnsi="Times New Roman"/>
          <w:sz w:val="17"/>
          <w:szCs w:val="17"/>
          <w:b w:val="1"/>
          <w:bCs w:val="1"/>
          <w:color w:val="auto"/>
        </w:rPr>
        <w:t>TRANSITION REPORTS PURSUANT TO SECTION 13 OR 15(d) OF THE SECURITIES EXCHANGE ACT OF 1934</w:t>
      </w:r>
    </w:p>
    <w:p>
      <w:pPr>
        <w:spacing w:after="0" w:line="241" w:lineRule="exact"/>
        <w:rPr>
          <w:sz w:val="24"/>
          <w:szCs w:val="24"/>
          <w:color w:val="auto"/>
        </w:rPr>
      </w:pPr>
    </w:p>
    <w:p>
      <w:pPr>
        <w:ind w:left="42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Commission File Number: 0-24006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73025</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0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1"/>
          <w:szCs w:val="41"/>
          <w:b w:val="1"/>
          <w:bCs w:val="1"/>
          <w:color w:val="auto"/>
        </w:rPr>
        <w:t>NEKTAR THERAPEUTICS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47625</wp:posOffset>
            </wp:positionV>
            <wp:extent cx="332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34" w:lineRule="exact"/>
        <w:rPr>
          <w:sz w:val="24"/>
          <w:szCs w:val="24"/>
          <w:color w:val="auto"/>
        </w:rPr>
      </w:pPr>
    </w:p>
    <w:tbl>
      <w:tblPr>
        <w:tblLayout w:type="fixed"/>
        <w:tblInd w:w="130" w:type="dxa"/>
        <w:tblCellMar>
          <w:top w:w="0" w:type="dxa"/>
          <w:left w:w="0" w:type="dxa"/>
          <w:bottom w:w="0" w:type="dxa"/>
          <w:right w:w="0" w:type="dxa"/>
        </w:tblCellMar>
      </w:tblPr>
      <w:tr>
        <w:trPr>
          <w:trHeight w:val="212"/>
        </w:trPr>
        <w:tc>
          <w:tcPr>
            <w:tcW w:w="3700" w:type="dxa"/>
            <w:vAlign w:val="bottom"/>
            <w:gridSpan w:val="2"/>
          </w:tcPr>
          <w:p>
            <w:pPr>
              <w:jc w:val="center"/>
              <w:ind w:left="140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40" w:type="dxa"/>
            <w:vAlign w:val="bottom"/>
          </w:tcPr>
          <w:p>
            <w:pPr>
              <w:jc w:val="center"/>
              <w:ind w:right="903"/>
              <w:spacing w:after="0"/>
              <w:rPr>
                <w:sz w:val="20"/>
                <w:szCs w:val="20"/>
                <w:color w:val="auto"/>
              </w:rPr>
            </w:pPr>
            <w:r>
              <w:rPr>
                <w:rFonts w:ascii="Times New Roman" w:cs="Times New Roman" w:eastAsia="Times New Roman" w:hAnsi="Times New Roman"/>
                <w:sz w:val="16"/>
                <w:szCs w:val="16"/>
                <w:b w:val="1"/>
                <w:bCs w:val="1"/>
                <w:color w:val="auto"/>
              </w:rPr>
              <w:t>94-3134940</w:t>
            </w:r>
          </w:p>
        </w:tc>
      </w:tr>
      <w:tr>
        <w:trPr>
          <w:trHeight w:val="184"/>
        </w:trPr>
        <w:tc>
          <w:tcPr>
            <w:tcW w:w="3700" w:type="dxa"/>
            <w:vAlign w:val="bottom"/>
            <w:gridSpan w:val="2"/>
          </w:tcPr>
          <w:p>
            <w:pPr>
              <w:jc w:val="center"/>
              <w:ind w:left="142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40" w:type="dxa"/>
            <w:vAlign w:val="bottom"/>
          </w:tcPr>
          <w:p>
            <w:pPr>
              <w:jc w:val="center"/>
              <w:ind w:right="903"/>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gridSpan w:val="2"/>
          </w:tcPr>
          <w:p>
            <w:pPr>
              <w:jc w:val="center"/>
              <w:ind w:left="14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40" w:type="dxa"/>
            <w:vAlign w:val="bottom"/>
          </w:tcPr>
          <w:p>
            <w:pPr>
              <w:jc w:val="center"/>
              <w:ind w:right="90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4"/>
        </w:trPr>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2"/>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rPr>
              <w:t>455 Mission Bay Boulevard South</w:t>
            </w:r>
          </w:p>
        </w:tc>
        <w:tc>
          <w:tcPr>
            <w:tcW w:w="4240" w:type="dxa"/>
            <w:vAlign w:val="bottom"/>
          </w:tcPr>
          <w:p>
            <w:pPr>
              <w:spacing w:after="0"/>
              <w:rPr>
                <w:sz w:val="19"/>
                <w:szCs w:val="19"/>
                <w:color w:val="auto"/>
              </w:rPr>
            </w:pPr>
          </w:p>
        </w:tc>
      </w:tr>
      <w:tr>
        <w:trPr>
          <w:trHeight w:val="194"/>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2"/>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rPr>
              <w:t>San Francisco, California 94158</w:t>
            </w:r>
          </w:p>
        </w:tc>
        <w:tc>
          <w:tcPr>
            <w:tcW w:w="4240" w:type="dxa"/>
            <w:vAlign w:val="bottom"/>
          </w:tcPr>
          <w:p>
            <w:pPr>
              <w:spacing w:after="0"/>
              <w:rPr>
                <w:sz w:val="16"/>
                <w:szCs w:val="16"/>
                <w:color w:val="auto"/>
              </w:rPr>
            </w:pPr>
          </w:p>
        </w:tc>
      </w:tr>
      <w:tr>
        <w:trPr>
          <w:trHeight w:val="190"/>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40" w:type="dxa"/>
            <w:vAlign w:val="bottom"/>
          </w:tcPr>
          <w:p>
            <w:pPr>
              <w:spacing w:after="0"/>
              <w:rPr>
                <w:sz w:val="16"/>
                <w:szCs w:val="16"/>
                <w:color w:val="auto"/>
              </w:rPr>
            </w:pPr>
          </w:p>
        </w:tc>
      </w:tr>
      <w:tr>
        <w:trPr>
          <w:trHeight w:val="215"/>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2"/>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rPr>
              <w:t>415-482-5300</w:t>
            </w:r>
          </w:p>
        </w:tc>
        <w:tc>
          <w:tcPr>
            <w:tcW w:w="4240" w:type="dxa"/>
            <w:vAlign w:val="bottom"/>
          </w:tcPr>
          <w:p>
            <w:pPr>
              <w:spacing w:after="0"/>
              <w:rPr>
                <w:sz w:val="18"/>
                <w:szCs w:val="18"/>
                <w:color w:val="auto"/>
              </w:rPr>
            </w:pPr>
          </w:p>
        </w:tc>
      </w:tr>
      <w:tr>
        <w:trPr>
          <w:trHeight w:val="190"/>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20" w:type="dxa"/>
            <w:vAlign w:val="bottom"/>
            <w:gridSpan w:val="3"/>
          </w:tcPr>
          <w:p>
            <w:pPr>
              <w:jc w:val="center"/>
              <w:ind w:right="364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50"/>
        </w:trPr>
        <w:tc>
          <w:tcPr>
            <w:tcW w:w="3440" w:type="dxa"/>
            <w:vAlign w:val="bottom"/>
            <w:tcBorders>
              <w:bottom w:val="single" w:sz="8" w:color="auto"/>
            </w:tcBorders>
          </w:tcPr>
          <w:p>
            <w:pPr>
              <w:spacing w:after="0"/>
              <w:rPr>
                <w:sz w:val="21"/>
                <w:szCs w:val="21"/>
                <w:color w:val="auto"/>
              </w:rPr>
            </w:pPr>
          </w:p>
        </w:tc>
        <w:tc>
          <w:tcPr>
            <w:tcW w:w="7580" w:type="dxa"/>
            <w:vAlign w:val="bottom"/>
            <w:tcBorders>
              <w:bottom w:val="single" w:sz="8" w:color="auto"/>
            </w:tcBorders>
            <w:gridSpan w:val="4"/>
          </w:tcPr>
          <w:p>
            <w:pPr>
              <w:jc w:val="center"/>
              <w:ind w:right="338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9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40" w:type="dxa"/>
            <w:vAlign w:val="bottom"/>
            <w:tcBorders>
              <w:bottom w:val="single" w:sz="8" w:color="auto"/>
            </w:tcBorders>
          </w:tcPr>
          <w:p>
            <w:pPr>
              <w:spacing w:after="0"/>
              <w:rPr>
                <w:sz w:val="17"/>
                <w:szCs w:val="17"/>
                <w:color w:val="auto"/>
              </w:rPr>
            </w:pPr>
          </w:p>
        </w:tc>
        <w:tc>
          <w:tcPr>
            <w:tcW w:w="4240" w:type="dxa"/>
            <w:vAlign w:val="bottom"/>
            <w:tcBorders>
              <w:bottom w:val="single" w:sz="8" w:color="auto"/>
              <w:right w:val="single" w:sz="8" w:color="auto"/>
            </w:tcBorders>
          </w:tcPr>
          <w:p>
            <w:pPr>
              <w:jc w:val="center"/>
              <w:ind w:right="1003"/>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color w:val="auto"/>
              </w:rPr>
              <w:t>NKTR</w:t>
            </w:r>
          </w:p>
        </w:tc>
        <w:tc>
          <w:tcPr>
            <w:tcW w:w="1040" w:type="dxa"/>
            <w:vAlign w:val="bottom"/>
            <w:tcBorders>
              <w:bottom w:val="single" w:sz="8" w:color="auto"/>
            </w:tcBorders>
          </w:tcPr>
          <w:p>
            <w:pPr>
              <w:spacing w:after="0"/>
              <w:rPr>
                <w:sz w:val="17"/>
                <w:szCs w:val="17"/>
                <w:color w:val="auto"/>
              </w:rPr>
            </w:pPr>
          </w:p>
        </w:tc>
        <w:tc>
          <w:tcPr>
            <w:tcW w:w="4240" w:type="dxa"/>
            <w:vAlign w:val="bottom"/>
            <w:tcBorders>
              <w:bottom w:val="single" w:sz="8" w:color="auto"/>
              <w:right w:val="single" w:sz="8" w:color="auto"/>
            </w:tcBorders>
          </w:tcPr>
          <w:p>
            <w:pPr>
              <w:jc w:val="center"/>
              <w:ind w:right="1003"/>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54" w:lineRule="exact"/>
        <w:rPr>
          <w:sz w:val="24"/>
          <w:szCs w:val="24"/>
          <w:color w:val="auto"/>
        </w:rPr>
      </w:pPr>
    </w:p>
    <w:p>
      <w:pPr>
        <w:jc w:val="both"/>
        <w:ind w:right="160" w:firstLine="1123"/>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200" w:firstLine="1123"/>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firstLine="1123"/>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380"/>
              <w:spacing w:after="0" w:line="174" w:lineRule="exact"/>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2" w:lineRule="exact"/>
        <w:rPr>
          <w:sz w:val="24"/>
          <w:szCs w:val="24"/>
          <w:color w:val="auto"/>
        </w:rPr>
      </w:pPr>
    </w:p>
    <w:p>
      <w:pPr>
        <w:ind w:right="20" w:firstLine="112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140" w:right="7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$0.0001 par value, was 33,786,032 on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0000FF"/>
              </w:rPr>
              <w:t>Summary of Risks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547"/>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60" w:type="dxa"/>
            <w:vAlign w:val="bottom"/>
            <w:gridSpan w:val="15"/>
          </w:tcPr>
          <w:p>
            <w:pPr>
              <w:jc w:val="center"/>
              <w:ind w:right="306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10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 Unaudited:</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2026 and December 31, 2025</w:t>
            </w:r>
          </w:p>
        </w:tc>
        <w:tc>
          <w:tcPr>
            <w:tcW w:w="20" w:type="dxa"/>
            <w:vAlign w:val="bottom"/>
            <w:tcBorders>
              <w:bottom w:val="single" w:sz="8" w:color="0000EE"/>
            </w:tcBorders>
          </w:tcPr>
          <w:p>
            <w:pPr>
              <w:spacing w:after="0"/>
              <w:rPr>
                <w:sz w:val="24"/>
                <w:szCs w:val="24"/>
                <w:color w:val="auto"/>
              </w:rPr>
            </w:pPr>
          </w:p>
        </w:tc>
        <w:tc>
          <w:tcPr>
            <w:tcW w:w="2860" w:type="dxa"/>
            <w:vAlign w:val="bottom"/>
            <w:gridSpan w:val="7"/>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90"/>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1460" w:type="dxa"/>
            <w:vAlign w:val="bottom"/>
            <w:gridSpan w:val="4"/>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91"/>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months ended March 31, 2026 and 2025</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1400" w:type="dxa"/>
            <w:vAlign w:val="bottom"/>
            <w:gridSpan w:val="3"/>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91"/>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000" w:type="dxa"/>
            <w:vAlign w:val="bottom"/>
            <w:gridSpan w:val="13"/>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533"/>
        </w:trPr>
        <w:tc>
          <w:tcPr>
            <w:tcW w:w="1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60" w:type="dxa"/>
            <w:vAlign w:val="bottom"/>
            <w:gridSpan w:val="15"/>
          </w:tcPr>
          <w:p>
            <w:pPr>
              <w:jc w:val="center"/>
              <w:ind w:right="3060"/>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00" w:type="dxa"/>
            <w:vAlign w:val="bottom"/>
          </w:tcPr>
          <w:p>
            <w:pPr>
              <w:spacing w:after="0"/>
              <w:rPr>
                <w:sz w:val="24"/>
                <w:szCs w:val="24"/>
                <w:color w:val="auto"/>
              </w:rPr>
            </w:pPr>
          </w:p>
        </w:tc>
      </w:tr>
      <w:tr>
        <w:trPr>
          <w:trHeight w:val="291"/>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20" w:type="dxa"/>
            <w:vAlign w:val="bottom"/>
            <w:tcBorders>
              <w:top w:val="single" w:sz="8" w:color="0000FF"/>
            </w:tcBorders>
            <w:gridSpan w:val="4"/>
          </w:tcPr>
          <w:p>
            <w:pPr>
              <w:spacing w:after="0"/>
              <w:rPr>
                <w:sz w:val="24"/>
                <w:szCs w:val="24"/>
                <w:color w:val="auto"/>
              </w:rPr>
            </w:pPr>
          </w:p>
        </w:tc>
        <w:tc>
          <w:tcPr>
            <w:tcW w:w="3200" w:type="dxa"/>
            <w:vAlign w:val="bottom"/>
            <w:gridSpan w:val="10"/>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0" w:type="dxa"/>
            <w:vAlign w:val="bottom"/>
            <w:tcBorders>
              <w:bottom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080" w:type="dxa"/>
            <w:vAlign w:val="bottom"/>
            <w:gridSpan w:val="20"/>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800" w:type="dxa"/>
            <w:vAlign w:val="bottom"/>
            <w:gridSpan w:val="11"/>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22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80" w:type="dxa"/>
            <w:vAlign w:val="bottom"/>
            <w:gridSpan w:val="1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695"/>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60" w:type="dxa"/>
            <w:vAlign w:val="bottom"/>
            <w:gridSpan w:val="12"/>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56"/>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any collaboration arrangements, commercialization activities and product sales levels and future payments that may come due to us under these arrangements, any statements regarding our plans and objectives to initiate or continue clinical trials, any statements related to potential, anticipated, or ongoing litigation (including the timing for court hearings and trials)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jc w:val="both"/>
        <w:ind w:right="160" w:firstLine="656"/>
        <w:spacing w:after="0" w:line="245" w:lineRule="auto"/>
        <w:rPr>
          <w:sz w:val="20"/>
          <w:szCs w:val="20"/>
          <w:color w:val="auto"/>
        </w:rPr>
      </w:pPr>
      <w:r>
        <w:rPr>
          <w:rFonts w:ascii="Times New Roman" w:cs="Times New Roman" w:eastAsia="Times New Roman" w:hAnsi="Times New Roman"/>
          <w:sz w:val="18"/>
          <w:szCs w:val="18"/>
          <w:color w:val="auto"/>
        </w:rPr>
        <w:t>The Nektar brand and product names, including but not limited to Nektar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19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189"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to our business are more fully described below in Item IA in this Form 10-Q, which risks include, among others:</w:t>
      </w:r>
    </w:p>
    <w:p>
      <w:pPr>
        <w:spacing w:after="0" w:line="181" w:lineRule="exact"/>
        <w:rPr>
          <w:sz w:val="20"/>
          <w:szCs w:val="20"/>
          <w:color w:val="auto"/>
        </w:rPr>
      </w:pPr>
    </w:p>
    <w:p>
      <w:pPr>
        <w:ind w:left="1300" w:hanging="64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Research and Development Efforts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color w:val="auto"/>
        </w:rPr>
      </w:pPr>
    </w:p>
    <w:p>
      <w:pPr>
        <w:ind w:left="1940" w:right="28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oclinical drug development is a lengthy and uncertain process and we may not be able to generate and develop successful drug candidates for commercial use;</w:t>
      </w:r>
    </w:p>
    <w:p>
      <w:pPr>
        <w:spacing w:after="0" w:line="134" w:lineRule="exact"/>
        <w:rPr>
          <w:rFonts w:ascii="Times New Roman" w:cs="Times New Roman" w:eastAsia="Times New Roman" w:hAnsi="Times New Roman"/>
          <w:sz w:val="18"/>
          <w:szCs w:val="18"/>
          <w:color w:val="auto"/>
        </w:rPr>
      </w:pPr>
    </w:p>
    <w:p>
      <w:pPr>
        <w:ind w:left="1940" w:right="36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are highly dependent on the success of rezpegaldesleukin (previously referred to as NKTR-358) and our business will be significantly harmed if rezpegaldesleukin does not continue to advance in clinical studies;</w:t>
      </w:r>
    </w:p>
    <w:p>
      <w:pPr>
        <w:spacing w:after="0" w:line="121" w:lineRule="exact"/>
        <w:rPr>
          <w:rFonts w:ascii="Times New Roman" w:cs="Times New Roman" w:eastAsia="Times New Roman" w:hAnsi="Times New Roman"/>
          <w:sz w:val="18"/>
          <w:szCs w:val="18"/>
          <w:color w:val="auto"/>
        </w:rPr>
      </w:pPr>
    </w:p>
    <w:p>
      <w:pPr>
        <w:ind w:left="1940" w:right="10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outcomes from competitive immunotherapy clinical trials, and the discovery and development of new potential immunotherapies could have a material and adverse impact on the value of our pipeline;</w:t>
      </w:r>
    </w:p>
    <w:p>
      <w:pPr>
        <w:spacing w:after="0" w:line="121" w:lineRule="exact"/>
        <w:rPr>
          <w:rFonts w:ascii="Times New Roman" w:cs="Times New Roman" w:eastAsia="Times New Roman" w:hAnsi="Times New Roman"/>
          <w:sz w:val="18"/>
          <w:szCs w:val="18"/>
          <w:color w:val="auto"/>
        </w:rPr>
      </w:pPr>
    </w:p>
    <w:p>
      <w:pPr>
        <w:ind w:left="1940" w:right="5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osignificant competition for our products and drug candidates could make our drug products or drug candidates obsolete or uncompetitive;</w:t>
      </w:r>
    </w:p>
    <w:p>
      <w:pPr>
        <w:spacing w:after="0" w:line="134" w:lineRule="exact"/>
        <w:rPr>
          <w:rFonts w:ascii="Times New Roman" w:cs="Times New Roman" w:eastAsia="Times New Roman" w:hAnsi="Times New Roman"/>
          <w:sz w:val="18"/>
          <w:szCs w:val="18"/>
          <w:color w:val="auto"/>
        </w:rPr>
      </w:pPr>
    </w:p>
    <w:p>
      <w:pPr>
        <w:ind w:left="19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opreliminary and interim data from our clinical studies are subject to audit and verification procedures that could result in material changes in the final data and may change as more patient data become available;</w:t>
      </w:r>
    </w:p>
    <w:p>
      <w:pPr>
        <w:spacing w:after="0" w:line="121" w:lineRule="exact"/>
        <w:rPr>
          <w:rFonts w:ascii="Times New Roman" w:cs="Times New Roman" w:eastAsia="Times New Roman" w:hAnsi="Times New Roman"/>
          <w:sz w:val="18"/>
          <w:szCs w:val="18"/>
          <w:color w:val="auto"/>
        </w:rPr>
      </w:pPr>
    </w:p>
    <w:p>
      <w:pPr>
        <w:ind w:left="19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oclinical trials for any of our drug candidates could be delayed for a variety of reasons, including delays associated with activating clinical sites and lower than anticipated patient enrollment rates, which are often outside of our control;</w:t>
      </w:r>
    </w:p>
    <w:p>
      <w:pPr>
        <w:spacing w:after="0" w:line="121" w:lineRule="exact"/>
        <w:rPr>
          <w:rFonts w:ascii="Times New Roman" w:cs="Times New Roman" w:eastAsia="Times New Roman" w:hAnsi="Times New Roman"/>
          <w:sz w:val="18"/>
          <w:szCs w:val="18"/>
          <w:color w:val="auto"/>
        </w:rPr>
      </w:pPr>
    </w:p>
    <w:p>
      <w:pPr>
        <w:ind w:left="1940" w:right="180" w:hanging="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depend on third parties to conduct laboratory experiments, preclinical studies and clinical trials for our drug candidates and any failure of those parties to fulfill their obligations according to our instructions and protocol standards could harm our research and development plans and adversely affect our business; and</w:t>
      </w:r>
    </w:p>
    <w:p>
      <w:pPr>
        <w:spacing w:after="0" w:line="148" w:lineRule="exact"/>
        <w:rPr>
          <w:rFonts w:ascii="Times New Roman" w:cs="Times New Roman" w:eastAsia="Times New Roman" w:hAnsi="Times New Roman"/>
          <w:sz w:val="18"/>
          <w:szCs w:val="18"/>
          <w:color w:val="auto"/>
        </w:rPr>
      </w:pPr>
    </w:p>
    <w:p>
      <w:pPr>
        <w:ind w:left="1940" w:right="20" w:hanging="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owhile we believe we currently have the documents, records and data that are necessary for us to continue clinical development of rezpegaldesleukin, our ability to perform important development and regulatory activities will be significantly harmed if Eli Lilly and Company fails to continue to cooperate with us in the transfer of all documents, records and data associated with the rezpegaldesleukin program.</w:t>
      </w:r>
    </w:p>
    <w:p>
      <w:pPr>
        <w:spacing w:after="0" w:line="135"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Financial Condition and Capital Requirements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color w:val="auto"/>
        </w:rPr>
      </w:pPr>
    </w:p>
    <w:p>
      <w:pPr>
        <w:ind w:left="1940" w:right="52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have substantial future capital requirements and there is a risk we may not have access to sufficient capital to meet our current business plan;</w:t>
      </w:r>
    </w:p>
    <w:p>
      <w:pPr>
        <w:spacing w:after="0" w:line="134" w:lineRule="exact"/>
        <w:rPr>
          <w:rFonts w:ascii="Times New Roman" w:cs="Times New Roman" w:eastAsia="Times New Roman" w:hAnsi="Times New Roman"/>
          <w:sz w:val="18"/>
          <w:szCs w:val="18"/>
          <w:color w:val="auto"/>
        </w:rPr>
      </w:pPr>
    </w:p>
    <w:p>
      <w:pPr>
        <w:jc w:val="both"/>
        <w:ind w:left="1940" w:right="160" w:hanging="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significant source of our revenue and capital for research and development has been derived from our collaboration agreements, and if we are unable to establish collaboration partnerships with attractive commercial terms, including significant development milestones and research and development cost-sharing, our business, results of operations and financial condition could suffer; and</w:t>
      </w:r>
    </w:p>
    <w:p>
      <w:pPr>
        <w:spacing w:after="0" w:line="13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expect to continue to incur substantial net losses from operations and may not achieve or sustain profitability in the future.</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Supply and Manufacturing</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940" w:right="22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oif our contract manufacturers are not able to manufacture drugs or drug substances in sufficient quantities that meet applicable quality standards, our business, financial condition and results of operations could be harmed; and</w:t>
      </w:r>
    </w:p>
    <w:p>
      <w:pPr>
        <w:spacing w:after="0" w:line="1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contract manufacturers purchase some of the starting material for drugs and drug candidates from a single source or a limited</w:t>
      </w:r>
    </w:p>
    <w:p>
      <w:pPr>
        <w:spacing w:after="0" w:line="27" w:lineRule="exact"/>
        <w:rPr>
          <w:rFonts w:ascii="Times New Roman" w:cs="Times New Roman" w:eastAsia="Times New Roman" w:hAnsi="Times New Roman"/>
          <w:sz w:val="18"/>
          <w:szCs w:val="18"/>
          <w:color w:val="auto"/>
        </w:rPr>
      </w:pPr>
    </w:p>
    <w:p>
      <w:pPr>
        <w:ind w:left="19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suppliers and we are dependent on Gannet BioChem for the supply of the polyethylene glycol reagents (PEG reagents) used in the manufacture of rezpegaldesleukin and NKTR-255, and the partial or complete loss of one of these suppliers could cause production and clinical trial delays.</w:t>
      </w:r>
    </w:p>
    <w:p>
      <w:pPr>
        <w:spacing w:after="0" w:line="14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Intellectual Property, Litigation and Regulatory Concerns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or our partners may not obtain regulatory approval for our drug candidates on a timely basis, or at all;</w:t>
      </w:r>
    </w:p>
    <w:p>
      <w:pPr>
        <w:spacing w:after="0" w:line="184" w:lineRule="exact"/>
        <w:rPr>
          <w:rFonts w:ascii="Times New Roman" w:cs="Times New Roman" w:eastAsia="Times New Roman" w:hAnsi="Times New Roman"/>
          <w:sz w:val="18"/>
          <w:szCs w:val="18"/>
          <w:color w:val="auto"/>
        </w:rPr>
      </w:pPr>
    </w:p>
    <w:p>
      <w:pPr>
        <w:ind w:left="1940" w:right="260" w:hanging="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odisruptions to the normal functioning of the U.S. Food and Drug Administration (FDA) and other government agencies could hinder their ability to perform required activities and may slow the time necessary for new product candidates to be reviewed and/or approved, which would adversely affect our business;</w:t>
      </w:r>
    </w:p>
    <w:p>
      <w:pPr>
        <w:spacing w:after="0" w:line="135" w:lineRule="exact"/>
        <w:rPr>
          <w:rFonts w:ascii="Times New Roman" w:cs="Times New Roman" w:eastAsia="Times New Roman" w:hAnsi="Times New Roman"/>
          <w:sz w:val="18"/>
          <w:szCs w:val="18"/>
          <w:color w:val="auto"/>
        </w:rPr>
      </w:pPr>
    </w:p>
    <w:p>
      <w:pPr>
        <w:ind w:left="1940" w:hanging="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149" w:lineRule="exact"/>
        <w:rPr>
          <w:sz w:val="20"/>
          <w:szCs w:val="20"/>
          <w:color w:val="auto"/>
        </w:rPr>
      </w:pPr>
    </w:p>
    <w:p>
      <w:pPr>
        <w:ind w:left="1940" w:right="540" w:hanging="644"/>
        <w:spacing w:after="0" w:line="282" w:lineRule="auto"/>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legal proceedings and may incur substantial litigation costs and liabilities that could adversely affect our business, financial condition and 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above-mentioned risks, our business is subject to a number of additional risks faced by businesses generally.</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149,578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15,116</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230,636</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Other current assets (including $432 and $429 as of March 31, 2026 and December 31, 2025,</w:t>
            </w:r>
          </w:p>
        </w:tc>
        <w:tc>
          <w:tcPr>
            <w:tcW w:w="200" w:type="dxa"/>
            <w:vAlign w:val="bottom"/>
            <w:shd w:val="clear" w:color="auto" w:fill="CFF0FC"/>
          </w:tcPr>
          <w:p>
            <w:pPr>
              <w:spacing w:after="0"/>
              <w:rPr>
                <w:sz w:val="17"/>
                <w:szCs w:val="17"/>
                <w:color w:val="auto"/>
              </w:rPr>
            </w:pPr>
          </w:p>
        </w:tc>
        <w:tc>
          <w:tcPr>
            <w:tcW w:w="146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20,437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20,514</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respectively, from a related party)</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589,041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266,266</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162,993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11,237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14,140</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763,271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280,406</w:t>
            </w: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Accounts payable (including $504 and $137 as of March 31, 2026 and December 31, 2025,</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respectively, to a related party)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10,026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10,770</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Accrued expenses (including $1,148 and $994 as of March 31, 2026 and December 31, 2025,</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respectively, to a related party)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25,151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22,271</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22,531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20,495</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57,708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53,536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60,631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65,256</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60,270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63,157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8,446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187,055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190,574</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designated or</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March 31, 2026 or December 31, 2025, respectively</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390,000,000 shares authorized; 29,472,092 shares and</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20,378,832 shares issued and outstanding at March 31, 2026 and December 31, 2025, respectively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4,382,437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3,850,099</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(3,805,190)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(3,760,286)</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576,216</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89,832</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763,271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280,406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-3813810</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-3248025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-3230880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-1559560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1"/>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10"/>
        </w:trPr>
        <w:tc>
          <w:tcPr>
            <w:tcW w:w="7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10,861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$1,708 and $208 for the three months ended March 31, 2026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2025, respectively, from a related party)</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35,680</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24,346</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49,915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54,995</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198"/>
        </w:trPr>
        <w:tc>
          <w:tcPr>
            <w:tcW w:w="75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income (expense), net (including income of $2 and $321 for the three months ended March 31,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1"/>
        </w:trPr>
        <w:tc>
          <w:tcPr>
            <w:tcW w:w="7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2026 and 2025, respectively, from a related party)</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equity method investment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4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(50,882)</w:t>
            </w:r>
          </w:p>
        </w:tc>
        <w:tc>
          <w:tcPr>
            <w:tcW w:w="0" w:type="dxa"/>
            <w:vAlign w:val="bottom"/>
          </w:tcPr>
          <w:p>
            <w:pPr>
              <w:spacing w:after="0"/>
              <w:rPr>
                <w:sz w:val="1"/>
                <w:szCs w:val="1"/>
                <w:color w:val="auto"/>
              </w:rPr>
            </w:pPr>
          </w:p>
        </w:tc>
      </w:tr>
      <w:tr>
        <w:trPr>
          <w:trHeight w:val="197"/>
        </w:trPr>
        <w:tc>
          <w:tcPr>
            <w:tcW w:w="75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97"/>
        </w:trPr>
        <w:tc>
          <w:tcPr>
            <w:tcW w:w="75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used in computing basic and diluted net loss per share</w:t>
            </w: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24,736,066</w:t>
            </w: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14,063,402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-3548380</wp:posOffset>
            </wp:positionV>
            <wp:extent cx="2219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-3175000</wp:posOffset>
            </wp:positionV>
            <wp:extent cx="13652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-2334895</wp:posOffset>
            </wp:positionV>
            <wp:extent cx="13652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-2031365</wp:posOffset>
            </wp:positionV>
            <wp:extent cx="111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-1345565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All share and per share amounts have been retrospectively adjusted to reflect a one-for-fifteen reverse stock split (see Note 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gain (loss) on available-for-sale securities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foreign currency translation gain (loss)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(45,955)</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(50,904)</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w w:val="97"/>
              </w:rPr>
              <w:t>Shares</w:t>
            </w:r>
            <w:r>
              <w:rPr>
                <w:rFonts w:ascii="Times New Roman" w:cs="Times New Roman" w:eastAsia="Times New Roman" w:hAnsi="Times New Roman"/>
                <w:sz w:val="19"/>
                <w:szCs w:val="19"/>
                <w:b w:val="1"/>
                <w:bCs w:val="1"/>
                <w:color w:val="auto"/>
                <w:w w:val="97"/>
                <w:vertAlign w:val="superscript"/>
              </w:rPr>
              <w:t>(1)</w:t>
            </w:r>
          </w:p>
        </w:tc>
        <w:tc>
          <w:tcPr>
            <w:tcW w:w="88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0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2"/>
                <w:szCs w:val="12"/>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920" w:type="dxa"/>
            <w:vAlign w:val="bottom"/>
          </w:tcPr>
          <w:p>
            <w:pPr>
              <w:jc w:val="center"/>
              <w:ind w:right="85"/>
              <w:spacing w:after="0" w:line="146"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41"/>
              <w:spacing w:after="0" w:line="146" w:lineRule="exact"/>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65"/>
              <w:spacing w:after="0" w:line="175" w:lineRule="exact"/>
              <w:rPr>
                <w:sz w:val="20"/>
                <w:szCs w:val="20"/>
                <w:color w:val="auto"/>
              </w:rPr>
            </w:pPr>
            <w:r>
              <w:rPr>
                <w:rFonts w:ascii="Times New Roman" w:cs="Times New Roman" w:eastAsia="Times New Roman" w:hAnsi="Times New Roman"/>
                <w:sz w:val="14"/>
                <w:szCs w:val="14"/>
                <w:b w:val="1"/>
                <w:bCs w:val="1"/>
                <w:color w:val="auto"/>
                <w:w w:val="98"/>
              </w:rPr>
              <w:t>Par Value</w:t>
            </w:r>
            <w:r>
              <w:rPr>
                <w:rFonts w:ascii="Times New Roman" w:cs="Times New Roman" w:eastAsia="Times New Roman" w:hAnsi="Times New Roman"/>
                <w:sz w:val="19"/>
                <w:szCs w:val="19"/>
                <w:b w:val="1"/>
                <w:bCs w:val="1"/>
                <w:color w:val="auto"/>
                <w:w w:val="98"/>
                <w:vertAlign w:val="superscript"/>
              </w:rPr>
              <w:t>(1)</w:t>
            </w:r>
          </w:p>
        </w:tc>
        <w:tc>
          <w:tcPr>
            <w:tcW w:w="80" w:type="dxa"/>
            <w:vAlign w:val="bottom"/>
          </w:tcPr>
          <w:p>
            <w:pPr>
              <w:spacing w:after="0"/>
              <w:rPr>
                <w:sz w:val="15"/>
                <w:szCs w:val="15"/>
                <w:color w:val="auto"/>
              </w:rPr>
            </w:pPr>
          </w:p>
        </w:tc>
        <w:tc>
          <w:tcPr>
            <w:tcW w:w="104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9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2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100" w:type="dxa"/>
            <w:vAlign w:val="bottom"/>
            <w:tcBorders>
              <w:top w:val="single" w:sz="8" w:color="auto"/>
              <w:right w:val="single" w:sz="8" w:color="CFF0FC"/>
            </w:tcBorders>
            <w:gridSpan w:val="2"/>
            <w:shd w:val="clear" w:color="auto" w:fill="CFF0FC"/>
          </w:tcPr>
          <w:p>
            <w:pPr>
              <w:jc w:val="right"/>
              <w:ind w:right="183"/>
              <w:spacing w:after="0" w:line="182" w:lineRule="exact"/>
              <w:rPr>
                <w:sz w:val="20"/>
                <w:szCs w:val="20"/>
                <w:color w:val="auto"/>
              </w:rPr>
            </w:pPr>
            <w:r>
              <w:rPr>
                <w:rFonts w:ascii="Times New Roman" w:cs="Times New Roman" w:eastAsia="Times New Roman" w:hAnsi="Times New Roman"/>
                <w:sz w:val="16"/>
                <w:szCs w:val="16"/>
                <w:color w:val="auto"/>
              </w:rPr>
              <w:t>12,385,00</w:t>
            </w:r>
          </w:p>
        </w:tc>
        <w:tc>
          <w:tcPr>
            <w:tcW w:w="160" w:type="dxa"/>
            <w:vAlign w:val="bottom"/>
            <w:tcBorders>
              <w:top w:val="single" w:sz="8" w:color="auto"/>
              <w:left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righ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tcBorders>
              <w:top w:val="single" w:sz="8" w:color="auto"/>
              <w:left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lef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tcBorders>
              <w:right w:val="single" w:sz="8" w:color="CFF0FC"/>
            </w:tcBorders>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552,307</w:t>
            </w:r>
          </w:p>
        </w:tc>
        <w:tc>
          <w:tcPr>
            <w:tcW w:w="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8"/>
              </w:rPr>
              <w:t>(3,000)</w:t>
            </w:r>
          </w:p>
        </w:tc>
        <w:tc>
          <w:tcPr>
            <w:tcW w:w="1020" w:type="dxa"/>
            <w:vAlign w:val="bottom"/>
            <w:tcBorders>
              <w:right w:val="single" w:sz="8" w:color="CFF0FC"/>
            </w:tcBorders>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$ 3,659,885</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(3,596,210)</w:t>
            </w:r>
          </w:p>
        </w:tc>
        <w:tc>
          <w:tcPr>
            <w:tcW w:w="220" w:type="dxa"/>
            <w:vAlign w:val="bottom"/>
            <w:tcBorders>
              <w:lef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60,737</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Shares issued under equity</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plans</w:t>
            </w:r>
          </w:p>
        </w:tc>
        <w:tc>
          <w:tcPr>
            <w:tcW w:w="1100" w:type="dxa"/>
            <w:vAlign w:val="bottom"/>
            <w:gridSpan w:val="2"/>
          </w:tcPr>
          <w:p>
            <w:pPr>
              <w:jc w:val="right"/>
              <w:ind w:right="183"/>
              <w:spacing w:after="0"/>
              <w:rPr>
                <w:sz w:val="20"/>
                <w:szCs w:val="20"/>
                <w:color w:val="auto"/>
              </w:rPr>
            </w:pPr>
            <w:r>
              <w:rPr>
                <w:rFonts w:ascii="Times New Roman" w:cs="Times New Roman" w:eastAsia="Times New Roman" w:hAnsi="Times New Roman"/>
                <w:sz w:val="16"/>
                <w:szCs w:val="16"/>
                <w:color w:val="auto"/>
              </w:rPr>
              <w:t>21,709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3,898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3,898</w:t>
            </w:r>
          </w:p>
        </w:tc>
        <w:tc>
          <w:tcPr>
            <w:tcW w:w="0" w:type="dxa"/>
            <w:vAlign w:val="bottom"/>
          </w:tcPr>
          <w:p>
            <w:pPr>
              <w:spacing w:after="0"/>
              <w:rPr>
                <w:sz w:val="1"/>
                <w:szCs w:val="1"/>
                <w:color w:val="auto"/>
              </w:rPr>
            </w:pPr>
          </w:p>
        </w:tc>
      </w:tr>
      <w:tr>
        <w:trPr>
          <w:trHeight w:val="20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(50,882)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(50,904)</w:t>
            </w:r>
          </w:p>
        </w:tc>
        <w:tc>
          <w:tcPr>
            <w:tcW w:w="0" w:type="dxa"/>
            <w:vAlign w:val="bottom"/>
          </w:tcPr>
          <w:p>
            <w:pPr>
              <w:spacing w:after="0"/>
              <w:rPr>
                <w:sz w:val="1"/>
                <w:szCs w:val="1"/>
                <w:color w:val="auto"/>
              </w:rPr>
            </w:pPr>
          </w:p>
        </w:tc>
      </w:tr>
      <w:tr>
        <w:trPr>
          <w:trHeight w:val="182"/>
        </w:trPr>
        <w:tc>
          <w:tcPr>
            <w:tcW w:w="2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 at March 31, 2025</w:t>
            </w:r>
          </w:p>
        </w:tc>
        <w:tc>
          <w:tcPr>
            <w:tcW w:w="1100" w:type="dxa"/>
            <w:vAlign w:val="bottom"/>
            <w:tcBorders>
              <w:top w:val="single" w:sz="8" w:color="auto"/>
              <w:right w:val="single" w:sz="8" w:color="CFF0FC"/>
            </w:tcBorders>
            <w:gridSpan w:val="2"/>
            <w:shd w:val="clear" w:color="auto" w:fill="CFF0FC"/>
          </w:tcPr>
          <w:p>
            <w:pPr>
              <w:jc w:val="right"/>
              <w:ind w:right="183"/>
              <w:spacing w:after="0" w:line="182" w:lineRule="exact"/>
              <w:rPr>
                <w:sz w:val="20"/>
                <w:szCs w:val="20"/>
                <w:color w:val="auto"/>
              </w:rPr>
            </w:pPr>
            <w:r>
              <w:rPr>
                <w:rFonts w:ascii="Times New Roman" w:cs="Times New Roman" w:eastAsia="Times New Roman" w:hAnsi="Times New Roman"/>
                <w:sz w:val="16"/>
                <w:szCs w:val="16"/>
                <w:color w:val="auto"/>
              </w:rPr>
              <w:t>12,406,71</w:t>
            </w:r>
          </w:p>
        </w:tc>
        <w:tc>
          <w:tcPr>
            <w:tcW w:w="160" w:type="dxa"/>
            <w:vAlign w:val="bottom"/>
            <w:tcBorders>
              <w:top w:val="single" w:sz="8" w:color="auto"/>
              <w:left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righ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tcBorders>
              <w:top w:val="single" w:sz="8" w:color="auto"/>
              <w:left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Borders>
              <w:lef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p>
        </w:tc>
        <w:tc>
          <w:tcPr>
            <w:tcW w:w="42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tcBorders>
              <w:right w:val="single" w:sz="8" w:color="CFF0FC"/>
            </w:tcBorders>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552,307</w:t>
            </w:r>
          </w:p>
        </w:tc>
        <w:tc>
          <w:tcPr>
            <w:tcW w:w="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8"/>
              </w:rPr>
              <w:t>(3,000)</w:t>
            </w:r>
          </w:p>
        </w:tc>
        <w:tc>
          <w:tcPr>
            <w:tcW w:w="1020" w:type="dxa"/>
            <w:vAlign w:val="bottom"/>
            <w:tcBorders>
              <w:right w:val="single" w:sz="8" w:color="CFF0FC"/>
            </w:tcBorders>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$ 3,663,790</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(3,647,092)</w:t>
            </w:r>
          </w:p>
        </w:tc>
        <w:tc>
          <w:tcPr>
            <w:tcW w:w="220" w:type="dxa"/>
            <w:vAlign w:val="bottom"/>
            <w:tcBorders>
              <w:lef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13,738</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45"/>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120" w:type="dxa"/>
            <w:vAlign w:val="bottom"/>
            <w:gridSpan w:val="3"/>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Borders>
              <w:bottom w:val="single" w:sz="8" w:color="auto"/>
            </w:tcBorders>
            <w:gridSpan w:val="2"/>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100" w:type="dxa"/>
            <w:vAlign w:val="bottom"/>
            <w:tcBorders>
              <w:right w:val="single" w:sz="8" w:color="CFF0FC"/>
            </w:tcBorders>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20,378,832</w:t>
            </w:r>
          </w:p>
        </w:tc>
        <w:tc>
          <w:tcPr>
            <w:tcW w:w="460" w:type="dxa"/>
            <w:vAlign w:val="bottom"/>
            <w:tcBorders>
              <w:lef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right w:val="single" w:sz="8" w:color="CFF0FC"/>
            </w:tcBorders>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rPr>
              <w:t>$ 3,850,099</w:t>
            </w:r>
          </w:p>
        </w:tc>
        <w:tc>
          <w:tcPr>
            <w:tcW w:w="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(3,760,286)</w:t>
            </w:r>
          </w:p>
        </w:tc>
        <w:tc>
          <w:tcPr>
            <w:tcW w:w="220" w:type="dxa"/>
            <w:vAlign w:val="bottom"/>
            <w:tcBorders>
              <w:left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89,832</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Shares issued under equity compensation</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plans</w:t>
            </w:r>
          </w:p>
        </w:tc>
        <w:tc>
          <w:tcPr>
            <w:tcW w:w="110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130,034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5"/>
              <w:spacing w:after="0"/>
              <w:rPr>
                <w:sz w:val="20"/>
                <w:szCs w:val="20"/>
                <w:color w:val="auto"/>
              </w:rPr>
            </w:pPr>
            <w:r>
              <w:rPr>
                <w:rFonts w:ascii="Times New Roman" w:cs="Times New Roman" w:eastAsia="Times New Roman" w:hAnsi="Times New Roman"/>
                <w:sz w:val="16"/>
                <w:szCs w:val="16"/>
                <w:color w:val="auto"/>
              </w:rPr>
              <w:t>4,055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4,055</w:t>
            </w:r>
          </w:p>
        </w:tc>
        <w:tc>
          <w:tcPr>
            <w:tcW w:w="0" w:type="dxa"/>
            <w:vAlign w:val="bottom"/>
          </w:tcPr>
          <w:p>
            <w:pPr>
              <w:spacing w:after="0"/>
              <w:rPr>
                <w:sz w:val="1"/>
                <w:szCs w:val="1"/>
                <w:color w:val="auto"/>
              </w:rPr>
            </w:pPr>
          </w:p>
        </w:tc>
      </w:tr>
      <w:tr>
        <w:trPr>
          <w:trHeight w:val="205"/>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rPr>
              <w:t>3,355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189"/>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Shares and pre-funded warrants sold in</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underwritten offering, net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underwriting discounts and offering costs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 $28,134</w:t>
            </w:r>
          </w:p>
        </w:tc>
        <w:tc>
          <w:tcPr>
            <w:tcW w:w="110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7,637,931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5"/>
              <w:spacing w:after="0"/>
              <w:rPr>
                <w:sz w:val="20"/>
                <w:szCs w:val="20"/>
                <w:color w:val="auto"/>
              </w:rPr>
            </w:pPr>
            <w:r>
              <w:rPr>
                <w:rFonts w:ascii="Times New Roman" w:cs="Times New Roman" w:eastAsia="Times New Roman" w:hAnsi="Times New Roman"/>
                <w:sz w:val="16"/>
                <w:szCs w:val="16"/>
                <w:color w:val="auto"/>
              </w:rPr>
              <w:t>431,865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431,866</w:t>
            </w:r>
          </w:p>
        </w:tc>
        <w:tc>
          <w:tcPr>
            <w:tcW w:w="0" w:type="dxa"/>
            <w:vAlign w:val="bottom"/>
          </w:tcPr>
          <w:p>
            <w:pPr>
              <w:spacing w:after="0"/>
              <w:rPr>
                <w:sz w:val="1"/>
                <w:szCs w:val="1"/>
                <w:color w:val="auto"/>
              </w:rPr>
            </w:pPr>
          </w:p>
        </w:tc>
      </w:tr>
      <w:tr>
        <w:trPr>
          <w:trHeight w:val="192"/>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Shares sold under at-the-market offering,</w:t>
            </w:r>
          </w:p>
        </w:tc>
        <w:tc>
          <w:tcPr>
            <w:tcW w:w="12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of commissions and offering costs of</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$2,936</w:t>
            </w:r>
          </w:p>
        </w:tc>
        <w:tc>
          <w:tcPr>
            <w:tcW w:w="1100" w:type="dxa"/>
            <w:vAlign w:val="bottom"/>
            <w:tcBorders>
              <w:right w:val="single" w:sz="8" w:color="CFF0FC"/>
            </w:tcBorders>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1,325,295</w:t>
            </w:r>
          </w:p>
        </w:tc>
        <w:tc>
          <w:tcPr>
            <w:tcW w:w="160" w:type="dxa"/>
            <w:vAlign w:val="bottom"/>
            <w:tcBorders>
              <w:lef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rPr>
              <w:t>93,063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93,063</w:t>
            </w:r>
          </w:p>
        </w:tc>
        <w:tc>
          <w:tcPr>
            <w:tcW w:w="0" w:type="dxa"/>
            <w:vAlign w:val="bottom"/>
          </w:tcPr>
          <w:p>
            <w:pPr>
              <w:spacing w:after="0"/>
              <w:rPr>
                <w:sz w:val="1"/>
                <w:szCs w:val="1"/>
                <w:color w:val="auto"/>
              </w:rPr>
            </w:pPr>
          </w:p>
        </w:tc>
      </w:tr>
      <w:tr>
        <w:trPr>
          <w:trHeight w:val="203"/>
        </w:trPr>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(44,904)</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(45,955)</w:t>
            </w: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29,472,092</w:t>
            </w:r>
          </w:p>
        </w:tc>
        <w:tc>
          <w:tcPr>
            <w:tcW w:w="460" w:type="dxa"/>
            <w:vAlign w:val="bottom"/>
            <w:tcBorders>
              <w:lef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CFF0FC"/>
            </w:tcBorders>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rPr>
              <w:t>$ 4,382,437</w:t>
            </w:r>
          </w:p>
        </w:tc>
        <w:tc>
          <w:tcPr>
            <w:tcW w:w="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(3,805,190)</w:t>
            </w:r>
          </w:p>
        </w:tc>
        <w:tc>
          <w:tcPr>
            <w:tcW w:w="220" w:type="dxa"/>
            <w:vAlign w:val="bottom"/>
            <w:tcBorders>
              <w:left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576,216</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-2536825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-2519680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-2536825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-2519680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-2536825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-2519680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-2536825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-2519680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-2536825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-2519680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-2536825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-2519680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-2536825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-2519680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-8255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All share amounts have been retrospectively adjusted to reflect a one-for-fifteen reverse stock split (see Note 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(50,882)</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premiums (discounts), net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 net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(452,253)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69,319</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Payment of transaction costs and working capital adjustment from the sale of the Huntsville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1"/>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facility</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(350,789)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43,689</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shares issued under equity compensation plans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4,055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underwritten offering, net of underwriting discounts of $27,600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432,400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at-the-market offering, net of commissions of $2,880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93,119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offering costs associated with issuance of common stock and pre-funded warrants</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529,549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134,462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15,116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44,252</w:t>
            </w: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149,578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38,894</w:t>
            </w:r>
          </w:p>
        </w:tc>
        <w:tc>
          <w:tcPr>
            <w:tcW w:w="0" w:type="dxa"/>
            <w:vAlign w:val="bottom"/>
          </w:tcPr>
          <w:p>
            <w:pPr>
              <w:spacing w:after="0"/>
              <w:rPr>
                <w:sz w:val="1"/>
                <w:szCs w:val="1"/>
                <w:color w:val="auto"/>
              </w:rPr>
            </w:pPr>
          </w:p>
        </w:tc>
      </w:tr>
      <w:tr>
        <w:trPr>
          <w:trHeight w:val="197"/>
        </w:trPr>
        <w:tc>
          <w:tcPr>
            <w:tcW w:w="7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Offering costs associated with issuance of common stock and pre-funded warrants included in accounts</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 and accrued expenses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-2828290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-1859280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-1019175</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111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-436245</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-419100</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ind w:right="160" w:firstLine="656"/>
        <w:spacing w:after="0" w:line="258" w:lineRule="auto"/>
        <w:rPr>
          <w:sz w:val="20"/>
          <w:szCs w:val="20"/>
          <w:color w:val="auto"/>
        </w:rPr>
      </w:pPr>
      <w:r>
        <w:rPr>
          <w:rFonts w:ascii="Times New Roman" w:cs="Times New Roman" w:eastAsia="Times New Roman" w:hAnsi="Times New Roman"/>
          <w:sz w:val="18"/>
          <w:szCs w:val="18"/>
          <w:color w:val="auto"/>
        </w:rPr>
        <w:t>Nektar Therapeutics (Nektar, we) is a clinical stage, research-based drug discovery biopharmaceutical company headquartered in San Francisco, California and incorporated in Delaware, focused on the development of novel immunology therapies. Within this growing field, we direct our efforts toward creating new immunomodulatory agents that selectively induce, amplify, attenuate or prevent immune responses in order to achieve desired therapeutic outcomes. Our pipeline of clinical-stage and preclinical-stage immunomodulatory agents targets the treatment of autoimmune diseases (e.g. rezpegaldesleukin and NKTR-0165 and -0166, respectively) and cancer (e.g. NKTR-255).</w:t>
      </w:r>
    </w:p>
    <w:p>
      <w:pPr>
        <w:spacing w:after="0" w:line="129" w:lineRule="exact"/>
        <w:rPr>
          <w:sz w:val="20"/>
          <w:szCs w:val="20"/>
          <w:color w:val="auto"/>
        </w:rPr>
      </w:pPr>
    </w:p>
    <w:p>
      <w:pPr>
        <w:ind w:right="100" w:firstLine="656"/>
        <w:spacing w:after="0" w:line="261" w:lineRule="auto"/>
        <w:rPr>
          <w:sz w:val="20"/>
          <w:szCs w:val="20"/>
          <w:color w:val="auto"/>
        </w:rPr>
      </w:pPr>
      <w:r>
        <w:rPr>
          <w:rFonts w:ascii="Times New Roman" w:cs="Times New Roman" w:eastAsia="Times New Roman" w:hAnsi="Times New Roman"/>
          <w:sz w:val="18"/>
          <w:szCs w:val="18"/>
          <w:color w:val="auto"/>
        </w:rPr>
        <w:t>We are conducting Phase 2b trials of rezpegaldesleukin in patients with moderate-to-severe atopic dermatitis which we initiated in October 2023 (the Phase 2b REZOLVE-AD trial) and in patients with severe-to-very severe alopecia areata which we initiated in March 2024 (the Phase 2b REZOLVE-</w:t>
      </w:r>
    </w:p>
    <w:p>
      <w:pPr>
        <w:ind w:right="100" w:firstLine="8"/>
        <w:spacing w:after="0" w:line="253"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spacing w:after="0" w:line="81" w:lineRule="exact"/>
        <w:rPr>
          <w:sz w:val="20"/>
          <w:szCs w:val="20"/>
          <w:color w:val="auto"/>
        </w:rPr>
      </w:pPr>
    </w:p>
    <w:p>
      <w:pPr>
        <w:ind w:right="180" w:firstLine="656"/>
        <w:spacing w:after="0" w:line="282" w:lineRule="auto"/>
        <w:rPr>
          <w:sz w:val="20"/>
          <w:szCs w:val="20"/>
          <w:color w:val="auto"/>
        </w:rPr>
      </w:pPr>
      <w:r>
        <w:rPr>
          <w:rFonts w:ascii="Times New Roman" w:cs="Times New Roman" w:eastAsia="Times New Roman" w:hAnsi="Times New Roman"/>
          <w:sz w:val="18"/>
          <w:szCs w:val="18"/>
          <w:color w:val="auto"/>
        </w:rPr>
        <w:t>On June 24, 2025 and February 10, 2026, we announced data from the 16-week induction period and 36-week maintenance period, respectively, of the ongoing Phase 2b REZOLVE-AD trial being conducted in 393 patients.</w:t>
      </w:r>
    </w:p>
    <w:p>
      <w:pPr>
        <w:spacing w:after="0" w:line="54" w:lineRule="exact"/>
        <w:rPr>
          <w:sz w:val="20"/>
          <w:szCs w:val="20"/>
          <w:color w:val="auto"/>
        </w:rPr>
      </w:pPr>
    </w:p>
    <w:p>
      <w:pPr>
        <w:ind w:right="500" w:firstLine="656"/>
        <w:spacing w:after="0" w:line="282" w:lineRule="auto"/>
        <w:rPr>
          <w:sz w:val="20"/>
          <w:szCs w:val="20"/>
          <w:color w:val="auto"/>
        </w:rPr>
      </w:pPr>
      <w:r>
        <w:rPr>
          <w:rFonts w:ascii="Times New Roman" w:cs="Times New Roman" w:eastAsia="Times New Roman" w:hAnsi="Times New Roman"/>
          <w:sz w:val="18"/>
          <w:szCs w:val="18"/>
          <w:color w:val="auto"/>
        </w:rPr>
        <w:t>On December 16, 2025 and April 20, 2026, we announced data from the 36-week induction period and 16-week treatment extension period, respectively, of the ongoing Phase 2b REZOLVE-AA trial being conducted in 92 patients.</w:t>
      </w:r>
    </w:p>
    <w:p>
      <w:pPr>
        <w:spacing w:after="0" w:line="54" w:lineRule="exact"/>
        <w:rPr>
          <w:sz w:val="20"/>
          <w:szCs w:val="20"/>
          <w:color w:val="auto"/>
        </w:rPr>
      </w:pPr>
    </w:p>
    <w:p>
      <w:pPr>
        <w:ind w:firstLine="656"/>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As of March 31, 2026, we had approximately $731.6 million in cash and investments in marketable securities.</w:t>
      </w:r>
    </w:p>
    <w:p>
      <w:pPr>
        <w:spacing w:after="0" w:line="72" w:lineRule="exact"/>
        <w:rPr>
          <w:sz w:val="20"/>
          <w:szCs w:val="20"/>
          <w:color w:val="auto"/>
        </w:rPr>
      </w:pPr>
    </w:p>
    <w:p>
      <w:pPr>
        <w:ind w:right="60" w:firstLine="656"/>
        <w:spacing w:after="0" w:line="258"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need additional cash to fund our operations. Accordingly, we may enter into new collaboration agreements or other similar transactions, and we may also seek financing transactions, which may include dilutive equity-based financings, such as an offering of our common stock. There can be no assurance that any additional collaboration agreements or financings will be available to us on commercially reasonable terms. We believe we have sufficient cash and investments in marketable securities to fund operations through at least the next twelve months from the date of the filing of these condensed consolidated financial statements.</w:t>
      </w:r>
    </w:p>
    <w:p>
      <w:pPr>
        <w:spacing w:after="0" w:line="75" w:lineRule="exact"/>
        <w:rPr>
          <w:sz w:val="20"/>
          <w:szCs w:val="20"/>
          <w:color w:val="auto"/>
        </w:rPr>
      </w:pPr>
    </w:p>
    <w:p>
      <w:pPr>
        <w:jc w:val="both"/>
        <w:ind w:right="120" w:firstLine="656"/>
        <w:spacing w:after="0" w:line="266" w:lineRule="auto"/>
        <w:rPr>
          <w:sz w:val="20"/>
          <w:szCs w:val="20"/>
          <w:color w:val="auto"/>
        </w:rPr>
      </w:pPr>
      <w:r>
        <w:rPr>
          <w:rFonts w:ascii="Times New Roman" w:cs="Times New Roman" w:eastAsia="Times New Roman" w:hAnsi="Times New Roman"/>
          <w:sz w:val="18"/>
          <w:szCs w:val="18"/>
          <w:color w:val="auto"/>
        </w:rPr>
        <w:t>From July 2025 to April 2026, we have completed a number of equity-based financing transactions, under which we have sold 19,400,822 shares of our common stock and 293,103 pre-funded warrants, resulting in net proceeds of $1,069.1 million, including 4,270,055 shares sold and net proceeds of $364.5 million received after March 31, 2026. See Note 6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80" w:firstLine="656"/>
        <w:spacing w:after="0" w:line="266"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pursuant to U.S. generally accepted accounting principles (U.S. GAAP) and the rules and regulations of the SEC for interim reporting. As permitted under those rules, we may condense or omit certain footnotes or other financial information that are normally required by U.S. GAAP for annual periods. In</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opinion of management, these financial statements include all normal and recurring adjustments that we consider necessary for the fair presentation of our financial position and operating results.</w:t>
      </w:r>
    </w:p>
    <w:p>
      <w:pPr>
        <w:spacing w:after="0" w:line="108" w:lineRule="exact"/>
        <w:rPr>
          <w:sz w:val="20"/>
          <w:szCs w:val="20"/>
          <w:color w:val="auto"/>
        </w:rPr>
      </w:pPr>
    </w:p>
    <w:p>
      <w:pPr>
        <w:ind w:right="20" w:firstLine="656"/>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financial position, results of operations and cash flows of our wholly-owned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interests in any variable interest entities of which we are the primary beneficiary. We have eliminated all intercompany accounts and transactions in consolidation.</w:t>
      </w:r>
    </w:p>
    <w:p>
      <w:pPr>
        <w:spacing w:after="0" w:line="75" w:lineRule="exact"/>
        <w:rPr>
          <w:sz w:val="20"/>
          <w:szCs w:val="20"/>
          <w:color w:val="auto"/>
        </w:rPr>
      </w:pPr>
    </w:p>
    <w:p>
      <w:pPr>
        <w:ind w:right="360" w:firstLine="656"/>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w:t>
      </w:r>
    </w:p>
    <w:p>
      <w:pPr>
        <w:spacing w:after="0" w:line="68" w:lineRule="exact"/>
        <w:rPr>
          <w:sz w:val="20"/>
          <w:szCs w:val="20"/>
          <w:color w:val="auto"/>
        </w:rPr>
      </w:pPr>
    </w:p>
    <w:p>
      <w:pPr>
        <w:ind w:right="60" w:firstLine="656"/>
        <w:spacing w:after="0" w:line="256" w:lineRule="auto"/>
        <w:rPr>
          <w:sz w:val="20"/>
          <w:szCs w:val="20"/>
          <w:color w:val="auto"/>
        </w:rPr>
      </w:pPr>
      <w:r>
        <w:rPr>
          <w:rFonts w:ascii="Times New Roman" w:cs="Times New Roman" w:eastAsia="Times New Roman" w:hAnsi="Times New Roman"/>
          <w:sz w:val="18"/>
          <w:szCs w:val="18"/>
          <w:color w:val="auto"/>
        </w:rPr>
        <w:t>Our comprehensive loss consists of our net loss plus our foreign currency translation gains and losses (to the extent recognized in other comprehensive income (loss)) and unrealized holding gains and losses on available-for-sale securities. There were no significant reclassifications out of accumulated other comprehensive income (loss) to the statements of operations during the three months ended March 31, 2026 and 2025. We include translation gains and losses in accumulated other comprehensive income (loss) in the stockholders’ equity section of our Condensed Consolidated Balance Sheets. However, if we have concluded that we have substantially liquidated the entity, such as for our subsidiary in India, we recognize subsequent translation gains and losses in other income (expense) in our Condensed Consolidated Statements of Operations.</w:t>
      </w:r>
    </w:p>
    <w:p>
      <w:pPr>
        <w:spacing w:after="0" w:line="79" w:lineRule="exact"/>
        <w:rPr>
          <w:sz w:val="20"/>
          <w:szCs w:val="20"/>
          <w:color w:val="auto"/>
        </w:rPr>
      </w:pPr>
    </w:p>
    <w:p>
      <w:pPr>
        <w:ind w:right="260" w:firstLine="656"/>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The Condensed Consolidated Balance Sheet data as of December 31, 2025 was derived from the audited consolidated financial statements which are included in our Annual Report on Form 10-K for the year ended December 31, 2025 filed with the SEC on March 12, 2026. The information included in this Quarterly Report on Form 10-Q should be read in conjunction with the consolidated financial statements and the accompanying notes to those financial statements.</w:t>
      </w:r>
    </w:p>
    <w:p>
      <w:pPr>
        <w:spacing w:after="0" w:line="72"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Revenue, expenses, assets, and liabilities can vary during each quarter of the year. The results and trends in these interim Condensed Consolidated Financial Statements are not necessarily indicative of the results to be expected for the full year or any other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w:t>
      </w:r>
    </w:p>
    <w:p>
      <w:pPr>
        <w:spacing w:after="0" w:line="68" w:lineRule="exact"/>
        <w:rPr>
          <w:sz w:val="20"/>
          <w:szCs w:val="20"/>
          <w:color w:val="auto"/>
        </w:rPr>
      </w:pPr>
    </w:p>
    <w:p>
      <w:pPr>
        <w:ind w:right="400" w:firstLine="659"/>
        <w:spacing w:after="0" w:line="282" w:lineRule="auto"/>
        <w:rPr>
          <w:sz w:val="20"/>
          <w:szCs w:val="20"/>
          <w:color w:val="auto"/>
        </w:rPr>
      </w:pPr>
      <w:r>
        <w:rPr>
          <w:rFonts w:ascii="Times New Roman" w:cs="Times New Roman" w:eastAsia="Times New Roman" w:hAnsi="Times New Roman"/>
          <w:sz w:val="18"/>
          <w:szCs w:val="18"/>
          <w:color w:val="auto"/>
        </w:rPr>
        <w:t>Actual results could differ materially from those estimates and assumptions. As appropriate, we assess estimates each period, update them to reflect current information, and generally reflect any changes in estimates in the period first identified.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21" w:lineRule="exact"/>
        <w:rPr>
          <w:sz w:val="20"/>
          <w:szCs w:val="20"/>
          <w:color w:val="auto"/>
        </w:rPr>
      </w:pPr>
    </w:p>
    <w:p>
      <w:pPr>
        <w:ind w:right="260" w:firstLine="659"/>
        <w:spacing w:after="0" w:line="258" w:lineRule="auto"/>
        <w:rPr>
          <w:sz w:val="20"/>
          <w:szCs w:val="20"/>
          <w:color w:val="auto"/>
        </w:rPr>
      </w:pPr>
      <w:r>
        <w:rPr>
          <w:rFonts w:ascii="Times New Roman" w:cs="Times New Roman" w:eastAsia="Times New Roman" w:hAnsi="Times New Roman"/>
          <w:sz w:val="18"/>
          <w:szCs w:val="18"/>
          <w:color w:val="auto"/>
        </w:rPr>
        <w:t>Transactions between related parties are considered to be related party transactions even though they may not be given accounting recognition. Accounting Standards Codification (ASC) 850, Related Party Disclosures (ASC 850) requires that transactions with related parties that would make a difference in decision making shall be disclosed so that users of the financial statements can evaluate their significance. The related party transactions disclosed on our Condensed Consolidated Statement of Operations and Condensed Consolidated Balance Sheets relate to transactions with Gannet BioChem. Please see Note 4 regarding our related party transactions with Gannet BioChem.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21" w:lineRule="exact"/>
        <w:rPr>
          <w:sz w:val="20"/>
          <w:szCs w:val="20"/>
          <w:color w:val="auto"/>
        </w:rPr>
      </w:pPr>
    </w:p>
    <w:p>
      <w:pPr>
        <w:ind w:right="100" w:firstLine="656"/>
        <w:spacing w:after="0" w:line="282" w:lineRule="auto"/>
        <w:rPr>
          <w:sz w:val="20"/>
          <w:szCs w:val="20"/>
          <w:color w:val="auto"/>
        </w:rPr>
      </w:pPr>
      <w:r>
        <w:rPr>
          <w:rFonts w:ascii="Times New Roman" w:cs="Times New Roman" w:eastAsia="Times New Roman" w:hAnsi="Times New Roman"/>
          <w:sz w:val="18"/>
          <w:szCs w:val="18"/>
          <w:color w:val="auto"/>
        </w:rPr>
        <w:t>We are dependent on our contract manufacturers in the supply chain of our drug candidates to provide raw materials, manufacturing services and other development services with appropriate quality and reliability to meet applicable regulatory</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requirements. In certain cases, we rely on a single contract manufacturer for its role in our supply chain. Consequently, in the event that these services are delayed or interrupted for any reason, our ability to develop and produce our drug candidates could be significantly impaired, which could have a material adverse effect on our business, financial condition and results of operations.</w:t>
      </w:r>
    </w:p>
    <w:p>
      <w:pPr>
        <w:spacing w:after="0" w:line="68" w:lineRule="exact"/>
        <w:rPr>
          <w:sz w:val="20"/>
          <w:szCs w:val="20"/>
          <w:color w:val="auto"/>
        </w:rPr>
      </w:pPr>
    </w:p>
    <w:p>
      <w:pPr>
        <w:ind w:right="240" w:firstLine="659"/>
        <w:spacing w:after="0" w:line="258" w:lineRule="auto"/>
        <w:rPr>
          <w:sz w:val="20"/>
          <w:szCs w:val="20"/>
          <w:color w:val="auto"/>
        </w:rPr>
      </w:pPr>
      <w:r>
        <w:rPr>
          <w:rFonts w:ascii="Times New Roman" w:cs="Times New Roman" w:eastAsia="Times New Roman" w:hAnsi="Times New Roman"/>
          <w:sz w:val="18"/>
          <w:szCs w:val="18"/>
          <w:color w:val="auto"/>
        </w:rPr>
        <w:t>For our available-for-sale securities, we have significant concentrations of issuers in the banking and financial services industries. While our investment policy requires that we only invest in highly-rated securities and limit our exposure to any single issuer, various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various factors result in downgrades below our minimum credit rating requirements and if we decide to sell these securities, we may experience losses on such sales.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80" w:firstLine="659"/>
        <w:spacing w:after="0" w:line="261" w:lineRule="auto"/>
        <w:rPr>
          <w:sz w:val="20"/>
          <w:szCs w:val="20"/>
          <w:color w:val="auto"/>
        </w:rPr>
      </w:pPr>
      <w:r>
        <w:rPr>
          <w:rFonts w:ascii="Times New Roman" w:cs="Times New Roman" w:eastAsia="Times New Roman" w:hAnsi="Times New Roman"/>
          <w:sz w:val="18"/>
          <w:szCs w:val="18"/>
          <w:color w:val="auto"/>
        </w:rPr>
        <w:t>On June 6, 2025, we filed a Certificate of Amendment to the Certificate of Incorporation, or the Reverse Stock Split Amendment, to effect a reverse stock split of Nektar’s Common Stock at a ratio of one-for-fifteen, effective June 8, 2025. No fractional shares of common stock were issued as a result of the Reverse Stock Split. All share and per share figures in these financial statements have been adjusted to give retrospective effect to the Reverse Stock Split.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ind w:right="20" w:firstLine="656"/>
        <w:spacing w:after="0" w:line="255" w:lineRule="auto"/>
        <w:rPr>
          <w:sz w:val="20"/>
          <w:szCs w:val="20"/>
          <w:color w:val="auto"/>
        </w:rPr>
      </w:pPr>
      <w:r>
        <w:rPr>
          <w:rFonts w:ascii="Times New Roman" w:cs="Times New Roman" w:eastAsia="Times New Roman" w:hAnsi="Times New Roman"/>
          <w:sz w:val="18"/>
          <w:szCs w:val="18"/>
          <w:color w:val="auto"/>
        </w:rPr>
        <w:t>For all periods presented in the Condensed Consolidated Statements of Operations, the net loss available to common stockholders is equal to the reported net loss. We calculate basic net loss per share based on the weighted-average number of common shares outstanding, including pre-funded warrants outstanding, during the periods presented. Pre-funded warrants are considered outstanding for the purposes of computing basic net loss per share because the shares are issuable for little consideration, are fully vested and are exercisable after the original issuance date. For the three months ended March 31, 2026 and 2025, basic and diluted net loss per share are the same due to our net losses and the requirement to exclude potentially dilutive securities which would have an antidilutive effect on net loss per share. We excluded shares underlying the weighted average outstanding stock options and restricted stock units (RSUs), as follows:</w:t>
      </w:r>
    </w:p>
    <w:p>
      <w:pPr>
        <w:spacing w:after="0" w:line="16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7620</wp:posOffset>
            </wp:positionV>
            <wp:extent cx="2263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834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tbl>
      <w:tblPr>
        <w:tblLayout w:type="fixed"/>
        <w:tblInd w:w="0" w:type="dxa"/>
        <w:tblCellMar>
          <w:top w:w="0" w:type="dxa"/>
          <w:left w:w="0" w:type="dxa"/>
          <w:bottom w:w="0" w:type="dxa"/>
          <w:right w:w="0" w:type="dxa"/>
        </w:tblCellMar>
      </w:tblP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2,635,898</w:t>
            </w:r>
          </w:p>
        </w:tc>
        <w:tc>
          <w:tcPr>
            <w:tcW w:w="1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2,313,456</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right="100" w:firstLine="656"/>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an accounting standard update that requires the Company to disclose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detailed information about the types of expenses (including employee compensation, depreciation, and amortization) included in each relevant income statement expense caption. In January 2025, the FASB issued ASU 2025-01,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Clarifying the Effective Date</w:t>
      </w:r>
      <w:r>
        <w:rPr>
          <w:rFonts w:ascii="Times New Roman" w:cs="Times New Roman" w:eastAsia="Times New Roman" w:hAnsi="Times New Roman"/>
          <w:sz w:val="18"/>
          <w:szCs w:val="18"/>
          <w:color w:val="auto"/>
        </w:rPr>
        <w:t>, to clarify the effective date of ASU 2024-03. The ASU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2026, and interim reporting periods beginning after December 15, 2027. Early adoption is permitted. We are currently evaluating the incremental disclosures that will be required in our consolidated financial statements.</w:t>
      </w:r>
    </w:p>
    <w:p>
      <w:pPr>
        <w:spacing w:after="0" w:line="131" w:lineRule="exact"/>
        <w:rPr>
          <w:sz w:val="20"/>
          <w:szCs w:val="20"/>
          <w:color w:val="auto"/>
        </w:rPr>
      </w:pPr>
    </w:p>
    <w:p>
      <w:pPr>
        <w:ind w:right="20" w:firstLine="656"/>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provides a practical expedient that assumes that current conditions as of the balance sheet date do not change for the remaining life of the asset in developing reasonable and supportable forecasts during the application of the current expected credit loss model for current accounts receivable and current contract assets arising from transactions under ASC 606. ASU 2025-05 is effective for fiscal years beginning after December 15, 2025 and interim reporting periods within those annual reporting periods. Early adoption is permitted. The Company determined there is no impact of adopting ASU 2025-05 as it does not develop forecasts as part of estimating expected credit losses.</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Investments in Marketable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investments in marketable securities, including cash equivalents,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r>
      <w:tr>
        <w:trPr>
          <w:trHeight w:val="142"/>
        </w:trPr>
        <w:tc>
          <w:tcPr>
            <w:tcW w:w="77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149,578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15,116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419,026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230,636</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162,993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731,597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245,752</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cash and investments in marketable securities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820" w:type="dxa"/>
            <w:vAlign w:val="bottom"/>
          </w:tcPr>
          <w:p>
            <w:pPr>
              <w:jc w:val="center"/>
              <w:ind w:left="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left="6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288,887</w:t>
            </w:r>
          </w:p>
        </w:tc>
        <w:tc>
          <w:tcPr>
            <w:tcW w:w="1000" w:type="dxa"/>
            <w:vAlign w:val="bottom"/>
            <w:gridSpan w:val="2"/>
            <w:shd w:val="clear" w:color="auto" w:fill="CFF0FC"/>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288,166</w:t>
            </w:r>
          </w:p>
        </w:tc>
        <w:tc>
          <w:tcPr>
            <w:tcW w:w="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59,785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401,816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401,510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156,714</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U.S. government agencies</w:t>
            </w: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4,490</w:t>
            </w: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4,483</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2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695,193</w:t>
            </w:r>
          </w:p>
        </w:tc>
        <w:tc>
          <w:tcPr>
            <w:tcW w:w="1000" w:type="dxa"/>
            <w:vAlign w:val="bottom"/>
            <w:gridSpan w:val="2"/>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694,159</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216,499</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17,710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11,919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14,138</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5,699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10"/>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731,597</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245,752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-728345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-728345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-728345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-728345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jc w:val="both"/>
        <w:ind w:right="140" w:firstLine="65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transfers between Level 1 and Level 2 of the fair value hierarchy. All of our long-term investments as of March 31, 2026 had maturities between one and two years. As of March 31, 2026, we had 183 investments in unrealized loss positions and no investments had been in continuous unrealized loss positions for 12 months or longer. At December 31, 2025, our gross unrealized gains and losses were insignificant.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Condensed Consolidated Financial Statement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current assets consist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14,060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16,540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non-trade receivables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2,777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20,437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20,514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prepaid research and development expenses</w:t>
            </w:r>
          </w:p>
        </w:tc>
        <w:tc>
          <w:tcPr>
            <w:tcW w:w="2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2,757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1,959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in Gannet BioChem</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assets</w:t>
            </w: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11,237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14,140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56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-2656840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13,021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13,980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contract termination costs</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2,632</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4,057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2,719</w:t>
            </w:r>
          </w:p>
        </w:tc>
      </w:tr>
      <w:tr>
        <w:trPr>
          <w:trHeight w:val="229"/>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25,151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22,271</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Related to the Sales of Future Royalties</w:t>
      </w:r>
    </w:p>
    <w:p>
      <w:pPr>
        <w:spacing w:after="0" w:line="175" w:lineRule="exact"/>
        <w:rPr>
          <w:sz w:val="20"/>
          <w:szCs w:val="20"/>
          <w:color w:val="auto"/>
        </w:rPr>
      </w:pPr>
    </w:p>
    <w:p>
      <w:pPr>
        <w:ind w:right="20" w:firstLine="659"/>
        <w:spacing w:after="0" w:line="258" w:lineRule="auto"/>
        <w:rPr>
          <w:sz w:val="20"/>
          <w:szCs w:val="20"/>
          <w:color w:val="auto"/>
        </w:rPr>
      </w:pPr>
      <w:r>
        <w:rPr>
          <w:rFonts w:ascii="Times New Roman" w:cs="Times New Roman" w:eastAsia="Times New Roman" w:hAnsi="Times New Roman"/>
          <w:sz w:val="18"/>
          <w:szCs w:val="18"/>
          <w:color w:val="auto"/>
        </w:rPr>
        <w:t>In 2012 and 2020, we sold to RPI Finance Trust (RPI) and entities managed by Healthcare Royalty Management, LLC (HCR), respectively, our rights to receive royalties under our license and manufacturing agreements with certain pharmaceutical partners under the 2012 Purchase and Sale Agreement and the 2020 Purchase and Sale Agreement, respectively. We account for these transactions as debt and recognize non-cash royalty revenue and non-cash interest expense to amortize the proceeds over the lives of the respective arrangements. We periodically update our prospective non-cash interest rate based on our estimates of future royalties. As of March 31, 2026, our imputed interest rate for the arrangement with HCR was 49%.</w:t>
      </w:r>
    </w:p>
    <w:p>
      <w:pPr>
        <w:spacing w:after="0" w:line="129" w:lineRule="exact"/>
        <w:rPr>
          <w:sz w:val="20"/>
          <w:szCs w:val="20"/>
          <w:color w:val="auto"/>
        </w:rPr>
      </w:pPr>
    </w:p>
    <w:p>
      <w:pPr>
        <w:ind w:right="80" w:firstLine="656"/>
        <w:spacing w:after="0" w:line="257" w:lineRule="auto"/>
        <w:rPr>
          <w:sz w:val="20"/>
          <w:szCs w:val="20"/>
          <w:color w:val="auto"/>
        </w:rPr>
      </w:pPr>
      <w:r>
        <w:rPr>
          <w:rFonts w:ascii="Times New Roman" w:cs="Times New Roman" w:eastAsia="Times New Roman" w:hAnsi="Times New Roman"/>
          <w:sz w:val="18"/>
          <w:szCs w:val="18"/>
          <w:color w:val="auto"/>
        </w:rPr>
        <w:t>The following is a reconciliation of the changes in our liabilities related to the sales of future royalties for the three months ended March 31, 2026 (in thousands):</w:t>
      </w:r>
    </w:p>
    <w:tbl>
      <w:tblPr>
        <w:tblLayout w:type="fixed"/>
        <w:tblInd w:w="0" w:type="dxa"/>
        <w:tblCellMar>
          <w:top w:w="0" w:type="dxa"/>
          <w:left w:w="0" w:type="dxa"/>
          <w:bottom w:w="0" w:type="dxa"/>
          <w:right w:w="0" w:type="dxa"/>
        </w:tblCellMar>
      </w:tblPr>
      <w:tr>
        <w:trPr>
          <w:trHeight w:val="156"/>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6"/>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2012 Purchase and</w:t>
            </w:r>
          </w:p>
        </w:tc>
        <w:tc>
          <w:tcPr>
            <w:tcW w:w="160" w:type="dxa"/>
            <w:vAlign w:val="bottom"/>
          </w:tcPr>
          <w:p>
            <w:pPr>
              <w:spacing w:after="0"/>
              <w:rPr>
                <w:sz w:val="10"/>
                <w:szCs w:val="10"/>
                <w:color w:val="auto"/>
              </w:rPr>
            </w:pPr>
          </w:p>
        </w:tc>
        <w:tc>
          <w:tcPr>
            <w:tcW w:w="1420" w:type="dxa"/>
            <w:vAlign w:val="bottom"/>
            <w:gridSpan w:val="2"/>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2020 Purchase and</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 – beginning balance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2,070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61,087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63,157</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royalty revenue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7,418</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 – ending balance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58,902</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60,270</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 Method Investment</w:t>
      </w:r>
    </w:p>
    <w:p>
      <w:pPr>
        <w:spacing w:after="0" w:line="175" w:lineRule="exact"/>
        <w:rPr>
          <w:sz w:val="20"/>
          <w:szCs w:val="20"/>
          <w:color w:val="auto"/>
        </w:rPr>
      </w:pPr>
    </w:p>
    <w:p>
      <w:pPr>
        <w:ind w:right="300" w:firstLine="656"/>
        <w:spacing w:after="0" w:line="261" w:lineRule="auto"/>
        <w:rPr>
          <w:sz w:val="20"/>
          <w:szCs w:val="20"/>
          <w:color w:val="auto"/>
        </w:rPr>
      </w:pPr>
      <w:r>
        <w:rPr>
          <w:rFonts w:ascii="Times New Roman" w:cs="Times New Roman" w:eastAsia="Times New Roman" w:hAnsi="Times New Roman"/>
          <w:sz w:val="18"/>
          <w:szCs w:val="18"/>
          <w:color w:val="auto"/>
        </w:rPr>
        <w:t>On December 2, 2024, we completed the sale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ownership interest in Gannet BioChem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7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units owned by Nektar</w:t>
            </w:r>
          </w:p>
        </w:tc>
        <w:tc>
          <w:tcPr>
            <w:tcW w:w="17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20,000,000</w:t>
            </w:r>
          </w:p>
        </w:tc>
        <w:tc>
          <w:tcPr>
            <w:tcW w:w="19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ownership of common units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ownership of common and preferred units outstanding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44" w:lineRule="exact"/>
        <w:rPr>
          <w:sz w:val="20"/>
          <w:szCs w:val="20"/>
          <w:color w:val="auto"/>
        </w:rPr>
      </w:pPr>
    </w:p>
    <w:p>
      <w:pPr>
        <w:ind w:right="80" w:firstLine="656"/>
        <w:spacing w:after="0" w:line="254" w:lineRule="auto"/>
        <w:rPr>
          <w:sz w:val="20"/>
          <w:szCs w:val="20"/>
          <w:color w:val="auto"/>
        </w:rPr>
      </w:pPr>
      <w:r>
        <w:rPr>
          <w:rFonts w:ascii="Times New Roman" w:cs="Times New Roman" w:eastAsia="Times New Roman" w:hAnsi="Times New Roman"/>
          <w:sz w:val="18"/>
          <w:szCs w:val="18"/>
          <w:color w:val="auto"/>
        </w:rPr>
        <w:t>Our investment in Gannet BioChem is considered a variable interest entity for which we are not the primary beneficiary. We have significant influence, but do not control, Gannet BioChem through our noncontrolling representation on Gannet BioChem’s board of directors and our equity interests in Gannet BioChem. Accordingly, we do not consolidate Gannet BioChem and account for our investment in Gannet BioChem using the equity method of accounting, under which we record our share of Gannet BioChem’s profits and losses as gain or loss from equity method investment in our Condensed Consolidated Statement of Operations. As a result of Ampersand’s liquidation preferences, we record our share of Gannet BioChem’s gains and losses under the hypothetical liquidation at book value method, which is a balance sheet approach that calculates the change in the hypothetical amount Ampersand and we would be entitled to receive if Gannet BioChem were liquidated at book value at the end of each period, adjusted for any contributions made and distributions received during the period, as well as basis differences between the</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initial fair value of our investment in Gannet BioChem and our claim on the net assets of Gannet BioChem. Our maximum exposure to loss in Gannet BioChem is limited to the carrying value of our investment.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loss from our investment in Gannet BioChem is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3"/>
                <w:szCs w:val="13"/>
                <w:color w:val="auto"/>
              </w:rPr>
            </w:pPr>
          </w:p>
        </w:tc>
      </w:tr>
      <w:tr>
        <w:trPr>
          <w:trHeight w:val="142"/>
        </w:trPr>
        <w:tc>
          <w:tcPr>
            <w:tcW w:w="6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 on net assets of Gannet BioChem - beginning of period</w:t>
            </w:r>
          </w:p>
        </w:tc>
        <w:tc>
          <w:tcPr>
            <w:tcW w:w="264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12,218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Claim on net assets of Gannet BioChem - end of period</w:t>
            </w:r>
          </w:p>
        </w:tc>
        <w:tc>
          <w:tcPr>
            <w:tcW w:w="16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7,757</w:t>
            </w:r>
          </w:p>
        </w:tc>
      </w:tr>
      <w:tr>
        <w:trPr>
          <w:trHeight w:val="229"/>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claim on net assets of Gannet BioChem</w:t>
            </w:r>
          </w:p>
        </w:tc>
        <w:tc>
          <w:tcPr>
            <w:tcW w:w="1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4" w:lineRule="exact"/>
        <w:rPr>
          <w:sz w:val="20"/>
          <w:szCs w:val="20"/>
          <w:color w:val="auto"/>
        </w:rPr>
      </w:pPr>
    </w:p>
    <w:p>
      <w:pPr>
        <w:ind w:right="480" w:firstLine="656"/>
        <w:spacing w:after="0" w:line="266" w:lineRule="auto"/>
        <w:rPr>
          <w:sz w:val="20"/>
          <w:szCs w:val="20"/>
          <w:color w:val="auto"/>
        </w:rPr>
      </w:pPr>
      <w:r>
        <w:rPr>
          <w:rFonts w:ascii="Times New Roman" w:cs="Times New Roman" w:eastAsia="Times New Roman" w:hAnsi="Times New Roman"/>
          <w:sz w:val="18"/>
          <w:szCs w:val="18"/>
          <w:color w:val="auto"/>
        </w:rPr>
        <w:t>Gannet BioChem is considered a related party to Nektar. We have entered into agreements with Gannet BioChem for the supply of the polyethylene glycol reagents used in the manufacture of rezpegaldesleukin and NKTR-255 and certain other development services. We also provided certain accounting and information technology services to Gannet BioChem under a transition services agreement.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80" w:firstLine="656"/>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each reporting date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133" w:lineRule="exact"/>
        <w:rPr>
          <w:sz w:val="20"/>
          <w:szCs w:val="20"/>
          <w:color w:val="auto"/>
        </w:rPr>
      </w:pPr>
    </w:p>
    <w:p>
      <w:pPr>
        <w:ind w:right="20" w:firstLine="656"/>
        <w:spacing w:after="0" w:line="254" w:lineRule="auto"/>
        <w:rPr>
          <w:sz w:val="20"/>
          <w:szCs w:val="20"/>
          <w:color w:val="auto"/>
        </w:rPr>
      </w:pPr>
      <w:r>
        <w:rPr>
          <w:rFonts w:ascii="Times New Roman" w:cs="Times New Roman" w:eastAsia="Times New Roman" w:hAnsi="Times New Roman"/>
          <w:sz w:val="18"/>
          <w:szCs w:val="18"/>
          <w:color w:val="auto"/>
        </w:rPr>
        <w:t>On August 7, 2023, we filed a complaint in the United States District Court for the Northern District of California (the Court) against Eli Lilly and Company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filed a motion for summary judgment, which the Court denied in an order issued on March 18, 2026. Certain other pre-trial motions filed by both parties remain pending before the Court. Following the shutdown of the federal government, on October 14, 2025, the Court postponed the previously calendared October 27, 2025 starting date of the jury trial. The Court has set a new jury trial date of September 8, 2026.</w:t>
      </w:r>
    </w:p>
    <w:p>
      <w:pPr>
        <w:spacing w:after="0" w:line="138" w:lineRule="exact"/>
        <w:rPr>
          <w:sz w:val="20"/>
          <w:szCs w:val="20"/>
          <w:color w:val="auto"/>
        </w:rPr>
      </w:pPr>
    </w:p>
    <w:p>
      <w:pPr>
        <w:ind w:right="20" w:firstLine="656"/>
        <w:spacing w:after="0" w:line="258" w:lineRule="auto"/>
        <w:rPr>
          <w:sz w:val="20"/>
          <w:szCs w:val="20"/>
          <w:color w:val="auto"/>
        </w:rPr>
      </w:pPr>
      <w:r>
        <w:rPr>
          <w:rFonts w:ascii="Times New Roman" w:cs="Times New Roman" w:eastAsia="Times New Roman" w:hAnsi="Times New Roman"/>
          <w:sz w:val="18"/>
          <w:szCs w:val="18"/>
          <w:color w:val="auto"/>
        </w:rPr>
        <w:t>After previously authorizing good and service tax (GST) refunds of approximately $3.3 million for the period of July 2017 to September 2019, the Indian GST authorities issued a show cause notice in October 2023 seeking to recover this refund, plus penalties and interest, for which we have subsequently received a demand in September 2025 seeking payment to Indian GST authorities. We have not paid the demand in view of an appeal we filed with the Indian authorities, and believe that we have meritorious defenses against the demand. We believe a loss is not probable and therefore have not accrued a liability as of March 31, 2026.</w:t>
      </w:r>
    </w:p>
    <w:p>
      <w:pPr>
        <w:spacing w:after="0" w:line="129" w:lineRule="exact"/>
        <w:rPr>
          <w:sz w:val="20"/>
          <w:szCs w:val="20"/>
          <w:color w:val="auto"/>
        </w:rPr>
      </w:pPr>
    </w:p>
    <w:p>
      <w:pPr>
        <w:ind w:right="60" w:firstLine="656"/>
        <w:spacing w:after="0" w:line="256" w:lineRule="auto"/>
        <w:rPr>
          <w:sz w:val="20"/>
          <w:szCs w:val="20"/>
          <w:color w:val="auto"/>
        </w:rPr>
      </w:pPr>
      <w:r>
        <w:rPr>
          <w:rFonts w:ascii="Times New Roman" w:cs="Times New Roman" w:eastAsia="Times New Roman" w:hAnsi="Times New Roman"/>
          <w:sz w:val="18"/>
          <w:szCs w:val="18"/>
          <w:color w:val="auto"/>
        </w:rPr>
        <w:t>On March 6, 2026, a putative class action complaint was filed in the U.S. District Court for the Northern District of California against the Company, our CEO, CFO and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26, 2025 through December 15, 2025, the defendants made misleading statements and/or failed to disclose material information regarding the REZOLVE-AA trial. The Company denies the claims, believes they are without merit, and intends to defend vigorously against this litigation. We have not recorded a liability for this matter as of March 31, 2026.</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recorded no liability for any litigation matters in our Condensed Consolidated Balance Sheets at either March 31, 2026 or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 Biolojic Design, Ltd. (Biolojic)</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2021, we entered into a research collaboration and license option agreement with Biolojic to discover and develop agonistic antibodies that activate a novel and previously un-drugged target for the treatment of autoimmune diseases. In 2023, we exercised an option to gain an exclusive license to specified agonistic antibodies and other materials that were developed pursuant to this arrangement in all fields of use (other than in the field of oncology), which have used in our research program based on tumor necrosis factor (TNF) receptor type II (TNFR2) agonism, including NKTR-0165 and NKTR-0166. As a result of exercising this option, we may be required to pay up to $18.0 million based on the achievement of certain development milestones, including the first milestone of $3.0 million payable upon the acceptance of the first investigational new drug application, and up to $35.0 million based on the achievement of certain regulatory approval milestones. Each milestone is payable only once, regardless of the number of indications for which we develop the licensed product. We record a liability when a milestone payment becomes probable. As of March 31, 2026, no milestones have been achieved or are considered probable, and no liability has been recorded.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 in Connection with Commercial Agreements</w:t>
      </w:r>
    </w:p>
    <w:p>
      <w:pPr>
        <w:spacing w:after="0" w:line="175" w:lineRule="exact"/>
        <w:rPr>
          <w:sz w:val="20"/>
          <w:szCs w:val="20"/>
          <w:color w:val="auto"/>
        </w:rPr>
      </w:pPr>
    </w:p>
    <w:p>
      <w:pPr>
        <w:ind w:right="60" w:firstLine="659"/>
        <w:spacing w:after="0" w:line="258" w:lineRule="auto"/>
        <w:rPr>
          <w:sz w:val="20"/>
          <w:szCs w:val="20"/>
          <w:color w:val="auto"/>
        </w:rPr>
      </w:pPr>
      <w:r>
        <w:rPr>
          <w:rFonts w:ascii="Times New Roman" w:cs="Times New Roman" w:eastAsia="Times New Roman" w:hAnsi="Times New Roman"/>
          <w:sz w:val="18"/>
          <w:szCs w:val="18"/>
          <w:color w:val="auto"/>
        </w:rPr>
        <w:t>As part of our collaboration agreements with our partners related to the license, development, manufacture and supply of our proprietary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75" w:lineRule="exact"/>
        <w:rPr>
          <w:sz w:val="20"/>
          <w:szCs w:val="20"/>
          <w:color w:val="auto"/>
        </w:rPr>
      </w:pPr>
    </w:p>
    <w:p>
      <w:pPr>
        <w:ind w:right="20" w:firstLine="659"/>
        <w:spacing w:after="0" w:line="256" w:lineRule="auto"/>
        <w:rPr>
          <w:sz w:val="20"/>
          <w:szCs w:val="20"/>
          <w:color w:val="auto"/>
        </w:rPr>
      </w:pPr>
      <w:r>
        <w:rPr>
          <w:rFonts w:ascii="Times New Roman" w:cs="Times New Roman" w:eastAsia="Times New Roman" w:hAnsi="Times New Roman"/>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79" w:lineRule="exact"/>
        <w:rPr>
          <w:sz w:val="20"/>
          <w:szCs w:val="20"/>
          <w:color w:val="auto"/>
        </w:rPr>
      </w:pPr>
    </w:p>
    <w:p>
      <w:pPr>
        <w:ind w:right="300" w:firstLine="656"/>
        <w:spacing w:after="0" w:line="266" w:lineRule="auto"/>
        <w:rPr>
          <w:sz w:val="20"/>
          <w:szCs w:val="20"/>
          <w:color w:val="auto"/>
        </w:rPr>
      </w:pPr>
      <w:r>
        <w:rPr>
          <w:rFonts w:ascii="Times New Roman" w:cs="Times New Roman" w:eastAsia="Times New Roman" w:hAnsi="Times New Roman"/>
          <w:sz w:val="18"/>
          <w:szCs w:val="18"/>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121" w:lineRule="exact"/>
        <w:rPr>
          <w:sz w:val="20"/>
          <w:szCs w:val="20"/>
          <w:color w:val="auto"/>
        </w:rPr>
      </w:pPr>
    </w:p>
    <w:p>
      <w:pPr>
        <w:ind w:right="80" w:firstLine="656"/>
        <w:spacing w:after="0" w:line="253" w:lineRule="auto"/>
        <w:rPr>
          <w:sz w:val="20"/>
          <w:szCs w:val="20"/>
          <w:color w:val="auto"/>
        </w:rPr>
      </w:pPr>
      <w:r>
        <w:rPr>
          <w:rFonts w:ascii="Times New Roman" w:cs="Times New Roman" w:eastAsia="Times New Roman" w:hAnsi="Times New Roman"/>
          <w:sz w:val="18"/>
          <w:szCs w:val="18"/>
          <w:color w:val="auto"/>
        </w:rPr>
        <w:t>We filed a shelf registration statement on Form S-3 and a related prospectus (the April 2025 Shelf Registration Statement) that was declared effective by the Securities and Exchange Commission (the SEC) on April 1, 2025. Pursuant to the April 2025 Shelf Registration Statement, we may offer and sell common stock, preferred stock, debt securities, warrants and or units having an aggregate public offering price of up to $300.0 million. In connection with the April 2025 Shelf Registration Statement, in April and November 2025, we also entered equity distribution agreements with Piper Sandler &amp; Co. and BTIG, LLC, relating to the sale of our common stock having an aggregate offering price of up to $75.0 million (the April 2025 ATM Sales Agreement) and $110.0 million (the November 2025 ATM Sales Agreement). The sales of the shares under these agreements could be made by any method permitted that is deemed to be an “at-the-market” (ATM) equity offering as defined in Rule 415(a)(4) promulgated under the Securities Act, including sales made directly on or through Nasdaq or on any other existing trading market for our common stock. We agreed to pay Piper Sandler &amp; Co. and BTIG, LLC a commission equal to 3.0% of the gross sales price of all common stock sold through them as sales agents. As a result of the transactions described below, no shares remain available for issuance under the April 2025 Shelf Registration Statement.</w:t>
      </w:r>
    </w:p>
    <w:p>
      <w:pPr>
        <w:spacing w:after="0" w:line="1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firstLine="656"/>
        <w:spacing w:after="0" w:line="266" w:lineRule="auto"/>
        <w:rPr>
          <w:sz w:val="20"/>
          <w:szCs w:val="20"/>
          <w:color w:val="auto"/>
        </w:rPr>
      </w:pPr>
      <w:r>
        <w:rPr>
          <w:rFonts w:ascii="Times New Roman" w:cs="Times New Roman" w:eastAsia="Times New Roman" w:hAnsi="Times New Roman"/>
          <w:sz w:val="18"/>
          <w:szCs w:val="18"/>
          <w:color w:val="auto"/>
        </w:rPr>
        <w:t>On November 12, 2025, we filed a new registration statement on Form S-3ASR and a related prospectus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securities sold and net proceeds received pursuant to these shelf registrations: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Shares of</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Registration Statement</w:t>
            </w:r>
          </w:p>
        </w:tc>
        <w:tc>
          <w:tcPr>
            <w:tcW w:w="1860" w:type="dxa"/>
            <w:vAlign w:val="bottom"/>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Offering Type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240" w:type="dxa"/>
            <w:vAlign w:val="bottom"/>
          </w:tcPr>
          <w:p>
            <w:pPr>
              <w:jc w:val="center"/>
              <w:ind w:right="104"/>
              <w:spacing w:after="0" w:line="162"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b w:val="1"/>
                <w:bCs w:val="1"/>
                <w:color w:val="auto"/>
              </w:rPr>
              <w:t>Pre-Funded</w:t>
            </w:r>
          </w:p>
        </w:tc>
        <w:tc>
          <w:tcPr>
            <w:tcW w:w="136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Price per Share</w:t>
            </w:r>
          </w:p>
        </w:tc>
        <w:tc>
          <w:tcPr>
            <w:tcW w:w="120" w:type="dxa"/>
            <w:vAlign w:val="bottom"/>
          </w:tcPr>
          <w:p>
            <w:pPr>
              <w:spacing w:after="0"/>
              <w:rPr>
                <w:sz w:val="14"/>
                <w:szCs w:val="14"/>
                <w:color w:val="auto"/>
              </w:rPr>
            </w:pPr>
          </w:p>
        </w:tc>
        <w:tc>
          <w:tcPr>
            <w:tcW w:w="1040" w:type="dxa"/>
            <w:vAlign w:val="bottom"/>
            <w:gridSpan w:val="2"/>
          </w:tcPr>
          <w:p>
            <w:pPr>
              <w:jc w:val="right"/>
              <w:ind w:right="147"/>
              <w:spacing w:after="0" w:line="162"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0" w:type="dxa"/>
            <w:vAlign w:val="bottom"/>
          </w:tcPr>
          <w:p>
            <w:pPr>
              <w:spacing w:after="0"/>
              <w:rPr>
                <w:sz w:val="1"/>
                <w:szCs w:val="1"/>
                <w:color w:val="auto"/>
              </w:rPr>
            </w:pPr>
          </w:p>
        </w:tc>
      </w:tr>
      <w:tr>
        <w:trPr>
          <w:trHeight w:val="149"/>
        </w:trPr>
        <w:tc>
          <w:tcPr>
            <w:tcW w:w="2620" w:type="dxa"/>
            <w:vAlign w:val="bottom"/>
            <w:tcBorders>
              <w:bottom w:val="single" w:sz="8" w:color="auto"/>
            </w:tcBorders>
            <w:vMerge w:val="continue"/>
          </w:tcPr>
          <w:p>
            <w:pPr>
              <w:spacing w:after="0"/>
              <w:rPr>
                <w:sz w:val="12"/>
                <w:szCs w:val="12"/>
                <w:color w:val="auto"/>
              </w:rPr>
            </w:pPr>
          </w:p>
        </w:tc>
        <w:tc>
          <w:tcPr>
            <w:tcW w:w="186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tcPr>
          <w:p>
            <w:pPr>
              <w:jc w:val="center"/>
              <w:ind w:right="64"/>
              <w:spacing w:after="0" w:line="149" w:lineRule="exact"/>
              <w:rPr>
                <w:sz w:val="20"/>
                <w:szCs w:val="20"/>
                <w:color w:val="auto"/>
              </w:rPr>
            </w:pPr>
            <w:r>
              <w:rPr>
                <w:rFonts w:ascii="Times New Roman" w:cs="Times New Roman" w:eastAsia="Times New Roman" w:hAnsi="Times New Roman"/>
                <w:sz w:val="15"/>
                <w:szCs w:val="15"/>
                <w:b w:val="1"/>
                <w:bCs w:val="1"/>
                <w:color w:val="auto"/>
              </w:rPr>
              <w:t>Sold</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4"/>
              <w:spacing w:after="0" w:line="149" w:lineRule="exact"/>
              <w:rPr>
                <w:sz w:val="20"/>
                <w:szCs w:val="20"/>
                <w:color w:val="auto"/>
              </w:rPr>
            </w:pPr>
            <w:r>
              <w:rPr>
                <w:rFonts w:ascii="Times New Roman" w:cs="Times New Roman" w:eastAsia="Times New Roman" w:hAnsi="Times New Roman"/>
                <w:sz w:val="15"/>
                <w:szCs w:val="15"/>
                <w:b w:val="1"/>
                <w:bCs w:val="1"/>
                <w:color w:val="auto"/>
              </w:rPr>
              <w:t>Warrants Sold</w:t>
            </w:r>
          </w:p>
        </w:tc>
        <w:tc>
          <w:tcPr>
            <w:tcW w:w="13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 xml:space="preserve">April 2025 Shelf Registration </w:t>
            </w:r>
            <w:r>
              <w:rPr>
                <w:rFonts w:ascii="Times New Roman" w:cs="Times New Roman" w:eastAsia="Times New Roman" w:hAnsi="Times New Roman"/>
                <w:sz w:val="18"/>
                <w:szCs w:val="18"/>
                <w:color w:val="auto"/>
                <w:vertAlign w:val="superscript"/>
              </w:rPr>
              <w:t>(2)</w:t>
            </w:r>
          </w:p>
        </w:tc>
        <w:tc>
          <w:tcPr>
            <w:tcW w:w="1860" w:type="dxa"/>
            <w:vAlign w:val="bottom"/>
            <w:shd w:val="clear" w:color="auto" w:fill="CFF0FC"/>
          </w:tcPr>
          <w:p>
            <w:pPr>
              <w:ind w:left="300"/>
              <w:spacing w:after="0" w:line="156" w:lineRule="exact"/>
              <w:rPr>
                <w:sz w:val="20"/>
                <w:szCs w:val="20"/>
                <w:color w:val="auto"/>
              </w:rPr>
            </w:pPr>
            <w:r>
              <w:rPr>
                <w:rFonts w:ascii="Times New Roman" w:cs="Times New Roman" w:eastAsia="Times New Roman" w:hAnsi="Times New Roman"/>
                <w:sz w:val="15"/>
                <w:szCs w:val="15"/>
                <w:color w:val="auto"/>
              </w:rPr>
              <w:t>Underwritten offering</w:t>
            </w:r>
          </w:p>
        </w:tc>
        <w:tc>
          <w:tcPr>
            <w:tcW w:w="176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5"/>
                <w:szCs w:val="15"/>
                <w:color w:val="auto"/>
              </w:rPr>
              <w:t>7/2/2025</w:t>
            </w:r>
          </w:p>
        </w:tc>
        <w:tc>
          <w:tcPr>
            <w:tcW w:w="124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4,893,618</w:t>
            </w:r>
          </w:p>
        </w:tc>
        <w:tc>
          <w:tcPr>
            <w:tcW w:w="1240" w:type="dxa"/>
            <w:vAlign w:val="bottom"/>
            <w:gridSpan w:val="2"/>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ind w:right="1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66"/>
              <w:spacing w:after="0" w:line="156" w:lineRule="exact"/>
              <w:rPr>
                <w:sz w:val="20"/>
                <w:szCs w:val="20"/>
                <w:color w:val="auto"/>
              </w:rPr>
            </w:pPr>
            <w:r>
              <w:rPr>
                <w:rFonts w:ascii="Times New Roman" w:cs="Times New Roman" w:eastAsia="Times New Roman" w:hAnsi="Times New Roman"/>
                <w:sz w:val="15"/>
                <w:szCs w:val="15"/>
                <w:color w:val="auto"/>
              </w:rPr>
              <w:t>23.50</w:t>
            </w:r>
          </w:p>
        </w:tc>
        <w:tc>
          <w:tcPr>
            <w:tcW w:w="36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ind w:right="67"/>
              <w:spacing w:after="0" w:line="156" w:lineRule="exact"/>
              <w:rPr>
                <w:sz w:val="20"/>
                <w:szCs w:val="20"/>
                <w:color w:val="auto"/>
              </w:rPr>
            </w:pPr>
            <w:r>
              <w:rPr>
                <w:rFonts w:ascii="Times New Roman" w:cs="Times New Roman" w:eastAsia="Times New Roman" w:hAnsi="Times New Roman"/>
                <w:sz w:val="15"/>
                <w:szCs w:val="15"/>
                <w:color w:val="auto"/>
              </w:rPr>
              <w:t>107.2</w:t>
            </w:r>
          </w:p>
        </w:tc>
        <w:tc>
          <w:tcPr>
            <w:tcW w:w="0" w:type="dxa"/>
            <w:vAlign w:val="bottom"/>
          </w:tcPr>
          <w:p>
            <w:pPr>
              <w:spacing w:after="0"/>
              <w:rPr>
                <w:sz w:val="1"/>
                <w:szCs w:val="1"/>
                <w:color w:val="auto"/>
              </w:rPr>
            </w:pPr>
          </w:p>
        </w:tc>
      </w:tr>
      <w:tr>
        <w:trPr>
          <w:trHeight w:val="216"/>
        </w:trPr>
        <w:tc>
          <w:tcPr>
            <w:tcW w:w="262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April 2025 Shelf Registration </w:t>
            </w:r>
            <w:r>
              <w:rPr>
                <w:rFonts w:ascii="Times New Roman" w:cs="Times New Roman" w:eastAsia="Times New Roman" w:hAnsi="Times New Roman"/>
                <w:sz w:val="20"/>
                <w:szCs w:val="20"/>
                <w:color w:val="auto"/>
                <w:vertAlign w:val="superscript"/>
              </w:rPr>
              <w:t>(3)</w:t>
            </w:r>
          </w:p>
        </w:tc>
        <w:tc>
          <w:tcPr>
            <w:tcW w:w="1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ATM offering</w:t>
            </w:r>
          </w:p>
        </w:tc>
        <w:tc>
          <w:tcPr>
            <w:tcW w:w="17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9/23/2025 to</w:t>
            </w: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1,273,923</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8"/>
                <w:szCs w:val="18"/>
                <w:color w:val="auto"/>
              </w:rPr>
            </w:pPr>
          </w:p>
        </w:tc>
        <w:tc>
          <w:tcPr>
            <w:tcW w:w="880" w:type="dxa"/>
            <w:vAlign w:val="bottom"/>
          </w:tcPr>
          <w:p>
            <w:pPr>
              <w:jc w:val="right"/>
              <w:ind w:right="66"/>
              <w:spacing w:after="0" w:line="216" w:lineRule="exact"/>
              <w:rPr>
                <w:sz w:val="20"/>
                <w:szCs w:val="20"/>
                <w:color w:val="auto"/>
              </w:rPr>
            </w:pPr>
            <w:r>
              <w:rPr>
                <w:rFonts w:ascii="Times New Roman" w:cs="Times New Roman" w:eastAsia="Times New Roman" w:hAnsi="Times New Roman"/>
                <w:sz w:val="15"/>
                <w:szCs w:val="15"/>
                <w:color w:val="auto"/>
              </w:rPr>
              <w:t xml:space="preserve">58.87 </w:t>
            </w:r>
            <w:r>
              <w:rPr>
                <w:rFonts w:ascii="Times New Roman" w:cs="Times New Roman" w:eastAsia="Times New Roman" w:hAnsi="Times New Roman"/>
                <w:sz w:val="20"/>
                <w:szCs w:val="20"/>
                <w:color w:val="auto"/>
                <w:vertAlign w:val="superscript"/>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72.5</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7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10/16/2025</w:t>
            </w: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November 2025 Shelf Registration </w:t>
            </w:r>
            <w:r>
              <w:rPr>
                <w:rFonts w:ascii="Times New Roman" w:cs="Times New Roman" w:eastAsia="Times New Roman" w:hAnsi="Times New Roman"/>
                <w:sz w:val="18"/>
                <w:szCs w:val="18"/>
                <w:color w:val="auto"/>
                <w:vertAlign w:val="superscript"/>
              </w:rPr>
              <w:t>(4)</w:t>
            </w:r>
          </w:p>
        </w:tc>
        <w:tc>
          <w:tcPr>
            <w:tcW w:w="186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Underwritten offering</w:t>
            </w:r>
          </w:p>
        </w:tc>
        <w:tc>
          <w:tcPr>
            <w:tcW w:w="17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2/13/2026</w:t>
            </w:r>
          </w:p>
        </w:tc>
        <w:tc>
          <w:tcPr>
            <w:tcW w:w="12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7,637,931</w:t>
            </w:r>
          </w:p>
        </w:tc>
        <w:tc>
          <w:tcPr>
            <w:tcW w:w="124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293,103</w:t>
            </w:r>
          </w:p>
        </w:tc>
        <w:tc>
          <w:tcPr>
            <w:tcW w:w="4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6"/>
              <w:spacing w:after="0" w:line="162" w:lineRule="exact"/>
              <w:rPr>
                <w:sz w:val="20"/>
                <w:szCs w:val="20"/>
                <w:color w:val="auto"/>
              </w:rPr>
            </w:pPr>
            <w:r>
              <w:rPr>
                <w:rFonts w:ascii="Times New Roman" w:cs="Times New Roman" w:eastAsia="Times New Roman" w:hAnsi="Times New Roman"/>
                <w:sz w:val="14"/>
                <w:szCs w:val="14"/>
                <w:color w:val="auto"/>
              </w:rPr>
              <w:t>58.00</w:t>
            </w:r>
            <w:r>
              <w:rPr>
                <w:rFonts w:ascii="Times New Roman" w:cs="Times New Roman" w:eastAsia="Times New Roman" w:hAnsi="Times New Roman"/>
                <w:sz w:val="18"/>
                <w:szCs w:val="18"/>
                <w:color w:val="auto"/>
                <w:vertAlign w:val="superscript"/>
              </w:rPr>
              <w:t>(7)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7"/>
              <w:spacing w:after="0" w:line="162" w:lineRule="exact"/>
              <w:rPr>
                <w:sz w:val="20"/>
                <w:szCs w:val="20"/>
                <w:color w:val="auto"/>
              </w:rPr>
            </w:pPr>
            <w:r>
              <w:rPr>
                <w:rFonts w:ascii="Times New Roman" w:cs="Times New Roman" w:eastAsia="Times New Roman" w:hAnsi="Times New Roman"/>
                <w:sz w:val="15"/>
                <w:szCs w:val="15"/>
                <w:color w:val="auto"/>
              </w:rPr>
              <w:t>431.9</w:t>
            </w:r>
          </w:p>
        </w:tc>
        <w:tc>
          <w:tcPr>
            <w:tcW w:w="0" w:type="dxa"/>
            <w:vAlign w:val="bottom"/>
          </w:tcPr>
          <w:p>
            <w:pPr>
              <w:spacing w:after="0"/>
              <w:rPr>
                <w:sz w:val="1"/>
                <w:szCs w:val="1"/>
                <w:color w:val="auto"/>
              </w:rPr>
            </w:pPr>
          </w:p>
        </w:tc>
      </w:tr>
      <w:tr>
        <w:trPr>
          <w:trHeight w:val="162"/>
        </w:trPr>
        <w:tc>
          <w:tcPr>
            <w:tcW w:w="262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April 2025 Shelf Registration </w:t>
            </w:r>
            <w:r>
              <w:rPr>
                <w:rFonts w:ascii="Times New Roman" w:cs="Times New Roman" w:eastAsia="Times New Roman" w:hAnsi="Times New Roman"/>
                <w:sz w:val="18"/>
                <w:szCs w:val="18"/>
                <w:color w:val="auto"/>
                <w:vertAlign w:val="superscript"/>
              </w:rPr>
              <w:t>(5)</w:t>
            </w:r>
          </w:p>
        </w:tc>
        <w:tc>
          <w:tcPr>
            <w:tcW w:w="18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ATM offering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2/20/2026 to 4/1/2026</w:t>
            </w:r>
          </w:p>
        </w:tc>
        <w:tc>
          <w:tcPr>
            <w:tcW w:w="12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1,532,850</w:t>
            </w:r>
          </w:p>
        </w:tc>
        <w:tc>
          <w:tcPr>
            <w:tcW w:w="12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4"/>
                <w:szCs w:val="14"/>
                <w:color w:val="auto"/>
              </w:rPr>
              <w:t>71.76</w:t>
            </w:r>
            <w:r>
              <w:rPr>
                <w:rFonts w:ascii="Times New Roman" w:cs="Times New Roman" w:eastAsia="Times New Roman" w:hAnsi="Times New Roman"/>
                <w:sz w:val="18"/>
                <w:szCs w:val="18"/>
                <w:color w:val="auto"/>
                <w:vertAlign w:val="superscript"/>
              </w:rPr>
              <w:t>(7)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67"/>
              <w:spacing w:after="0" w:line="162" w:lineRule="exact"/>
              <w:rPr>
                <w:sz w:val="20"/>
                <w:szCs w:val="20"/>
                <w:color w:val="auto"/>
              </w:rPr>
            </w:pPr>
            <w:r>
              <w:rPr>
                <w:rFonts w:ascii="Times New Roman" w:cs="Times New Roman" w:eastAsia="Times New Roman" w:hAnsi="Times New Roman"/>
                <w:sz w:val="15"/>
                <w:szCs w:val="15"/>
                <w:color w:val="auto"/>
              </w:rPr>
              <w:t>106.6</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November 2025 Shelf Registration </w:t>
            </w:r>
            <w:r>
              <w:rPr>
                <w:rFonts w:ascii="Times New Roman" w:cs="Times New Roman" w:eastAsia="Times New Roman" w:hAnsi="Times New Roman"/>
                <w:sz w:val="18"/>
                <w:szCs w:val="18"/>
                <w:color w:val="auto"/>
                <w:vertAlign w:val="superscript"/>
              </w:rPr>
              <w:t>(6)</w:t>
            </w:r>
          </w:p>
        </w:tc>
        <w:tc>
          <w:tcPr>
            <w:tcW w:w="1860" w:type="dxa"/>
            <w:vAlign w:val="bottom"/>
            <w:tcBorders>
              <w:bottom w:val="single" w:sz="8" w:color="CFF0FC"/>
            </w:tcBorders>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Underwritten offering</w:t>
            </w:r>
          </w:p>
        </w:tc>
        <w:tc>
          <w:tcPr>
            <w:tcW w:w="1760" w:type="dxa"/>
            <w:vAlign w:val="bottom"/>
            <w:tcBorders>
              <w:bottom w:val="single" w:sz="8" w:color="CFF0FC"/>
            </w:tcBorders>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4/23/2026</w:t>
            </w:r>
          </w:p>
        </w:tc>
        <w:tc>
          <w:tcPr>
            <w:tcW w:w="124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4,062,500</w:t>
            </w: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92.00</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67"/>
              <w:spacing w:after="0" w:line="162" w:lineRule="exact"/>
              <w:rPr>
                <w:sz w:val="20"/>
                <w:szCs w:val="20"/>
                <w:color w:val="auto"/>
              </w:rPr>
            </w:pPr>
            <w:r>
              <w:rPr>
                <w:rFonts w:ascii="Times New Roman" w:cs="Times New Roman" w:eastAsia="Times New Roman" w:hAnsi="Times New Roman"/>
                <w:sz w:val="15"/>
                <w:szCs w:val="15"/>
                <w:color w:val="auto"/>
              </w:rPr>
              <w:t>350.9</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19,400,822</w:t>
            </w:r>
          </w:p>
        </w:tc>
        <w:tc>
          <w:tcPr>
            <w:tcW w:w="1240" w:type="dxa"/>
            <w:vAlign w:val="bottom"/>
            <w:gridSpan w:val="2"/>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293,103</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67"/>
              <w:spacing w:after="0" w:line="156" w:lineRule="exact"/>
              <w:rPr>
                <w:sz w:val="20"/>
                <w:szCs w:val="20"/>
                <w:color w:val="auto"/>
              </w:rPr>
            </w:pPr>
            <w:r>
              <w:rPr>
                <w:rFonts w:ascii="Times New Roman" w:cs="Times New Roman" w:eastAsia="Times New Roman" w:hAnsi="Times New Roman"/>
                <w:sz w:val="15"/>
                <w:szCs w:val="15"/>
                <w:color w:val="auto"/>
              </w:rPr>
              <w:t>1,069.1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-136525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-136525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reflect gross proceeds, net of underwriting discounts, sales commissions and other offering costs.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 included 638,298 shares sold upon exercise in full by the underwriters of their option to purchase additional shares of common stock. Additionally, we re-issued all 552,307 shares previously held in treasury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remain available for issuance under the April 2025 ATM Sales Agreement.</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 included 1,034,482 shares sold upon exercise in full by the underwriters of their option to purchase additional shares of common stock. The shares were sold at $58.00 per share and the pre-funded warrants were sold at $57.9999 per pre-funded warrant. See below for additional information regarding the pre-funded warrants.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March 31, 2026, we sold 1,325,295 shares of our common stock for net proceeds of $93.1 million. We also sold 207,555 shares of our common stock on April 1, 2026, for net proceeds of $13.6 million. No shares remain available for issuance under the November 2025 ATM Sales Agreement.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 included 529,891 shares sold upon exercise in full by the underwriters of their option to purchase additional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price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75" w:lineRule="exact"/>
        <w:rPr>
          <w:sz w:val="20"/>
          <w:szCs w:val="20"/>
          <w:color w:val="auto"/>
        </w:rPr>
      </w:pPr>
    </w:p>
    <w:p>
      <w:pPr>
        <w:ind w:right="100" w:firstLine="656"/>
        <w:spacing w:after="0" w:line="258" w:lineRule="auto"/>
        <w:rPr>
          <w:sz w:val="20"/>
          <w:szCs w:val="20"/>
          <w:color w:val="auto"/>
        </w:rPr>
      </w:pPr>
      <w:r>
        <w:rPr>
          <w:rFonts w:ascii="Times New Roman" w:cs="Times New Roman" w:eastAsia="Times New Roman" w:hAnsi="Times New Roman"/>
          <w:sz w:val="18"/>
          <w:szCs w:val="18"/>
          <w:color w:val="auto"/>
        </w:rPr>
        <w:t>In March 2024, we issued a pre-funded warrant to purchase an aggregate of 1,666,667 shares of our common stock to TCG Crossover Fund II, L.P. (TCG) at a price of $18.00 per share for gross proceeds of $30.0 million (the TCG Pre-funded Warrant). Transaction costs were immaterial. The TCG Pre-funded Warrant had an exercise price of $0.0015 per share and was exercisable at any time after the original issuance date. On July 1, and July 11, 2025, TCG exercised the TCG Pre-funded Warrant to purchase 780,000 and 886,667 shares of common stock, respectively. Exercise proceeds were immaterial. As a result of these exercises, no shares remain issuable under the TCG Pre-funded Warrant.</w:t>
      </w:r>
    </w:p>
    <w:p>
      <w:pPr>
        <w:spacing w:after="0" w:line="129" w:lineRule="exact"/>
        <w:rPr>
          <w:sz w:val="20"/>
          <w:szCs w:val="20"/>
          <w:color w:val="auto"/>
        </w:rPr>
      </w:pPr>
    </w:p>
    <w:p>
      <w:pPr>
        <w:jc w:val="both"/>
        <w:ind w:right="220" w:firstLine="656"/>
        <w:spacing w:after="0" w:line="266" w:lineRule="auto"/>
        <w:rPr>
          <w:sz w:val="20"/>
          <w:szCs w:val="20"/>
          <w:color w:val="auto"/>
        </w:rPr>
      </w:pPr>
      <w:r>
        <w:rPr>
          <w:rFonts w:ascii="Times New Roman" w:cs="Times New Roman" w:eastAsia="Times New Roman" w:hAnsi="Times New Roman"/>
          <w:sz w:val="18"/>
          <w:szCs w:val="18"/>
          <w:color w:val="auto"/>
        </w:rPr>
        <w:t>On February 13, 2026, as disclosed above, we completed the sale and issuance of 293,103 pre-funded warrants at a price of $57.9999 per share. Each pre-funded warrant has an exercise price of $0.0001 per share and is exercisable at any time after the original issuance date. As of March 31, 2026, none of the warrants have been exercised.</w:t>
      </w:r>
    </w:p>
    <w:p>
      <w:pPr>
        <w:spacing w:after="0" w:line="122" w:lineRule="exact"/>
        <w:rPr>
          <w:sz w:val="20"/>
          <w:szCs w:val="20"/>
          <w:color w:val="auto"/>
        </w:rPr>
      </w:pPr>
    </w:p>
    <w:p>
      <w:pPr>
        <w:ind w:right="80" w:firstLine="656"/>
        <w:spacing w:after="0" w:line="261" w:lineRule="auto"/>
        <w:rPr>
          <w:sz w:val="20"/>
          <w:szCs w:val="20"/>
          <w:color w:val="auto"/>
        </w:rPr>
      </w:pPr>
      <w:r>
        <w:rPr>
          <w:rFonts w:ascii="Times New Roman" w:cs="Times New Roman" w:eastAsia="Times New Roman" w:hAnsi="Times New Roman"/>
          <w:sz w:val="18"/>
          <w:szCs w:val="18"/>
          <w:color w:val="auto"/>
        </w:rPr>
        <w:t>We classified the pre-funded warrants as a component of permanent equity in our Condensed Consolidated Balance Sheets as they are freestanding financial instruments that are immediately exercisable, do not embody an obligation for the Company to repurchase its own shares and permit the holder to receive a fixed number of shares of common stock upon exercise. All of the shares underlying the pre-funded warrants have been included in the weighted-average number of shares of common</w:t>
      </w:r>
    </w:p>
    <w:p>
      <w:pPr>
        <w:spacing w:after="0" w:line="1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stock used to calculate net loss per share attributable to common stockholders because the shares may be issued for little or no consideration, are fully vested and are exercisable after the original issuance dates of the pre-funded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License and Collaboration Agreements</w:t>
      </w:r>
    </w:p>
    <w:p>
      <w:pPr>
        <w:spacing w:after="0" w:line="175" w:lineRule="exact"/>
        <w:rPr>
          <w:sz w:val="20"/>
          <w:szCs w:val="20"/>
          <w:color w:val="auto"/>
        </w:rPr>
      </w:pPr>
    </w:p>
    <w:p>
      <w:pPr>
        <w:ind w:right="60" w:firstLine="659"/>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various collaboration agreements including license agreements and collaborative research, development and commercialization agreements with various pharmaceutical and biotechnology companies. Under these collaboration arrangements, we may be entitled to receive license fees, upfront payments, milestone and other contingent payments, royalties, sales milestone payments, and reimbursements for research and development activities. We generally include our costs of performing these services in research and development expense. We analyze our agreements to determine whether we should account for the agreements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and, if so, we analyze whether we should account for any elements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100" w:firstLine="659"/>
        <w:spacing w:after="0" w:line="261" w:lineRule="auto"/>
        <w:rPr>
          <w:sz w:val="20"/>
          <w:szCs w:val="20"/>
          <w:color w:val="auto"/>
        </w:rPr>
      </w:pPr>
      <w:r>
        <w:rPr>
          <w:rFonts w:ascii="Times New Roman" w:cs="Times New Roman" w:eastAsia="Times New Roman" w:hAnsi="Times New Roman"/>
          <w:sz w:val="18"/>
          <w:szCs w:val="18"/>
          <w:color w:val="auto"/>
        </w:rPr>
        <w:t>We have a collaboration agreement with UCB for dapirolizumab pegol, under which we are entitled to a total of up to $40.0 million of regulatory approval milestones, as well as royalties in the low single digits based on net sales of commercialized products, if any. UCB is developing dapirolizumab pegol, a PEGylated antibody fragment, with Biogen, Inc. for the treatment of systemic lupus erythematosus. However, given the current phase of development of this product and the uncertainty in clinical development, we have excluded these milestones from the transaction price for this agreement.</w:t>
      </w:r>
    </w:p>
    <w:p>
      <w:pPr>
        <w:spacing w:after="0" w:line="126" w:lineRule="exact"/>
        <w:rPr>
          <w:sz w:val="20"/>
          <w:szCs w:val="20"/>
          <w:color w:val="auto"/>
        </w:rPr>
      </w:pPr>
    </w:p>
    <w:p>
      <w:pPr>
        <w:ind w:right="160" w:firstLine="656"/>
        <w:spacing w:after="0" w:line="258" w:lineRule="auto"/>
        <w:rPr>
          <w:sz w:val="20"/>
          <w:szCs w:val="20"/>
          <w:color w:val="auto"/>
        </w:rPr>
      </w:pPr>
      <w:r>
        <w:rPr>
          <w:rFonts w:ascii="Times New Roman" w:cs="Times New Roman" w:eastAsia="Times New Roman" w:hAnsi="Times New Roman"/>
          <w:sz w:val="18"/>
          <w:szCs w:val="18"/>
          <w:color w:val="auto"/>
        </w:rPr>
        <w:t>Certain of our other collaboration agreements have resulted in commercialized products for our collaborations partners. Under these agreements, we are entitled to receive royalties based on net sales of these products as well as sales milestones. As discussed in Note 3, we have sold our rights to receive royalties from these other collaboration agreements. Our non-cash royalty revenue, which totaled $10.9 million for the three months ended March 31, 2026 and $10.5 million and for the three months ended March 31, 2025, represents revenue for granting licenses which we had satisfied in prior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Restructuring and Impairment</w:t>
      </w:r>
    </w:p>
    <w:p>
      <w:pPr>
        <w:spacing w:after="0" w:line="175" w:lineRule="exact"/>
        <w:rPr>
          <w:sz w:val="20"/>
          <w:szCs w:val="20"/>
          <w:color w:val="auto"/>
        </w:rPr>
      </w:pPr>
    </w:p>
    <w:p>
      <w:pPr>
        <w:ind w:right="580" w:firstLine="656"/>
        <w:spacing w:after="0" w:line="282" w:lineRule="auto"/>
        <w:rPr>
          <w:sz w:val="20"/>
          <w:szCs w:val="20"/>
          <w:color w:val="auto"/>
        </w:rPr>
      </w:pPr>
      <w:r>
        <w:rPr>
          <w:rFonts w:ascii="Times New Roman" w:cs="Times New Roman" w:eastAsia="Times New Roman" w:hAnsi="Times New Roman"/>
          <w:sz w:val="18"/>
          <w:szCs w:val="18"/>
          <w:color w:val="auto"/>
        </w:rPr>
        <w:t>In connection with our prior restructuring plans, we have incurred significant contract termination costs. Because we continue to adjust the liability based on updates to our assumptions at each reporting date, we continue to recognize expense as our estimates change until settlement.</w:t>
      </w:r>
    </w:p>
    <w:p>
      <w:pPr>
        <w:spacing w:after="0" w:line="108" w:lineRule="exact"/>
        <w:rPr>
          <w:sz w:val="20"/>
          <w:szCs w:val="20"/>
          <w:color w:val="auto"/>
        </w:rPr>
      </w:pPr>
    </w:p>
    <w:p>
      <w:pPr>
        <w:ind w:right="640" w:firstLine="656"/>
        <w:spacing w:after="0" w:line="257" w:lineRule="auto"/>
        <w:rPr>
          <w:sz w:val="20"/>
          <w:szCs w:val="20"/>
          <w:color w:val="auto"/>
        </w:rPr>
      </w:pPr>
      <w:r>
        <w:rPr>
          <w:rFonts w:ascii="Times New Roman" w:cs="Times New Roman" w:eastAsia="Times New Roman" w:hAnsi="Times New Roman"/>
          <w:sz w:val="18"/>
          <w:szCs w:val="18"/>
          <w:color w:val="auto"/>
        </w:rPr>
        <w:t>The following are reconciliations of accrued contract termination and other costs for the three months ended March 31, 2026 and 2025 (in thousands):</w:t>
      </w:r>
    </w:p>
    <w:tbl>
      <w:tblPr>
        <w:tblLayout w:type="fixed"/>
        <w:tblInd w:w="0" w:type="dxa"/>
        <w:tblCellMar>
          <w:top w:w="0" w:type="dxa"/>
          <w:left w:w="0" w:type="dxa"/>
          <w:bottom w:w="0" w:type="dxa"/>
          <w:right w:w="0" w:type="dxa"/>
        </w:tblCellMar>
      </w:tblPr>
      <w:tr>
        <w:trPr>
          <w:trHeight w:val="156"/>
        </w:trPr>
        <w:tc>
          <w:tcPr>
            <w:tcW w:w="7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bottom w:val="single" w:sz="8" w:color="auto"/>
            </w:tcBorders>
            <w:gridSpan w:val="4"/>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Borders>
              <w:bottom w:val="single" w:sz="8" w:color="auto"/>
            </w:tcBorders>
          </w:tcPr>
          <w:p>
            <w:pPr>
              <w:spacing w:after="0"/>
              <w:rPr>
                <w:sz w:val="13"/>
                <w:szCs w:val="13"/>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termination costs as of December 31, 2025 and 2024, respectively</w:t>
            </w:r>
          </w:p>
        </w:tc>
        <w:tc>
          <w:tcPr>
            <w:tcW w:w="10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10,682</w:t>
            </w:r>
          </w:p>
        </w:tc>
        <w:tc>
          <w:tcPr>
            <w:tcW w:w="13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9,078</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recognized during the period</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 as of March 31, 2026 and 2025, respectively</w:t>
            </w:r>
          </w:p>
        </w:tc>
        <w:tc>
          <w:tcPr>
            <w:tcW w:w="1080" w:type="dxa"/>
            <w:vAlign w:val="bottom"/>
            <w:gridSpan w:val="2"/>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10,963</w:t>
            </w:r>
          </w:p>
        </w:tc>
        <w:tc>
          <w:tcPr>
            <w:tcW w:w="132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8,693</w:t>
            </w:r>
          </w:p>
        </w:tc>
      </w:tr>
      <w:tr>
        <w:trPr>
          <w:trHeight w:val="216"/>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current portion of contract termination costs, as of March 31, 2026 and 2025, respectively</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 term portion of contract termination costs, as of March 31, 2026 and 2025, respectively</w:t>
            </w:r>
          </w:p>
        </w:tc>
        <w:tc>
          <w:tcPr>
            <w:tcW w:w="1080" w:type="dxa"/>
            <w:vAlign w:val="bottom"/>
            <w:gridSpan w:val="2"/>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7,898</w:t>
            </w:r>
          </w:p>
        </w:tc>
        <w:tc>
          <w:tcPr>
            <w:tcW w:w="132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5,868</w:t>
            </w:r>
          </w:p>
        </w:tc>
      </w:tr>
      <w:tr>
        <w:trPr>
          <w:trHeight w:val="20"/>
        </w:trPr>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120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4"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report the current portion of accrued contract termination costs within accrued expenses and the long-term portion within other long-term liabilities on our Condensed Consolidated Balance Sheets.</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total stock-based compensation expense in our Condensed Consolidated Statements of Operations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3"/>
                <w:szCs w:val="13"/>
                <w:color w:val="auto"/>
              </w:rPr>
            </w:pPr>
          </w:p>
        </w:tc>
      </w:tr>
      <w:tr>
        <w:trPr>
          <w:trHeight w:val="142"/>
        </w:trPr>
        <w:tc>
          <w:tcPr>
            <w:tcW w:w="5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6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20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1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2,462</w:t>
            </w:r>
          </w:p>
        </w:tc>
      </w:tr>
      <w:tr>
        <w:trPr>
          <w:trHeight w:val="249"/>
        </w:trPr>
        <w:tc>
          <w:tcPr>
            <w:tcW w:w="5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Reporting</w:t>
      </w:r>
    </w:p>
    <w:p>
      <w:pPr>
        <w:spacing w:after="0" w:line="175" w:lineRule="exact"/>
        <w:rPr>
          <w:sz w:val="20"/>
          <w:szCs w:val="20"/>
          <w:color w:val="auto"/>
        </w:rPr>
      </w:pPr>
    </w:p>
    <w:p>
      <w:pPr>
        <w:ind w:right="260" w:firstLine="656"/>
        <w:spacing w:after="0" w:line="261" w:lineRule="auto"/>
        <w:rPr>
          <w:sz w:val="20"/>
          <w:szCs w:val="20"/>
          <w:color w:val="auto"/>
        </w:rPr>
      </w:pPr>
      <w:r>
        <w:rPr>
          <w:rFonts w:ascii="Times New Roman" w:cs="Times New Roman" w:eastAsia="Times New Roman" w:hAnsi="Times New Roman"/>
          <w:sz w:val="18"/>
          <w:szCs w:val="18"/>
          <w:color w:val="auto"/>
        </w:rPr>
        <w:t>We operate in one business segment which focuses on applying our expertise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 who is our chief operating decision maker (CODM).</w:t>
      </w:r>
    </w:p>
    <w:p>
      <w:pPr>
        <w:spacing w:after="0" w:line="153" w:lineRule="exact"/>
        <w:rPr>
          <w:sz w:val="20"/>
          <w:szCs w:val="20"/>
          <w:color w:val="auto"/>
        </w:rPr>
      </w:pPr>
    </w:p>
    <w:p>
      <w:pPr>
        <w:ind w:right="220" w:firstLine="656"/>
        <w:spacing w:after="0" w:line="266" w:lineRule="auto"/>
        <w:rPr>
          <w:sz w:val="20"/>
          <w:szCs w:val="20"/>
          <w:color w:val="auto"/>
        </w:rPr>
      </w:pPr>
      <w:r>
        <w:rPr>
          <w:rFonts w:ascii="Times New Roman" w:cs="Times New Roman" w:eastAsia="Times New Roman" w:hAnsi="Times New Roman"/>
          <w:sz w:val="18"/>
          <w:szCs w:val="18"/>
          <w:color w:val="auto"/>
        </w:rPr>
        <w:t>The CODM assesses the performance of the Company and decides how to allocate resources based upon net loss that is also reported within the Condensed Consolidated Statements of Operations. The measure of segment assets that is reviewed by the CODM is reported within the Condensed Consolidated Balance Sheet as total assets.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is a summary of the significant expense categories and consolidated net loss details provided to the CODM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6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10,861</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10,460</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7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Clinical development, contract manufacturing and other third party costs</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8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Rezpegaldesleukin (IL-2 receptor agonist/regulatory T cell agent)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20,736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13,803</w:t>
            </w:r>
          </w:p>
        </w:tc>
      </w:tr>
      <w:tr>
        <w:trPr>
          <w:trHeight w:val="216"/>
        </w:trPr>
        <w:tc>
          <w:tcPr>
            <w:tcW w:w="3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Tumor necrosis factor receptor type II</w:t>
            </w:r>
          </w:p>
        </w:tc>
        <w:tc>
          <w:tcPr>
            <w:tcW w:w="5660" w:type="dxa"/>
            <w:vAlign w:val="bottom"/>
            <w:gridSpan w:val="2"/>
            <w:shd w:val="clear" w:color="auto" w:fill="CFF0FC"/>
          </w:tcPr>
          <w:p>
            <w:pPr>
              <w:jc w:val="right"/>
              <w:ind w:right="4248"/>
              <w:spacing w:after="0"/>
              <w:rPr>
                <w:sz w:val="20"/>
                <w:szCs w:val="20"/>
                <w:color w:val="auto"/>
              </w:rPr>
            </w:pPr>
            <w:r>
              <w:rPr>
                <w:rFonts w:ascii="Times New Roman" w:cs="Times New Roman" w:eastAsia="Times New Roman" w:hAnsi="Times New Roman"/>
                <w:sz w:val="18"/>
                <w:szCs w:val="18"/>
                <w:color w:val="auto"/>
                <w:w w:val="99"/>
              </w:rPr>
              <w:t>(TNFR2) program</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Discovery research and other programs</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r>
      <w:tr>
        <w:trPr>
          <w:trHeight w:val="210"/>
        </w:trPr>
        <w:tc>
          <w:tcPr>
            <w:tcW w:w="87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clinical development, contract manufacturing and other third party costs</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21,430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17,942</w:t>
            </w:r>
          </w:p>
        </w:tc>
      </w:tr>
      <w:tr>
        <w:trPr>
          <w:trHeight w:val="216"/>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costs (a)</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13,678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11,974</w:t>
            </w:r>
          </w:p>
        </w:tc>
      </w:tr>
      <w:tr>
        <w:trPr>
          <w:trHeight w:val="216"/>
        </w:trPr>
        <w:tc>
          <w:tcPr>
            <w:tcW w:w="3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Facilities costs</w:t>
            </w:r>
          </w:p>
        </w:tc>
        <w:tc>
          <w:tcPr>
            <w:tcW w:w="4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3,358</w:t>
            </w:r>
          </w:p>
        </w:tc>
      </w:tr>
      <w:tr>
        <w:trPr>
          <w:trHeight w:val="216"/>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costs (b)</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17,260</w:t>
            </w:r>
          </w:p>
        </w:tc>
      </w:tr>
      <w:tr>
        <w:trPr>
          <w:trHeight w:val="216"/>
        </w:trPr>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p>
        </w:tc>
        <w:tc>
          <w:tcPr>
            <w:tcW w:w="47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4,461</w:t>
            </w: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49,915</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54,995</w:t>
            </w:r>
          </w:p>
        </w:tc>
      </w:tr>
      <w:tr>
        <w:trPr>
          <w:trHeight w:val="210"/>
        </w:trPr>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47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(44,535)</w:t>
            </w: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7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liability related to sale of future royalties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16"/>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2,874</w:t>
            </w:r>
          </w:p>
        </w:tc>
      </w:tr>
      <w:tr>
        <w:trPr>
          <w:trHeight w:val="216"/>
        </w:trPr>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7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r>
      <w:tr>
        <w:trPr>
          <w:trHeight w:val="20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10"/>
        </w:trPr>
        <w:tc>
          <w:tcPr>
            <w:tcW w:w="8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equity method investment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4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(46,421)</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4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(50,882)</w:t>
            </w:r>
          </w:p>
        </w:tc>
      </w:tr>
      <w:tr>
        <w:trPr>
          <w:trHeight w:val="629"/>
        </w:trPr>
        <w:tc>
          <w:tcPr>
            <w:tcW w:w="3040" w:type="dxa"/>
            <w:vAlign w:val="bottom"/>
            <w:tcBorders>
              <w:top w:val="single" w:sz="8" w:color="CFF0FC"/>
            </w:tcBorders>
          </w:tcPr>
          <w:p>
            <w:pPr>
              <w:spacing w:after="0"/>
              <w:rPr>
                <w:sz w:val="24"/>
                <w:szCs w:val="24"/>
                <w:color w:val="auto"/>
              </w:rPr>
            </w:pPr>
          </w:p>
        </w:tc>
        <w:tc>
          <w:tcPr>
            <w:tcW w:w="4700" w:type="dxa"/>
            <w:vAlign w:val="bottom"/>
            <w:tcBorders>
              <w:top w:val="single" w:sz="8" w:color="CFF0FC"/>
            </w:tcBorders>
          </w:tcPr>
          <w:p>
            <w:pPr>
              <w:jc w:val="right"/>
              <w:ind w:right="161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763"/>
        </w:trPr>
        <w:tc>
          <w:tcPr>
            <w:tcW w:w="30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-2639695</wp:posOffset>
            </wp:positionV>
            <wp:extent cx="1111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-2348230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-934085</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segment expense items included within net loss include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0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3,898</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segment expenses</w:t>
            </w:r>
          </w:p>
        </w:tc>
        <w:tc>
          <w:tcPr>
            <w:tcW w:w="10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4,272</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4,461</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and benefits for our employees and costs for our contractors and temporary workers.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and patent expenses, information technology infrastructure and other costs, professional accounting, insurance, travel and entertainment and other third party services and expenses.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21" w:lineRule="exact"/>
        <w:rPr>
          <w:sz w:val="20"/>
          <w:szCs w:val="20"/>
          <w:color w:val="auto"/>
        </w:rPr>
      </w:pPr>
    </w:p>
    <w:p>
      <w:pPr>
        <w:ind w:right="180" w:firstLine="656"/>
        <w:spacing w:after="0" w:line="312" w:lineRule="auto"/>
        <w:rPr>
          <w:sz w:val="20"/>
          <w:szCs w:val="20"/>
          <w:color w:val="auto"/>
        </w:rPr>
      </w:pPr>
      <w:r>
        <w:rPr>
          <w:rFonts w:ascii="Times New Roman" w:cs="Times New Roman" w:eastAsia="Times New Roman" w:hAnsi="Times New Roman"/>
          <w:sz w:val="17"/>
          <w:szCs w:val="17"/>
          <w:color w:val="auto"/>
        </w:rPr>
        <w:t>On April 1, 2026, we sold an additional 207,555 shares of our common stock under the November 2025 ATM Sales Agreement for net proceeds of $13.6 million after deducting related commissions. No ATM shares remain available for issuance under the November 2025 ATM Sales Agreement.</w:t>
      </w:r>
    </w:p>
    <w:p>
      <w:pPr>
        <w:spacing w:after="0" w:line="86" w:lineRule="exact"/>
        <w:rPr>
          <w:sz w:val="20"/>
          <w:szCs w:val="20"/>
          <w:color w:val="auto"/>
        </w:rPr>
      </w:pPr>
    </w:p>
    <w:p>
      <w:pPr>
        <w:ind w:right="460" w:firstLine="656"/>
        <w:spacing w:after="0" w:line="261" w:lineRule="auto"/>
        <w:rPr>
          <w:sz w:val="20"/>
          <w:szCs w:val="20"/>
          <w:color w:val="auto"/>
        </w:rPr>
      </w:pPr>
      <w:r>
        <w:rPr>
          <w:rFonts w:ascii="Times New Roman" w:cs="Times New Roman" w:eastAsia="Times New Roman" w:hAnsi="Times New Roman"/>
          <w:sz w:val="18"/>
          <w:szCs w:val="18"/>
          <w:color w:val="auto"/>
        </w:rPr>
        <w:t>On April 23, 2026, pursuant to the November 2025 Shelf Registration Statement, we completed the sale and issuance of 4,062,500 shares of common stock at a price of $92.00 per share, which included 529,891 shares sold upon exercise in full by the underwriters of their option to purchase additional shares of common stock in the April 2026 Offering. The estimated net proceeds from the April 2026 Offering total approximately $350.9 million, after deducting underwriting discounts and commissions and other offering costs.</w:t>
      </w:r>
    </w:p>
    <w:p>
      <w:pPr>
        <w:spacing w:after="0" w:line="3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659"/>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 “Risk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Direction of Our Business</w:t>
      </w:r>
    </w:p>
    <w:p>
      <w:pPr>
        <w:spacing w:after="0" w:line="175" w:lineRule="exact"/>
        <w:rPr>
          <w:sz w:val="20"/>
          <w:szCs w:val="20"/>
          <w:color w:val="auto"/>
        </w:rPr>
      </w:pPr>
    </w:p>
    <w:p>
      <w:pPr>
        <w:ind w:right="40" w:firstLine="659"/>
        <w:spacing w:after="0" w:line="255" w:lineRule="auto"/>
        <w:rPr>
          <w:sz w:val="20"/>
          <w:szCs w:val="20"/>
          <w:color w:val="auto"/>
        </w:rPr>
      </w:pPr>
      <w:r>
        <w:rPr>
          <w:rFonts w:ascii="Times New Roman" w:cs="Times New Roman" w:eastAsia="Times New Roman" w:hAnsi="Times New Roman"/>
          <w:sz w:val="18"/>
          <w:szCs w:val="18"/>
          <w:color w:val="auto"/>
        </w:rPr>
        <w:t>Nektar Therapeutics is a clinical stage, research-based drug discovery biopharmaceutical company focused on the development of novel immunology therapies.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and -0166, respectively) and cancer (e.g. NKTR-255). We continue to make significant investments in building and advancing our pipeline of drug candidates as we believe that this is the best strategy to build long-term shareholder value.</w:t>
      </w:r>
    </w:p>
    <w:p>
      <w:pPr>
        <w:spacing w:after="0" w:line="81" w:lineRule="exact"/>
        <w:rPr>
          <w:sz w:val="20"/>
          <w:szCs w:val="20"/>
          <w:color w:val="auto"/>
        </w:rPr>
      </w:pPr>
    </w:p>
    <w:p>
      <w:pPr>
        <w:ind w:right="40" w:firstLine="659"/>
        <w:spacing w:after="0" w:line="254" w:lineRule="auto"/>
        <w:rPr>
          <w:sz w:val="20"/>
          <w:szCs w:val="20"/>
          <w:color w:val="auto"/>
        </w:rPr>
      </w:pPr>
      <w:r>
        <w:rPr>
          <w:rFonts w:ascii="Times New Roman" w:cs="Times New Roman" w:eastAsia="Times New Roman" w:hAnsi="Times New Roman"/>
          <w:sz w:val="18"/>
          <w:szCs w:val="18"/>
          <w:color w:val="auto"/>
        </w:rPr>
        <w:t>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regulatory T cells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once or twice monthly self-administered injection for a number of autoimmune disorders and inflammatory diseases.</w:t>
      </w:r>
    </w:p>
    <w:p>
      <w:pPr>
        <w:spacing w:after="0" w:line="84"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In October 2023, we initiated a Phase 2b clinical study of rezpegaldesleukin in patients with moderate-to-severe atopic dermatitis (the Phase 2b RESOLVE-AD trial). On February 11, 2025, we announced that the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March 2024, we initiated a Phase 2b clinical study in patients with severe-to-very severe alopecia areata (the Phase 2b RESOLVE-AA trial). On July 29, 2025, we announced that the FDA had granted Fast Track designation for rezpegaldesleukin for the treatment of severe-to-very severe alopecia areata in adult and pediatric patients 12 years of age and older who weigh at least 40 kg.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spacing w:after="0" w:line="140" w:lineRule="exact"/>
        <w:rPr>
          <w:sz w:val="20"/>
          <w:szCs w:val="20"/>
          <w:color w:val="auto"/>
        </w:rPr>
      </w:pPr>
    </w:p>
    <w:p>
      <w:pPr>
        <w:ind w:right="200" w:firstLine="656"/>
        <w:spacing w:after="0" w:line="255" w:lineRule="auto"/>
        <w:rPr>
          <w:sz w:val="20"/>
          <w:szCs w:val="20"/>
          <w:color w:val="auto"/>
        </w:rPr>
      </w:pPr>
      <w:r>
        <w:rPr>
          <w:rFonts w:ascii="Times New Roman" w:cs="Times New Roman" w:eastAsia="Times New Roman" w:hAnsi="Times New Roman"/>
          <w:sz w:val="18"/>
          <w:szCs w:val="18"/>
          <w:color w:val="auto"/>
        </w:rPr>
        <w:t>On June 24, 2025, we announced statistically significant data from the 16-week induction period of the ongoing Phase 2b REZOLVE-AD trial being conducted in 393 patients. In the trial, patients were randomized (3:3:3:2) to receive subcutaneous treatment with one of three doses of rezpegaldesleukin: a high dose of 24 µg/kg every two weeks (q2w), a middle dose of 18 µg/kg every two weeks (q2w), and a low dose of 24 µg/kg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 to receive placebo q4w.</w:t>
      </w:r>
    </w:p>
    <w:p>
      <w:pPr>
        <w:spacing w:after="0" w:line="18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656"/>
        <w:spacing w:after="0" w:line="253" w:lineRule="auto"/>
        <w:rPr>
          <w:sz w:val="20"/>
          <w:szCs w:val="20"/>
          <w:color w:val="auto"/>
        </w:rPr>
      </w:pPr>
      <w:r>
        <w:rPr>
          <w:rFonts w:ascii="Times New Roman" w:cs="Times New Roman" w:eastAsia="Times New Roman" w:hAnsi="Times New Roman"/>
          <w:sz w:val="18"/>
          <w:szCs w:val="18"/>
          <w:color w:val="auto"/>
        </w:rPr>
        <w:t>As announced on June 24,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≥75% reduction in EASI from baseline), EASI-50 (percent of patients who achieve ≥50%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 Dermatitis with ≥ 2-point reduction from baseline) and Itch NRS (percent of patients with baseline ≥ 4 who experienced a ≥ 4-point reduction in the Itch Numerical Rating Score from baseline). In addition, at week 16, the high dose of 24 µg/kg q2w achieved statistical significance on EASI-90 (percent of patients who achieve ≥ 90% reduction in EASI from baseline). When evaluating EASI-75 and EASI-90 by disease severity using baseline vIGA-AD score, similar responses were observed in severe patients (baseline vIGA-AD of 4) as in moderate patients (baseline vIGA-AD of 3).</w:t>
      </w:r>
    </w:p>
    <w:p>
      <w:pPr>
        <w:spacing w:after="0" w:line="140"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spacing w:after="0" w:line="138" w:lineRule="exact"/>
        <w:rPr>
          <w:sz w:val="20"/>
          <w:szCs w:val="20"/>
          <w:color w:val="auto"/>
        </w:rPr>
      </w:pPr>
    </w:p>
    <w:p>
      <w:pPr>
        <w:ind w:right="40" w:firstLine="656"/>
        <w:spacing w:after="0" w:line="258" w:lineRule="auto"/>
        <w:rPr>
          <w:sz w:val="20"/>
          <w:szCs w:val="20"/>
          <w:color w:val="auto"/>
        </w:rPr>
      </w:pPr>
      <w:r>
        <w:rPr>
          <w:rFonts w:ascii="Times New Roman" w:cs="Times New Roman" w:eastAsia="Times New Roman" w:hAnsi="Times New Roman"/>
          <w:sz w:val="18"/>
          <w:szCs w:val="18"/>
          <w:color w:val="auto"/>
        </w:rPr>
        <w:t>On September 18, 2025, we presented new data from the Phase 2b REZOLVE-AD trial at the European Academy of Dermatology and Venereology (EADV) 2025 Congress. Building on previously presented data, these data demonstrated that high dose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w:t>
      </w:r>
    </w:p>
    <w:p>
      <w:pPr>
        <w:spacing w:after="0" w:line="129" w:lineRule="exact"/>
        <w:rPr>
          <w:sz w:val="20"/>
          <w:szCs w:val="20"/>
          <w:color w:val="auto"/>
        </w:rPr>
      </w:pPr>
    </w:p>
    <w:p>
      <w:pPr>
        <w:ind w:firstLine="656"/>
        <w:spacing w:after="0" w:line="253" w:lineRule="auto"/>
        <w:rPr>
          <w:sz w:val="20"/>
          <w:szCs w:val="20"/>
          <w:color w:val="auto"/>
        </w:rPr>
      </w:pPr>
      <w:r>
        <w:rPr>
          <w:rFonts w:ascii="Times New Roman" w:cs="Times New Roman" w:eastAsia="Times New Roman" w:hAnsi="Times New Roman"/>
          <w:sz w:val="18"/>
          <w:szCs w:val="18"/>
          <w:color w:val="auto"/>
        </w:rPr>
        <w:t>On February 10, 2026, we announced data from the blinded 36-week maintenance period of the Phase 2b REZOLVE-AD trial. Rezpegaldesleukin demonstrated long-term durability and continued atopic dermatitis disease symptom improvement during the maintenance period. Q4w and q12w dosing regimens resulted in sustained disease control for EASI-75, EASI-90, vIGA-AD response, and Itch NRS response, with the 24 µg/kg q4w and q12w regimens showing the highest maintenance of response at week 52. 71% and 83% of patients maintained EASI-75 responses and 85% and 63% maintained vIGA-AD 0/1 responses with 24 µg/kg qw4 and q12w dosing, respectively, at week 52. A meaningful proportion of patients achieved new EASI-75, EASI-90, Itch NRS and vIGA-AD 0/1 responses at week 52 of the study. A two to five fold increase in percentage of patients who achieved EASI-100 was observed in the 24 µg/kg q4w and q12w dosing regimens. Among 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w:t>
      </w:r>
    </w:p>
    <w:p>
      <w:pPr>
        <w:spacing w:after="0" w:line="140" w:lineRule="exact"/>
        <w:rPr>
          <w:sz w:val="20"/>
          <w:szCs w:val="20"/>
          <w:color w:val="auto"/>
        </w:rPr>
      </w:pPr>
    </w:p>
    <w:p>
      <w:pPr>
        <w:ind w:right="80" w:firstLine="656"/>
        <w:spacing w:after="0" w:line="258" w:lineRule="auto"/>
        <w:rPr>
          <w:sz w:val="20"/>
          <w:szCs w:val="20"/>
          <w:color w:val="auto"/>
        </w:rPr>
      </w:pPr>
      <w:r>
        <w:rPr>
          <w:rFonts w:ascii="Times New Roman" w:cs="Times New Roman" w:eastAsia="Times New Roman" w:hAnsi="Times New Roman"/>
          <w:sz w:val="18"/>
          <w:szCs w:val="18"/>
          <w:color w:val="auto"/>
        </w:rPr>
        <w:t>The safety profile of rezpegaldesleukin in maintenance was consistent with observations from the induction part of the study. Rezpegaldesleukin was well-tolerated with no new safety concerns identified during the maintenance and escape periods. The discontinuation rate due to adverse events was 3.5% for all aggregated patients. Overall rates of TEAEs were 72% for rezpegaldesleukin treated patients, 65% for placebo patients in maintenance, and 83% for all escape patients. The most frequent TEAE was injection site reactions, nearly all of which were mild (77%), and which occurred at a lower rate and frequency than observed in the initial induction part of the study (discontinuation rate due to injection site reactions was 0.7%).</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656"/>
        <w:spacing w:after="0" w:line="258" w:lineRule="auto"/>
        <w:rPr>
          <w:sz w:val="20"/>
          <w:szCs w:val="20"/>
          <w:color w:val="auto"/>
        </w:rPr>
      </w:pPr>
      <w:r>
        <w:rPr>
          <w:rFonts w:ascii="Times New Roman" w:cs="Times New Roman" w:eastAsia="Times New Roman" w:hAnsi="Times New Roman"/>
          <w:sz w:val="18"/>
          <w:szCs w:val="18"/>
          <w:color w:val="auto"/>
        </w:rPr>
        <w:t>On December 16, 2025, we announced topline results from the 36-week induction treatment period of the ongoing Phase 2b REZOLVE-AA study being conducted in 92 patients with severe-to-very-severe alopecia areata. Patients were randomized (3:3:2) to receive one of two rezpegaldesleukin doses (24 µg/kg or 18 µg/kg) or placebo, administered as a subcutaneous injection twice monthly. The primary endpoint was the mean percentage reduction from baseline in the Severity of Alopecia Tool (SALT) score at week 36. Primary and secondary endpoints were assessed at the end of the 36-week induction treatment period.</w:t>
      </w:r>
    </w:p>
    <w:p>
      <w:pPr>
        <w:spacing w:after="0" w:line="129" w:lineRule="exact"/>
        <w:rPr>
          <w:sz w:val="20"/>
          <w:szCs w:val="20"/>
          <w:color w:val="auto"/>
        </w:rPr>
      </w:pPr>
    </w:p>
    <w:p>
      <w:pPr>
        <w:ind w:firstLine="656"/>
        <w:spacing w:after="0" w:line="258" w:lineRule="auto"/>
        <w:rPr>
          <w:sz w:val="20"/>
          <w:szCs w:val="20"/>
          <w:color w:val="auto"/>
        </w:rPr>
      </w:pPr>
      <w:r>
        <w:rPr>
          <w:rFonts w:ascii="Times New Roman" w:cs="Times New Roman" w:eastAsia="Times New Roman" w:hAnsi="Times New Roman"/>
          <w:sz w:val="18"/>
          <w:szCs w:val="18"/>
          <w:color w:val="auto"/>
        </w:rPr>
        <w:t>Both rezpegaldesleukin dose arms more than doubled the SALT score reduction treatment effect observed with placebo, with the majority of patients experiencing hair growth at week 16 or later. A mean percent SALT reduction at week 36 of 28.2% for the 24 µg/kg rezpegaldesleukin arm, 30.3% for the 18 µg/kg rezpegaldesleukin arm, and 11.2% for placebo (p=0.186 and p=0.121, respectively) was observed. At all timepoints, the rezpegaldesleukin treatment arms separated from placebo in the study. Both rezpegaldesleukin treatment arms showed a dose dependent clinical treatment effect as compared to placebo on the key secondary endpoints of SALT ≤30, SALT≤20 and SALT≤10 and SALT30.</w:t>
      </w:r>
    </w:p>
    <w:p>
      <w:pPr>
        <w:spacing w:after="0" w:line="129" w:lineRule="exact"/>
        <w:rPr>
          <w:sz w:val="20"/>
          <w:szCs w:val="20"/>
          <w:color w:val="auto"/>
        </w:rPr>
      </w:pPr>
    </w:p>
    <w:p>
      <w:pPr>
        <w:ind w:right="160" w:firstLine="656"/>
        <w:spacing w:after="0" w:line="256" w:lineRule="auto"/>
        <w:rPr>
          <w:sz w:val="20"/>
          <w:szCs w:val="20"/>
          <w:color w:val="auto"/>
        </w:rPr>
      </w:pPr>
      <w:r>
        <w:rPr>
          <w:rFonts w:ascii="Times New Roman" w:cs="Times New Roman" w:eastAsia="Times New Roman" w:hAnsi="Times New Roman"/>
          <w:sz w:val="18"/>
          <w:szCs w:val="18"/>
          <w:color w:val="auto"/>
        </w:rPr>
        <w:t>Four of 92 patients included in the modified intent-to-treat (mITT) analysis were found to have study eligibility violations that should have disqualified them for randomization into the trial. Both rezpegaldesleukin treatment arms met statistical significance on the primary endpoint when excluding the four patients with major study eligibility violations. At week 36, the mean percent SALT reduction was 29.6% for 24 µg/kg, 30.4% for 18 µg/kg, and 5.7% for placebo (p=0.049 and p=0.042, respectively). Importantly, the absolute treatment effect for the rezpegaldesleukin arms was similar with or without the exclusion of eligibility violations. One patient in the placebo arm with an eligibility violation accounted for the 5.5% difference in the performance of the placebo arm.</w:t>
      </w:r>
    </w:p>
    <w:p>
      <w:pPr>
        <w:spacing w:after="0" w:line="133" w:lineRule="exact"/>
        <w:rPr>
          <w:sz w:val="20"/>
          <w:szCs w:val="20"/>
          <w:color w:val="auto"/>
        </w:rPr>
      </w:pPr>
    </w:p>
    <w:p>
      <w:pPr>
        <w:ind w:right="80" w:firstLine="656"/>
        <w:spacing w:after="0" w:line="258" w:lineRule="auto"/>
        <w:rPr>
          <w:sz w:val="20"/>
          <w:szCs w:val="20"/>
          <w:color w:val="auto"/>
        </w:rPr>
      </w:pPr>
      <w:r>
        <w:rPr>
          <w:rFonts w:ascii="Times New Roman" w:cs="Times New Roman" w:eastAsia="Times New Roman" w:hAnsi="Times New Roman"/>
          <w:sz w:val="18"/>
          <w:szCs w:val="18"/>
          <w:color w:val="auto"/>
        </w:rPr>
        <w:t>Consistent with prior studies, a favorable safety and tolerability profile was observed, with nearly all TEAEs mild-to-moderate in severity and self-resolving, even in patients receiving 52 weeks of treatment. The discontinuation rate due to adverse events was 1.4% in the combined rezpegaldesleukin treatment arms. No patients discontinued treatment due to an ISR. The placebo adjusted-ISR rate was consistent with prior studies, with 87.0% of ISRs reported as mild. There was no increased risk of major adverse cardiovascular events, thrombosis, infection, acne or oral herpes for REZPEG-exposed patients, compared to placebo.</w:t>
      </w:r>
    </w:p>
    <w:p>
      <w:pPr>
        <w:spacing w:after="0" w:line="129" w:lineRule="exact"/>
        <w:rPr>
          <w:sz w:val="20"/>
          <w:szCs w:val="20"/>
          <w:color w:val="auto"/>
        </w:rPr>
      </w:pPr>
    </w:p>
    <w:p>
      <w:pPr>
        <w:ind w:right="100" w:firstLine="656"/>
        <w:spacing w:after="0" w:line="256" w:lineRule="auto"/>
        <w:rPr>
          <w:sz w:val="20"/>
          <w:szCs w:val="20"/>
          <w:color w:val="auto"/>
        </w:rPr>
      </w:pPr>
      <w:r>
        <w:rPr>
          <w:rFonts w:ascii="Times New Roman" w:cs="Times New Roman" w:eastAsia="Times New Roman" w:hAnsi="Times New Roman"/>
          <w:sz w:val="18"/>
          <w:szCs w:val="18"/>
          <w:color w:val="auto"/>
        </w:rPr>
        <w:t>On April 20, 2026, we announced 52-week topline results from the 16-week blinded treatment extension of period of the REZOLVE-AA. Following completion of the induction phase, patients with a SALT Score greater than 20 at week 36 who also demonstrated hair growth were eligible to continue on rezpegaldesleukin at their induction dose level in a blinded 16-week exploratory treatment extension through week 52. From week 36 to week 52, 29% of patients at 18 µg/kg dose and 31% of patients at 24 µg/kg dose achieved new SALT Score ≤20 responses as compared to none in the placebo arm. Increasing proportions of patients achieved clinically meaningful hair growth thresholds across numerous SALT measurements with 94% of patients completing treatment extension.</w:t>
      </w:r>
    </w:p>
    <w:p>
      <w:pPr>
        <w:spacing w:after="0" w:line="133" w:lineRule="exact"/>
        <w:rPr>
          <w:sz w:val="20"/>
          <w:szCs w:val="20"/>
          <w:color w:val="auto"/>
        </w:rPr>
      </w:pPr>
    </w:p>
    <w:p>
      <w:pPr>
        <w:ind w:firstLine="656"/>
        <w:spacing w:after="0" w:line="253" w:lineRule="auto"/>
        <w:rPr>
          <w:sz w:val="20"/>
          <w:szCs w:val="20"/>
          <w:color w:val="auto"/>
        </w:rPr>
      </w:pPr>
      <w:r>
        <w:rPr>
          <w:rFonts w:ascii="Times New Roman" w:cs="Times New Roman" w:eastAsia="Times New Roman" w:hAnsi="Times New Roman"/>
          <w:sz w:val="18"/>
          <w:szCs w:val="18"/>
          <w:color w:val="auto"/>
        </w:rPr>
        <w:t>We continue to advance our most promising research drug candidates into preclinical development with the objective of advancing these early-stage research programs to human clinical studies over the next several years. Our lead research program is based on tumor necrosis factor (TNF) receptor type II (TNFR2) agonism, without modulation of the TNFR1 signaling, after we exercised an option in December 2023 to gain an exclusive license to specified agonistic antibodies and other materials that were developed pursuant to a research collaboration and license option agreement we entered into with Biolojic Design, Ltd. in 2021.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We are currently conducting Investigational New Drug (IND) enabling studies for this program. We have also designed a unique bispecific antibody, NKTR-0166, that incorporates the TNFR2 agonist epitope and an antagonist epitope validated in the treatment of rheumatology diseases. As a dual agonist:antagonist of known pathways associated with key pathways linked to disease pathogenesis, this investigational antibody is being developed to address a number of rheumatic disorders.</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firstLine="659"/>
        <w:spacing w:after="0" w:line="266" w:lineRule="auto"/>
        <w:rPr>
          <w:sz w:val="20"/>
          <w:szCs w:val="20"/>
          <w:color w:val="auto"/>
        </w:rPr>
      </w:pPr>
      <w:r>
        <w:rPr>
          <w:rFonts w:ascii="Times New Roman" w:cs="Times New Roman" w:eastAsia="Times New Roman" w:hAnsi="Times New Roman"/>
          <w:sz w:val="18"/>
          <w:szCs w:val="18"/>
          <w:color w:val="auto"/>
        </w:rPr>
        <w:t>In oncology, our drug candidate NKTR-255 is an investigational biologic that is designed to target the IL-15 pathway in order to activate the body’s innate and adaptive immunity. Through optimal engagement of the IL-15 receptor complex, NKTR-255 is designed to enhance functional NK cell populations and formation of long-term immunological memory, which may lead to sustained and durable anti-tumor immune response.</w:t>
      </w:r>
    </w:p>
    <w:p>
      <w:pPr>
        <w:spacing w:after="0" w:line="68" w:lineRule="exact"/>
        <w:rPr>
          <w:sz w:val="20"/>
          <w:szCs w:val="20"/>
          <w:color w:val="auto"/>
        </w:rPr>
      </w:pPr>
    </w:p>
    <w:p>
      <w:pPr>
        <w:ind w:right="180" w:firstLine="659"/>
        <w:spacing w:after="0" w:line="258" w:lineRule="auto"/>
        <w:rPr>
          <w:sz w:val="20"/>
          <w:szCs w:val="20"/>
          <w:color w:val="auto"/>
        </w:rPr>
      </w:pPr>
      <w:r>
        <w:rPr>
          <w:rFonts w:ascii="Times New Roman" w:cs="Times New Roman" w:eastAsia="Times New Roman" w:hAnsi="Times New Roman"/>
          <w:sz w:val="18"/>
          <w:szCs w:val="18"/>
          <w:color w:val="auto"/>
        </w:rPr>
        <w:t>We have historically derived substantially all of our revenue and significant amounts of research and development operating capital from our collaboration agreements. We have received upfront and milestone payments and cost-sharing reimbursements under a number of previous collaboration agreements, and certain of our collaboration partners have borne substantial costs of developing our drug candidates. We may continue our approach of entering into revenue-generating collaboration agreements to pay in whole or in part the development costs of our drug candidates, or we may finance the development of our drug candidates with our own capital.</w:t>
      </w:r>
    </w:p>
    <w:p>
      <w:pPr>
        <w:spacing w:after="0" w:line="75" w:lineRule="exact"/>
        <w:rPr>
          <w:sz w:val="20"/>
          <w:szCs w:val="20"/>
          <w:color w:val="auto"/>
        </w:rPr>
      </w:pPr>
    </w:p>
    <w:p>
      <w:pPr>
        <w:ind w:right="80" w:firstLine="659"/>
        <w:spacing w:after="0" w:line="282" w:lineRule="auto"/>
        <w:rPr>
          <w:sz w:val="20"/>
          <w:szCs w:val="20"/>
          <w:color w:val="auto"/>
        </w:rPr>
      </w:pPr>
      <w:r>
        <w:rPr>
          <w:rFonts w:ascii="Times New Roman" w:cs="Times New Roman" w:eastAsia="Times New Roman" w:hAnsi="Times New Roman"/>
          <w:sz w:val="18"/>
          <w:szCs w:val="18"/>
          <w:color w:val="auto"/>
        </w:rPr>
        <w:t>Several of our historical collaboration agreements have resulted in approved drugs, for which we may be entitled to royalties for net sales of these approved drugs. However, we have sold our rights to receive royalties under these arrangements, including:</w:t>
      </w:r>
    </w:p>
    <w:p>
      <w:pPr>
        <w:spacing w:after="0" w:line="61" w:lineRule="exact"/>
        <w:rPr>
          <w:sz w:val="20"/>
          <w:szCs w:val="20"/>
          <w:color w:val="auto"/>
        </w:rPr>
      </w:pPr>
    </w:p>
    <w:p>
      <w:pPr>
        <w:ind w:left="1020" w:right="180" w:hanging="503"/>
        <w:spacing w:after="0" w:line="23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Purchase and Sale Agreement: In 2012, we sold all of our rights to receive royalties from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Crohn’s disease and other autoimmune indications)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anemia associated with chronic kidney disease) under our collaborations with UCB Pharma (UCB) and F. Hoffmann-La Roche Ltd, respectively, to RPI Finance Trust (RPI), an affiliate of Royalty Pharma for $124.0 million.</w:t>
      </w:r>
    </w:p>
    <w:p>
      <w:pPr>
        <w:spacing w:after="0" w:line="100" w:lineRule="exact"/>
        <w:rPr>
          <w:rFonts w:ascii="Times New Roman" w:cs="Times New Roman" w:eastAsia="Times New Roman" w:hAnsi="Times New Roman"/>
          <w:sz w:val="18"/>
          <w:szCs w:val="18"/>
          <w:color w:val="auto"/>
        </w:rPr>
      </w:pPr>
    </w:p>
    <w:p>
      <w:pPr>
        <w:ind w:left="1020" w:right="220" w:hanging="503"/>
        <w:spacing w:after="0" w:line="23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Purchase and Sale Agreement: In December 2020, we sold our rights, subject to a cap, to receive royalties from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MOVENTIG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opioid-induced constipation),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LLC (HCR). On March 4, 2024, Nektar and HCR amended the 2020 Purchase and Sale Agreement to remove the cap on the royalties in exchange for $15.0 million. See Note 3 to our Condensed Consolidated Financial Statements for additional information.</w:t>
      </w:r>
    </w:p>
    <w:p>
      <w:pPr>
        <w:spacing w:after="0" w:line="148" w:lineRule="exact"/>
        <w:rPr>
          <w:sz w:val="20"/>
          <w:szCs w:val="20"/>
          <w:color w:val="auto"/>
        </w:rPr>
      </w:pPr>
    </w:p>
    <w:p>
      <w:pPr>
        <w:ind w:right="20" w:firstLine="659"/>
        <w:spacing w:after="0" w:line="261" w:lineRule="auto"/>
        <w:rPr>
          <w:sz w:val="20"/>
          <w:szCs w:val="20"/>
          <w:color w:val="auto"/>
        </w:rPr>
      </w:pPr>
      <w:r>
        <w:rPr>
          <w:rFonts w:ascii="Times New Roman" w:cs="Times New Roman" w:eastAsia="Times New Roman" w:hAnsi="Times New Roman"/>
          <w:sz w:val="18"/>
          <w:szCs w:val="18"/>
          <w:color w:val="auto"/>
        </w:rPr>
        <w:t>We continued to manufacture the polymer reagents used in the production of some of the drug products until the sale of our manufacturing facility in Huntsville, Alabama (the Facility) in December 2024. See Note 4 to our Condensed Consolidated Financial Statements for additional information. The sale of the Facility does not alter the royalties or other milestones payable under these agreements or our collaboration agreement with UCB for dapirolizumab pegol as further disclosed in Note 7 to our Condensed Consolidated Financial Statements.</w:t>
      </w:r>
    </w:p>
    <w:p>
      <w:pPr>
        <w:spacing w:after="0" w:line="72" w:lineRule="exact"/>
        <w:rPr>
          <w:sz w:val="20"/>
          <w:szCs w:val="20"/>
          <w:color w:val="auto"/>
        </w:rPr>
      </w:pPr>
    </w:p>
    <w:p>
      <w:pPr>
        <w:ind w:firstLine="659"/>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spacing w:after="0" w:line="79" w:lineRule="exact"/>
        <w:rPr>
          <w:sz w:val="20"/>
          <w:szCs w:val="20"/>
          <w:color w:val="auto"/>
        </w:rPr>
      </w:pPr>
    </w:p>
    <w:p>
      <w:pPr>
        <w:jc w:val="both"/>
        <w:ind w:right="20" w:firstLine="659"/>
        <w:spacing w:after="0" w:line="266" w:lineRule="auto"/>
        <w:rPr>
          <w:sz w:val="20"/>
          <w:szCs w:val="20"/>
          <w:color w:val="auto"/>
        </w:rPr>
      </w:pPr>
      <w:r>
        <w:rPr>
          <w:rFonts w:ascii="Times New Roman" w:cs="Times New Roman" w:eastAsia="Times New Roman" w:hAnsi="Times New Roman"/>
          <w:sz w:val="18"/>
          <w:szCs w:val="18"/>
          <w:color w:val="auto"/>
        </w:rPr>
        <w:t>With respect to financing our near-term business needs, as set forth below in “Key Developments and Trends in Liquidity and Capital Resources,” we estimate we have working capital to fund our current business plans through at least the next twelve months. At March 31, 2026, we had approximately $731.6 million in cash and investments in marketable securities.</w:t>
      </w:r>
    </w:p>
    <w:p>
      <w:pPr>
        <w:spacing w:after="0" w:line="68" w:lineRule="exact"/>
        <w:rPr>
          <w:sz w:val="20"/>
          <w:szCs w:val="20"/>
          <w:color w:val="auto"/>
        </w:rPr>
      </w:pPr>
    </w:p>
    <w:p>
      <w:pPr>
        <w:jc w:val="both"/>
        <w:ind w:right="120" w:firstLine="656"/>
        <w:spacing w:after="0" w:line="266" w:lineRule="auto"/>
        <w:rPr>
          <w:sz w:val="20"/>
          <w:szCs w:val="20"/>
          <w:color w:val="auto"/>
        </w:rPr>
      </w:pPr>
      <w:r>
        <w:rPr>
          <w:rFonts w:ascii="Times New Roman" w:cs="Times New Roman" w:eastAsia="Times New Roman" w:hAnsi="Times New Roman"/>
          <w:sz w:val="18"/>
          <w:szCs w:val="18"/>
          <w:color w:val="auto"/>
        </w:rPr>
        <w:t>From July 2025 to April 2026, we have completed a number of equity-based financing transactions, under which we have sold 19,400,822 shares of our common stock and 293,103 pre-funded warrants, resulting in net proceeds of $1,069.1 million, including 4,270,055 shares sold and net proceeds of $364.5 million received after March 31, 2026. See Note 6 to our Condensed Consolidated Financial Statements for additional information.</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3" w:lineRule="exact"/>
        <w:rPr>
          <w:sz w:val="20"/>
          <w:szCs w:val="20"/>
          <w:color w:val="auto"/>
        </w:rPr>
      </w:pPr>
    </w:p>
    <w:p>
      <w:pPr>
        <w:ind w:right="560" w:firstLine="659"/>
        <w:spacing w:after="0" w:line="258" w:lineRule="auto"/>
        <w:rPr>
          <w:sz w:val="20"/>
          <w:szCs w:val="20"/>
          <w:color w:val="auto"/>
        </w:rPr>
      </w:pPr>
      <w:r>
        <w:rPr>
          <w:rFonts w:ascii="Times New Roman" w:cs="Times New Roman" w:eastAsia="Times New Roman" w:hAnsi="Times New Roman"/>
          <w:sz w:val="18"/>
          <w:szCs w:val="18"/>
          <w:color w:val="auto"/>
        </w:rPr>
        <w:t xml:space="preserve">The following sets forth our Condensed Consolidated Statements of Operations data for each of the periods indicated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percentages).</w:t>
      </w:r>
    </w:p>
    <w:tbl>
      <w:tblPr>
        <w:tblLayout w:type="fixed"/>
        <w:tblInd w:w="0" w:type="dxa"/>
        <w:tblCellMar>
          <w:top w:w="0" w:type="dxa"/>
          <w:left w:w="0" w:type="dxa"/>
          <w:bottom w:w="0" w:type="dxa"/>
          <w:right w:w="0" w:type="dxa"/>
        </w:tblCellMar>
      </w:tblPr>
      <w:tr>
        <w:trPr>
          <w:trHeight w:val="131"/>
        </w:trPr>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420" w:type="dxa"/>
            <w:vAlign w:val="bottom"/>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10,460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10,460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1520" w:type="dxa"/>
            <w:vAlign w:val="bottom"/>
            <w:tcBorders>
              <w:top w:val="single" w:sz="8" w:color="CFF0FC"/>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35,680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30,480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5,200</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627</w:t>
            </w:r>
          </w:p>
        </w:tc>
        <w:tc>
          <w:tcPr>
            <w:tcW w:w="152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49,915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54,995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5,481</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interest expense on liability related to sale of future royalties</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equity method investment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3,279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5,978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-2446655</wp:posOffset>
            </wp:positionV>
            <wp:extent cx="11112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-2446655</wp:posOffset>
            </wp:positionV>
            <wp:extent cx="11112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-2446655</wp:posOffset>
            </wp:positionV>
            <wp:extent cx="939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-1731010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-1731010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-1731010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-1439545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-1439545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-1439545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-882650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-882650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-882650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220" w:firstLine="659"/>
        <w:spacing w:after="0" w:line="266" w:lineRule="auto"/>
        <w:rPr>
          <w:sz w:val="20"/>
          <w:szCs w:val="20"/>
          <w:color w:val="auto"/>
        </w:rPr>
      </w:pPr>
      <w:r>
        <w:rPr>
          <w:rFonts w:ascii="Times New Roman" w:cs="Times New Roman" w:eastAsia="Times New Roman" w:hAnsi="Times New Roman"/>
          <w:sz w:val="18"/>
          <w:szCs w:val="18"/>
          <w:color w:val="auto"/>
        </w:rPr>
        <w:t>Our revenue has historically been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w:t>
      </w:r>
    </w:p>
    <w:p>
      <w:pPr>
        <w:spacing w:after="0" w:line="118" w:lineRule="exact"/>
        <w:rPr>
          <w:sz w:val="20"/>
          <w:szCs w:val="20"/>
          <w:color w:val="auto"/>
        </w:rPr>
      </w:pPr>
    </w:p>
    <w:p>
      <w:pPr>
        <w:ind w:left="760" w:right="20" w:hanging="378"/>
        <w:spacing w:after="0" w:line="257"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Non-cash royalty revenue and Non-cash interest expense</w:t>
      </w:r>
      <w:r>
        <w:rPr>
          <w:rFonts w:ascii="Times New Roman" w:cs="Times New Roman" w:eastAsia="Times New Roman" w:hAnsi="Times New Roman"/>
          <w:sz w:val="18"/>
          <w:szCs w:val="18"/>
          <w:color w:val="auto"/>
        </w:rPr>
        <w:t>: We recognize non-cash royalty revenue and non-cash interest expense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royalties on several products for which we had previously sold our rights to receive royalties under the 2012 and 2020 Purchase and Sale Agreements. See Note 3 to our Condensed Consolidated Financial Statements for additional information regarding these agreements. These non-cash revenues and expenses have no effect on our cash flows, and we do not consider them material to our operations. We expect non-cash royalty revenue to decrease for 2026 as compared to 2025 due to the end of the royalty terms for several products, and we expect non-cash interest expense to increase slightly as a result of a higher effective interest rate.</w:t>
      </w:r>
    </w:p>
    <w:p>
      <w:pPr>
        <w:spacing w:after="0" w:line="128" w:lineRule="exact"/>
        <w:rPr>
          <w:rFonts w:ascii="Times New Roman" w:cs="Times New Roman" w:eastAsia="Times New Roman" w:hAnsi="Times New Roman"/>
          <w:sz w:val="18"/>
          <w:szCs w:val="18"/>
          <w:color w:val="auto"/>
        </w:rPr>
      </w:pPr>
    </w:p>
    <w:p>
      <w:pPr>
        <w:ind w:left="760" w:right="220" w:hanging="378"/>
        <w:spacing w:after="0" w:line="275" w:lineRule="auto"/>
        <w:tabs>
          <w:tab w:leader="none" w:pos="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License, collaboration and other revenue: </w:t>
      </w:r>
      <w:r>
        <w:rPr>
          <w:rFonts w:ascii="Times New Roman" w:cs="Times New Roman" w:eastAsia="Times New Roman" w:hAnsi="Times New Roman"/>
          <w:sz w:val="17"/>
          <w:szCs w:val="17"/>
          <w:color w:val="auto"/>
        </w:rPr>
        <w:t>License, collaboration and other revenue includes the recognition of upfront payments, milestone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other contingent payments received in connection with our license and collaboration agreements. The amount of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License, collaboration and other revenue was not material for the periods presented or for the full year 2025, and unless we enter into a new collaboration agreement with upfront payments, we do not expect to recognize significant revenue in 2026.</w:t>
      </w:r>
    </w:p>
    <w:p>
      <w:pPr>
        <w:spacing w:after="0" w:line="1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right="180" w:firstLine="6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clinical study costs, contract manufacturing costs, direct costs of outside research, materials, supplies, licenses and fees as well as personnel costs (including salaries, benefits, contractor and temporary workers, and non-cash stock-based compensation). Research and development expense also includes certain overhead allocations of support costs.</w:t>
      </w:r>
    </w:p>
    <w:p>
      <w:pPr>
        <w:spacing w:after="0" w:line="122" w:lineRule="exact"/>
        <w:rPr>
          <w:sz w:val="20"/>
          <w:szCs w:val="20"/>
          <w:color w:val="auto"/>
        </w:rPr>
      </w:pPr>
    </w:p>
    <w:p>
      <w:pPr>
        <w:ind w:right="20" w:firstLine="659"/>
        <w:spacing w:after="0" w:line="268" w:lineRule="auto"/>
        <w:rPr>
          <w:sz w:val="20"/>
          <w:szCs w:val="20"/>
          <w:color w:val="auto"/>
        </w:rPr>
      </w:pPr>
      <w:r>
        <w:rPr>
          <w:rFonts w:ascii="Times New Roman" w:cs="Times New Roman" w:eastAsia="Times New Roman" w:hAnsi="Times New Roman"/>
          <w:sz w:val="17"/>
          <w:szCs w:val="17"/>
          <w:color w:val="auto"/>
        </w:rPr>
        <w:t>Research and development expense increased for the three months ended March 31, 2026 as compared to the three months ended March 31, 2025, respectively, as reported in the following table, which presents expenses incurred for direct third-party costs, including clinical and regulatory services, contract manufacturing, clinical supplies, and preclinical study support for each of our drug candidates. The table also presents personnel, overhead and other indirect costs as we utilize our employee, contractor and infrastructure resources across multiple research and development programs (in thousands):</w:t>
      </w:r>
    </w:p>
    <w:tbl>
      <w:tblPr>
        <w:tblLayout w:type="fixed"/>
        <w:tblInd w:w="180" w:type="dxa"/>
        <w:tblCellMar>
          <w:top w:w="0" w:type="dxa"/>
          <w:left w:w="0" w:type="dxa"/>
          <w:bottom w:w="0" w:type="dxa"/>
          <w:right w:w="0" w:type="dxa"/>
        </w:tblCellMar>
      </w:tblPr>
      <w:tr>
        <w:trPr>
          <w:trHeight w:val="133"/>
        </w:trPr>
        <w:tc>
          <w:tcPr>
            <w:tcW w:w="5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341"/>
              <w:spacing w:after="0" w:line="133"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Rezpegaldesleukin (IL-2 receptor agonist/regulatory T cell agent)</w:t>
            </w:r>
          </w:p>
        </w:tc>
        <w:tc>
          <w:tcPr>
            <w:tcW w:w="10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20,736</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13,803</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6,933</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Tumor necrosis factor receptor type II (TNFR2) program</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798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Discovery research and other programs</w:t>
            </w:r>
          </w:p>
        </w:tc>
        <w:tc>
          <w:tcPr>
            <w:tcW w:w="8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0" w:type="dxa"/>
            <w:vAlign w:val="bottom"/>
          </w:tcPr>
          <w:p>
            <w:pPr>
              <w:spacing w:after="0"/>
              <w:rPr>
                <w:sz w:val="1"/>
                <w:szCs w:val="1"/>
                <w:color w:val="auto"/>
              </w:rPr>
            </w:pPr>
          </w:p>
        </w:tc>
      </w:tr>
      <w:tr>
        <w:trPr>
          <w:trHeight w:val="196"/>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clinical development, contract manufacturing and other third party costs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21,430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3,488</w:t>
            </w: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overhead and other costs</w:t>
            </w: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12,436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10,926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and depreciation</w:t>
            </w:r>
          </w:p>
        </w:tc>
        <w:tc>
          <w:tcPr>
            <w:tcW w:w="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1,814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1,612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35,680</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30,480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5,200</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-556895</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right="120" w:firstLine="65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rezpegaldesleukin increased for the three months ended March 31, 2026 as compared to the three months ended March 31, 2025, as we commenced activities to support a Phase 3 program in atopic dermatitis, and manufacturing activities associated with this Phase 3 program. This increase was partially offset by lower costs from our Phase 2b studies, as patients have completed treatment and moved into the maintenance or follow up phases of these studies. We expect the costs of development of rezpegaldesleukin for full year 2026 to significantly increase as we continue the development of rezpegaldesleukin, including the Phase 3 program in atopic dermatitis.</w:t>
      </w:r>
    </w:p>
    <w:p>
      <w:pPr>
        <w:spacing w:after="0" w:line="75" w:lineRule="exact"/>
        <w:rPr>
          <w:sz w:val="20"/>
          <w:szCs w:val="20"/>
          <w:color w:val="auto"/>
        </w:rPr>
      </w:pPr>
    </w:p>
    <w:p>
      <w:pPr>
        <w:ind w:right="60" w:firstLine="65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our TNFR2 program decreased for the three months ended March 31, 2026 as compared to the three months ended March 31, 2025, as we have completed most of our IND enabling activities for NKTR-0165. We expect the costs of development of TNFR2 program to decrease for full year 2026 as compared to 2025 for the same reason. We may owe additional milestone payments to Biolojic Design, Ltd., as further disclosed in Note 5 to our Condensed Consolidated Financial Statements.</w:t>
      </w:r>
    </w:p>
    <w:p>
      <w:pPr>
        <w:spacing w:after="0" w:line="72" w:lineRule="exact"/>
        <w:rPr>
          <w:sz w:val="20"/>
          <w:szCs w:val="20"/>
          <w:color w:val="auto"/>
        </w:rPr>
      </w:pPr>
    </w:p>
    <w:p>
      <w:pPr>
        <w:ind w:firstLine="659"/>
        <w:spacing w:after="0" w:line="266" w:lineRule="auto"/>
        <w:rPr>
          <w:sz w:val="20"/>
          <w:szCs w:val="20"/>
          <w:color w:val="auto"/>
        </w:rPr>
      </w:pPr>
      <w:r>
        <w:rPr>
          <w:rFonts w:ascii="Times New Roman" w:cs="Times New Roman" w:eastAsia="Times New Roman" w:hAnsi="Times New Roman"/>
          <w:sz w:val="18"/>
          <w:szCs w:val="18"/>
          <w:color w:val="auto"/>
        </w:rPr>
        <w:t>Personnel, overhead and other costs increased for the three months ended March 31, 2026 as compared to the three months ended March 31, 2025, for increased personnel costs to support our Phase 3 rezpegaldesleukin program. We expect personnel, overhead and other costs for full year 2026 to increase compared to full year 2025 to support our development of rezpegaldesleukin primarily focusing on the Phase 3 program in atopic dermatitis.</w:t>
      </w:r>
    </w:p>
    <w:p>
      <w:pPr>
        <w:spacing w:after="0" w:line="68" w:lineRule="exact"/>
        <w:rPr>
          <w:sz w:val="20"/>
          <w:szCs w:val="20"/>
          <w:color w:val="auto"/>
        </w:rPr>
      </w:pPr>
    </w:p>
    <w:p>
      <w:pPr>
        <w:ind w:right="240" w:firstLine="659"/>
        <w:spacing w:after="0" w:line="282" w:lineRule="auto"/>
        <w:rPr>
          <w:sz w:val="20"/>
          <w:szCs w:val="20"/>
          <w:color w:val="auto"/>
        </w:rPr>
      </w:pPr>
      <w:r>
        <w:rPr>
          <w:rFonts w:ascii="Times New Roman" w:cs="Times New Roman" w:eastAsia="Times New Roman" w:hAnsi="Times New Roman"/>
          <w:sz w:val="18"/>
          <w:szCs w:val="18"/>
          <w:color w:val="auto"/>
        </w:rPr>
        <w:t>We expect total research and development expense to increase significantly for full year 2026 compared to 2025 to support our development of rezpegaldesleukin, including the Phase 3 program in atopic dermatitis.</w:t>
      </w:r>
    </w:p>
    <w:p>
      <w:pPr>
        <w:spacing w:after="0" w:line="54" w:lineRule="exact"/>
        <w:rPr>
          <w:sz w:val="20"/>
          <w:szCs w:val="20"/>
          <w:color w:val="auto"/>
        </w:rPr>
      </w:pPr>
    </w:p>
    <w:p>
      <w:pPr>
        <w:ind w:right="240" w:firstLine="659"/>
        <w:spacing w:after="0" w:line="282" w:lineRule="auto"/>
        <w:rPr>
          <w:sz w:val="20"/>
          <w:szCs w:val="20"/>
          <w:color w:val="auto"/>
        </w:rPr>
      </w:pPr>
      <w:r>
        <w:rPr>
          <w:rFonts w:ascii="Times New Roman" w:cs="Times New Roman" w:eastAsia="Times New Roman" w:hAnsi="Times New Roman"/>
          <w:sz w:val="18"/>
          <w:szCs w:val="18"/>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54" w:lineRule="exact"/>
        <w:rPr>
          <w:sz w:val="20"/>
          <w:szCs w:val="20"/>
          <w:color w:val="auto"/>
        </w:rPr>
      </w:pPr>
    </w:p>
    <w:p>
      <w:pPr>
        <w:ind w:right="200" w:firstLine="659"/>
        <w:spacing w:after="0" w:line="256" w:lineRule="auto"/>
        <w:rPr>
          <w:sz w:val="20"/>
          <w:szCs w:val="20"/>
          <w:color w:val="auto"/>
        </w:rPr>
      </w:pPr>
      <w:r>
        <w:rPr>
          <w:rFonts w:ascii="Times New Roman" w:cs="Times New Roman" w:eastAsia="Times New Roman" w:hAnsi="Times New Roman"/>
          <w:sz w:val="18"/>
          <w:szCs w:val="18"/>
          <w:color w:val="auto"/>
        </w:rPr>
        <w:t>In addition to our drug candidates that we plan to evaluate in clinical development during 2026 and beyond, we believe it is vitally important to continue our investment in a pipeline of new drug candidates to continue to build the value of our drug candidate pipeline and our business. We continue our interest in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with the objective to advance these early-stage research programs to human clinical studies over the next several years.</w:t>
      </w:r>
    </w:p>
    <w:p>
      <w:pPr>
        <w:spacing w:after="0" w:line="117" w:lineRule="exact"/>
        <w:rPr>
          <w:sz w:val="20"/>
          <w:szCs w:val="20"/>
          <w:color w:val="auto"/>
        </w:rPr>
      </w:pPr>
    </w:p>
    <w:p>
      <w:pPr>
        <w:ind w:firstLine="659"/>
        <w:spacing w:after="0" w:line="261" w:lineRule="auto"/>
        <w:rPr>
          <w:sz w:val="20"/>
          <w:szCs w:val="20"/>
          <w:color w:val="auto"/>
        </w:rPr>
      </w:pPr>
      <w:r>
        <w:rPr>
          <w:rFonts w:ascii="Times New Roman" w:cs="Times New Roman" w:eastAsia="Times New Roman" w:hAnsi="Times New Roman"/>
          <w:sz w:val="18"/>
          <w:szCs w:val="18"/>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72" w:lineRule="exact"/>
        <w:rPr>
          <w:sz w:val="20"/>
          <w:szCs w:val="20"/>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a given clinical study design;</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clinical study participants;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sites included in the clinical studies;</w:t>
      </w:r>
    </w:p>
    <w:p>
      <w:pPr>
        <w:spacing w:after="0" w:line="117" w:lineRule="exact"/>
        <w:rPr>
          <w:rFonts w:ascii="Times New Roman" w:cs="Times New Roman" w:eastAsia="Times New Roman" w:hAnsi="Times New Roman"/>
          <w:sz w:val="18"/>
          <w:szCs w:val="18"/>
          <w:color w:val="auto"/>
        </w:rPr>
      </w:pPr>
    </w:p>
    <w:p>
      <w:pPr>
        <w:ind w:left="1500" w:right="48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study designs required by the health authorities (i.e. primary and secondary endpoints as well as the size of the study population needed to demonstrate efficacy and safety outcomes);</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changing standards of care for the target patient population;</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patient recruitment from competitive drug candidates being studied in the same clinical setting;</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producing supplies of the drug candidates needed for clinical trials and regulatory submissions;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profile of the drug candidate;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clinical research organizations to assist with the management of the trials; and</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and the ability to secure, approvals from government health authorities.</w:t>
      </w:r>
    </w:p>
    <w:p>
      <w:pPr>
        <w:spacing w:after="0" w:line="117" w:lineRule="exact"/>
        <w:rPr>
          <w:sz w:val="20"/>
          <w:szCs w:val="20"/>
          <w:color w:val="auto"/>
        </w:rPr>
      </w:pPr>
    </w:p>
    <w:p>
      <w:pPr>
        <w:ind w:right="40" w:firstLine="659"/>
        <w:spacing w:after="0" w:line="258" w:lineRule="auto"/>
        <w:rPr>
          <w:sz w:val="20"/>
          <w:szCs w:val="20"/>
          <w:color w:val="auto"/>
        </w:rPr>
      </w:pPr>
      <w:r>
        <w:rPr>
          <w:rFonts w:ascii="Times New Roman" w:cs="Times New Roman" w:eastAsia="Times New Roman" w:hAnsi="Times New Roman"/>
          <w:sz w:val="18"/>
          <w:szCs w:val="18"/>
          <w:color w:val="auto"/>
        </w:rPr>
        <w:t>Furthermore, our strategy includes the potential of entering into collaborations with third parties to participate in the development and commercialization of some of our drug candidates,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75" w:lineRule="exact"/>
        <w:rPr>
          <w:sz w:val="20"/>
          <w:szCs w:val="20"/>
          <w:color w:val="auto"/>
        </w:rPr>
      </w:pPr>
    </w:p>
    <w:p>
      <w:pPr>
        <w:ind w:right="260" w:firstLine="65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includes the cost of administrative staffing, finance and legal activities, including certain overhead support allocations. Additionally, general and administrative expense includes our lease and other facilities expenses, net of sublease income.</w:t>
      </w:r>
    </w:p>
    <w:p>
      <w:pPr>
        <w:spacing w:after="0" w:line="108" w:lineRule="exact"/>
        <w:rPr>
          <w:sz w:val="20"/>
          <w:szCs w:val="20"/>
          <w:color w:val="auto"/>
        </w:rPr>
      </w:pPr>
    </w:p>
    <w:p>
      <w:pPr>
        <w:ind w:right="420" w:firstLine="65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for the three months ended March 31, 2026 as compared to the three months ended March 31, 2025, mainly due to a decrease in legal expenses.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general and administrative expense for full year 2026 to decrease slightly as compared to full year 2025.</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w:t>
      </w:r>
    </w:p>
    <w:p>
      <w:pPr>
        <w:spacing w:after="0" w:line="175" w:lineRule="exact"/>
        <w:rPr>
          <w:sz w:val="20"/>
          <w:szCs w:val="20"/>
          <w:color w:val="auto"/>
        </w:rPr>
      </w:pPr>
    </w:p>
    <w:p>
      <w:pPr>
        <w:ind w:right="80" w:firstLine="656"/>
        <w:spacing w:after="0" w:line="261" w:lineRule="auto"/>
        <w:rPr>
          <w:sz w:val="20"/>
          <w:szCs w:val="20"/>
          <w:color w:val="auto"/>
        </w:rPr>
      </w:pPr>
      <w:r>
        <w:rPr>
          <w:rFonts w:ascii="Times New Roman" w:cs="Times New Roman" w:eastAsia="Times New Roman" w:hAnsi="Times New Roman"/>
          <w:sz w:val="18"/>
          <w:szCs w:val="18"/>
          <w:color w:val="auto"/>
        </w:rPr>
        <w:t>As discussed in Note 8 to our Condensed Consolidated Financial Statements, we have incurred significant contract termination costs as a result of our prior restructuring plans. which we report as restructuring and impairment expense. We recognized $4.9 million in contract termination costs for the full year 2025. Because we continue to adjust the liability based on updates to our assumptions at each reporting date, we will continue to recognize expense as our estimates change until final settlement.</w:t>
      </w:r>
    </w:p>
    <w:p>
      <w:pPr>
        <w:spacing w:after="0" w:line="126" w:lineRule="exact"/>
        <w:rPr>
          <w:sz w:val="20"/>
          <w:szCs w:val="20"/>
          <w:color w:val="auto"/>
        </w:rPr>
      </w:pPr>
    </w:p>
    <w:p>
      <w:pPr>
        <w:ind w:right="100" w:firstLine="656"/>
        <w:spacing w:after="0" w:line="282" w:lineRule="auto"/>
        <w:rPr>
          <w:sz w:val="20"/>
          <w:szCs w:val="20"/>
          <w:color w:val="auto"/>
        </w:rPr>
      </w:pPr>
      <w:r>
        <w:rPr>
          <w:rFonts w:ascii="Times New Roman" w:cs="Times New Roman" w:eastAsia="Times New Roman" w:hAnsi="Times New Roman"/>
          <w:sz w:val="18"/>
          <w:szCs w:val="18"/>
          <w:color w:val="auto"/>
        </w:rPr>
        <w:t>During full year 2025, we recognized $4.4 million in non-cash impairment charges related to our lease spaces. We do not expect further non-cash impairment charges related to our lease spaces.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ind w:right="40" w:firstLine="659"/>
        <w:spacing w:after="0" w:line="266" w:lineRule="auto"/>
        <w:rPr>
          <w:sz w:val="20"/>
          <w:szCs w:val="20"/>
          <w:color w:val="auto"/>
        </w:rPr>
      </w:pPr>
      <w:r>
        <w:rPr>
          <w:rFonts w:ascii="Times New Roman" w:cs="Times New Roman" w:eastAsia="Times New Roman" w:hAnsi="Times New Roman"/>
          <w:sz w:val="18"/>
          <w:szCs w:val="18"/>
          <w:color w:val="auto"/>
        </w:rPr>
        <w:t>Interest income increased for the three months ended March 31, 2026 as compared to the three months ended March 31, 2025, respectively, due to higher investment balances as a result of our equity-based financings as further disclosed in Note 6 to our Condensed Consolidated Financial Statements. We expect interest income to increase for full year 2026 compared to full year 2025 for the same reason.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w:t>
      </w:r>
    </w:p>
    <w:p>
      <w:pPr>
        <w:spacing w:after="0" w:line="175" w:lineRule="exact"/>
        <w:rPr>
          <w:sz w:val="20"/>
          <w:szCs w:val="20"/>
          <w:color w:val="auto"/>
        </w:rPr>
      </w:pPr>
    </w:p>
    <w:p>
      <w:pPr>
        <w:ind w:right="100" w:firstLine="659"/>
        <w:spacing w:after="0" w:line="254" w:lineRule="auto"/>
        <w:rPr>
          <w:sz w:val="20"/>
          <w:szCs w:val="20"/>
          <w:color w:val="auto"/>
        </w:rPr>
      </w:pPr>
      <w:r>
        <w:rPr>
          <w:rFonts w:ascii="Times New Roman" w:cs="Times New Roman" w:eastAsia="Times New Roman" w:hAnsi="Times New Roman"/>
          <w:sz w:val="18"/>
          <w:szCs w:val="18"/>
          <w:color w:val="auto"/>
        </w:rPr>
        <w:t>As discussed in Note 4 to our Condensed Consolidated Financial Statements, we determine our gain or loss on our equity method investment in Gannet BioChem using the hypothetical liquidation at book value (HLBV) due to Ampersand’s priority liquidation preference and right to receive a cumulative preferred dividend. The HLBV method is a balance sheet approach that calculates the change in the hypothetical amount we and Ampersand would be entitled to receive if Gannet BioChem were liquidated at book value at the end of each period, subject to certain adjustments for any contributions, distributions and basis differences. We report our gain or loss from our equity method investment in Gannet BioChem on a three-month lag. Therefore, our loss recorded for the three months ended March 31, 2026 and 2025, reflects Gannet BioChem’s activities for the three months ended December 31, 2025 and from closing on December 2, 2024 through December 31, 2024, respectively. Our losses for these periods reflect Ampersand’s cumulative preferred dividend earned for such periods and Gannet BioChem’s net losses for such periods. Our loss of $4.5 million for the three months ended March 31, 2025 includes $2.5 million of Ampersand’s closing transaction costs deducted from Ampersand’s cash investment in Gannet BioChem.</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a significant gain or loss from equity method investment in 2026.</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65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primarily through revenue from upfront and milestone payments under our strategic collaboration agreements, royalties and product sales, as well as public and private placements of debt and equity securities. As of March 31, 2026, we had approximately $731.6 million in cash and investments in marketable securities. We estimate that we have working capital to fund our current business plans for at least the next twelve months from the date of filing.</w:t>
      </w:r>
    </w:p>
    <w:p>
      <w:pPr>
        <w:spacing w:after="0" w:line="72" w:lineRule="exact"/>
        <w:rPr>
          <w:sz w:val="20"/>
          <w:szCs w:val="20"/>
          <w:color w:val="auto"/>
        </w:rPr>
      </w:pPr>
    </w:p>
    <w:p>
      <w:pPr>
        <w:ind w:firstLine="656"/>
        <w:spacing w:after="0" w:line="256" w:lineRule="auto"/>
        <w:rPr>
          <w:sz w:val="20"/>
          <w:szCs w:val="20"/>
          <w:color w:val="auto"/>
        </w:rPr>
      </w:pPr>
      <w:r>
        <w:rPr>
          <w:rFonts w:ascii="Times New Roman" w:cs="Times New Roman" w:eastAsia="Times New Roman" w:hAnsi="Times New Roman"/>
          <w:sz w:val="18"/>
          <w:szCs w:val="18"/>
          <w:color w:val="auto"/>
        </w:rPr>
        <w:t>From July 2025 to April 2026, we have completed a number of equity-based financing transactions, under which we have sold 19,400,822 shares of our common stock and 293,103 pre-funded warrants, resulting in net proceeds of $1,069.1 million. We have an active shelf registration statement that we filed on Form S-3ASR and a related prospectus on November 12, 2025,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 See Note 6 to our Condensed Consolidated Financial Statements for additional information.</w:t>
      </w:r>
    </w:p>
    <w:p>
      <w:pPr>
        <w:spacing w:after="0" w:line="79" w:lineRule="exact"/>
        <w:rPr>
          <w:sz w:val="20"/>
          <w:szCs w:val="20"/>
          <w:color w:val="auto"/>
        </w:rPr>
      </w:pPr>
    </w:p>
    <w:p>
      <w:pPr>
        <w:ind w:right="360" w:firstLine="659"/>
        <w:spacing w:after="0" w:line="258" w:lineRule="auto"/>
        <w:rPr>
          <w:sz w:val="20"/>
          <w:szCs w:val="20"/>
          <w:color w:val="auto"/>
        </w:rPr>
      </w:pPr>
      <w:r>
        <w:rPr>
          <w:rFonts w:ascii="Times New Roman" w:cs="Times New Roman" w:eastAsia="Times New Roman" w:hAnsi="Times New Roman"/>
          <w:sz w:val="18"/>
          <w:szCs w:val="18"/>
          <w:color w:val="auto"/>
        </w:rPr>
        <w:t>We expect the clinical development of our drug candidates, including rezpegaldesleukin and our TNFR2 program, including NKTR-0165 and NKTR-0166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Additionally, certain of our collaboration partners have borne substantial costs of developing our drug candidates. We may</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continue our approach of entering into revenue-generating collaboration agreements to pay in whole or in part the development costs of our drug candidates, or we may finance the development of our drug candidates with our own capital.</w:t>
      </w:r>
    </w:p>
    <w:p>
      <w:pPr>
        <w:spacing w:after="0" w:line="54" w:lineRule="exact"/>
        <w:rPr>
          <w:sz w:val="20"/>
          <w:szCs w:val="20"/>
          <w:color w:val="auto"/>
        </w:rPr>
      </w:pPr>
    </w:p>
    <w:p>
      <w:pPr>
        <w:ind w:right="100" w:firstLine="659"/>
        <w:spacing w:after="0" w:line="258" w:lineRule="auto"/>
        <w:rPr>
          <w:sz w:val="20"/>
          <w:szCs w:val="20"/>
          <w:color w:val="auto"/>
        </w:rPr>
      </w:pPr>
      <w:r>
        <w:rPr>
          <w:rFonts w:ascii="Times New Roman" w:cs="Times New Roman" w:eastAsia="Times New Roman" w:hAnsi="Times New Roman"/>
          <w:sz w:val="18"/>
          <w:szCs w:val="18"/>
          <w:color w:val="auto"/>
        </w:rPr>
        <w:t>Our current business is subject to significant uncertainties and risks as a result of, among other factors, clinical and regulatory outcomes for rezpegaldesleukin our TNFR2 program, including NKTR-0165 and NKTR-0166, and NKTR-255; the sales levels for those products, if and when they are approved; whether, when and on what terms we are able to enter into new collaboration transactions; expenses being higher than anticipated, unplanned expenses and the need to satisfy contingent liabilities, including litigation matters and indemnification obligations; and cash receipts, including sublease income, being lower than anticipated.</w:t>
      </w:r>
    </w:p>
    <w:p>
      <w:pPr>
        <w:spacing w:after="0" w:line="75" w:lineRule="exact"/>
        <w:rPr>
          <w:sz w:val="20"/>
          <w:szCs w:val="20"/>
          <w:color w:val="auto"/>
        </w:rPr>
      </w:pPr>
    </w:p>
    <w:p>
      <w:pPr>
        <w:ind w:right="20" w:firstLine="659"/>
        <w:spacing w:after="0" w:line="256" w:lineRule="auto"/>
        <w:rPr>
          <w:sz w:val="20"/>
          <w:szCs w:val="20"/>
          <w:color w:val="auto"/>
        </w:rPr>
      </w:pPr>
      <w:r>
        <w:rPr>
          <w:rFonts w:ascii="Times New Roman" w:cs="Times New Roman" w:eastAsia="Times New Roman" w:hAnsi="Times New Roman"/>
          <w:sz w:val="18"/>
          <w:szCs w:val="18"/>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79"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As a result of our prior restructuring plans, we are seeking to sublease all of leased facilities in San Francisco, California, including our laboratory and office space on Mission Bay Blvd. South (the Mission Bay Facility) and our office space on Third St. (the Third. St. Facility), and we have current subleases for a portion of the Mission Bay Facility. The San Francisco Bay Area office lease market has been negatively impacted by economic uncertainties, particularly impacting the technology industry, and the change in work habits, as employees continue to work remotely. Accordingly, for the Third St. Facility, there is significant uncertainty as to whether or when we will be able to enter into a sublease as well as the economic terms of such subleases, if any. Meanwhile, the San Francisco Bay Area life sciences lease market continues to be weak as a significant amount of leasable space remains available in the San Francisco Bay Area. Accordingly, there is uncertainty as to whether or when we will be able to enter into a sublease as well as the economic terms of such subleases, if any.</w:t>
      </w:r>
    </w:p>
    <w:p>
      <w:pPr>
        <w:spacing w:after="0" w:line="84" w:lineRule="exact"/>
        <w:rPr>
          <w:sz w:val="20"/>
          <w:szCs w:val="20"/>
          <w:color w:val="auto"/>
        </w:rPr>
      </w:pPr>
    </w:p>
    <w:p>
      <w:pPr>
        <w:ind w:right="40" w:firstLine="659"/>
        <w:spacing w:after="0" w:line="256" w:lineRule="auto"/>
        <w:rPr>
          <w:sz w:val="20"/>
          <w:szCs w:val="20"/>
          <w:color w:val="auto"/>
        </w:rPr>
      </w:pPr>
      <w:r>
        <w:rPr>
          <w:rFonts w:ascii="Times New Roman" w:cs="Times New Roman" w:eastAsia="Times New Roman" w:hAnsi="Times New Roman"/>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used in operating activities for the three months ended March 31, 2026 and 2025 totaled $44.3 million and $49.1 million, respectively.</w:t>
      </w:r>
    </w:p>
    <w:p>
      <w:pPr>
        <w:spacing w:after="0" w:line="117" w:lineRule="exact"/>
        <w:rPr>
          <w:sz w:val="20"/>
          <w:szCs w:val="20"/>
          <w:color w:val="auto"/>
        </w:rPr>
      </w:pPr>
    </w:p>
    <w:p>
      <w:pPr>
        <w:ind w:right="100" w:firstLine="656"/>
        <w:spacing w:after="0" w:line="266" w:lineRule="auto"/>
        <w:rPr>
          <w:sz w:val="20"/>
          <w:szCs w:val="20"/>
          <w:color w:val="auto"/>
        </w:rPr>
      </w:pPr>
      <w:r>
        <w:rPr>
          <w:rFonts w:ascii="Times New Roman" w:cs="Times New Roman" w:eastAsia="Times New Roman" w:hAnsi="Times New Roman"/>
          <w:sz w:val="18"/>
          <w:szCs w:val="18"/>
          <w:color w:val="auto"/>
        </w:rPr>
        <w:t>We expect that cash flows used in operating activities, excluding upfront, milestone and other contingent payments received, if any, will increase significantly for 2026 as compared to 2025 to support our development of rezpegaldesleukin primarily focusing on the Phase 3 program in atopic dermatitis.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ind w:right="320" w:firstLine="656"/>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we purchased $350.8 million investments, net of maturities, as we have invested the proceeds from our equity financings, offset by funding our operations. During the three months ended March 31, 2025, the maturities of our investments, net of purchases, totaled $44.4 million, which we used to fund our operations. Our other investing activities were not significant for the periods presented.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right="40" w:firstLine="656"/>
        <w:spacing w:after="0" w:line="266" w:lineRule="auto"/>
        <w:rPr>
          <w:sz w:val="20"/>
          <w:szCs w:val="20"/>
          <w:color w:val="auto"/>
        </w:rPr>
      </w:pPr>
      <w:r>
        <w:rPr>
          <w:rFonts w:ascii="Times New Roman" w:cs="Times New Roman" w:eastAsia="Times New Roman" w:hAnsi="Times New Roman"/>
          <w:sz w:val="18"/>
          <w:szCs w:val="18"/>
          <w:color w:val="auto"/>
        </w:rPr>
        <w:t>Other than the financing activities described above and further disclosed in Note 6 to our Condensed Consolidated Financial Statements, we also received proceeds of $4.1 million from issuance of common stock related to our employee option and stock purchase plans during the three months ended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60" w:firstLine="656"/>
        <w:spacing w:after="0" w:line="266" w:lineRule="auto"/>
        <w:rPr>
          <w:sz w:val="20"/>
          <w:szCs w:val="20"/>
          <w:color w:val="auto"/>
        </w:rPr>
      </w:pPr>
      <w:r>
        <w:rPr>
          <w:rFonts w:ascii="Times New Roman" w:cs="Times New Roman" w:eastAsia="Times New Roman" w:hAnsi="Times New Roman"/>
          <w:sz w:val="18"/>
          <w:szCs w:val="18"/>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68" w:lineRule="exact"/>
        <w:rPr>
          <w:sz w:val="20"/>
          <w:szCs w:val="20"/>
          <w:color w:val="auto"/>
        </w:rPr>
      </w:pPr>
    </w:p>
    <w:p>
      <w:pPr>
        <w:ind w:firstLine="656"/>
        <w:spacing w:after="0" w:line="266"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w:t>
      </w: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firstLine="656"/>
        <w:spacing w:after="0" w:line="282" w:lineRule="auto"/>
        <w:rPr>
          <w:sz w:val="20"/>
          <w:szCs w:val="20"/>
          <w:color w:val="auto"/>
        </w:rPr>
      </w:pPr>
      <w:r>
        <w:rPr>
          <w:rFonts w:ascii="Times New Roman" w:cs="Times New Roman" w:eastAsia="Times New Roman" w:hAnsi="Times New Roman"/>
          <w:sz w:val="18"/>
          <w:szCs w:val="18"/>
          <w:color w:val="auto"/>
        </w:rPr>
        <w:t>Our market risks at March 31, 2026 have not changed materially from those discussed in Item 7A of our Annual Report on Form 10-K for the year ended December 31, 2025 on file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ind w:right="140" w:firstLine="65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26" w:lineRule="exact"/>
        <w:rPr>
          <w:sz w:val="20"/>
          <w:szCs w:val="20"/>
          <w:color w:val="auto"/>
        </w:rPr>
      </w:pPr>
    </w:p>
    <w:p>
      <w:pPr>
        <w:ind w:right="80" w:firstLine="656"/>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100" w:firstLine="656"/>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There was no change in our internal control over financial reporting that occurred in the three months ended March 31, 2026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65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60" w:firstLine="656"/>
        <w:spacing w:after="0" w:line="282" w:lineRule="auto"/>
        <w:rPr>
          <w:sz w:val="20"/>
          <w:szCs w:val="20"/>
          <w:color w:val="auto"/>
        </w:rPr>
      </w:pPr>
      <w:r>
        <w:rPr>
          <w:rFonts w:ascii="Times New Roman" w:cs="Times New Roman" w:eastAsia="Times New Roman" w:hAnsi="Times New Roman"/>
          <w:sz w:val="18"/>
          <w:szCs w:val="18"/>
          <w:color w:val="auto"/>
        </w:rPr>
        <w:t>Reference is hereby made to our disclosures in “Legal Matters” under Note 5 to our Condensed Consolidated Financial Statements in this Quarterly Report on Form 10-Q and the information under the heading “Legal Matters” is incorporated by reference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20" w:firstLine="656"/>
        <w:spacing w:after="0" w:line="261"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w:t>
      </w:r>
    </w:p>
    <w:p>
      <w:pPr>
        <w:spacing w:after="0" w:line="72" w:lineRule="exact"/>
        <w:rPr>
          <w:sz w:val="20"/>
          <w:szCs w:val="20"/>
          <w:color w:val="auto"/>
        </w:rPr>
      </w:pPr>
    </w:p>
    <w:p>
      <w:pPr>
        <w:ind w:right="20" w:firstLine="656"/>
        <w:spacing w:after="0" w:line="255" w:lineRule="auto"/>
        <w:rPr>
          <w:sz w:val="20"/>
          <w:szCs w:val="20"/>
          <w:color w:val="auto"/>
        </w:rPr>
      </w:pPr>
      <w:r>
        <w:rPr>
          <w:rFonts w:ascii="Times New Roman" w:cs="Times New Roman" w:eastAsia="Times New Roman" w:hAnsi="Times New Roman"/>
          <w:sz w:val="18"/>
          <w:szCs w:val="18"/>
          <w:color w:val="auto"/>
        </w:rPr>
        <w:t>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 This description includes any material changes to and supersedes the description of the risk factors associated with our business previously disclosed in Item 1A of our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left="38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drug candidates, particularly rezpegaldesleukin (previously referred to as NKTR-358). If these drug candidates fail in clinical development our business will be significantly harmed.</w:t>
      </w:r>
    </w:p>
    <w:p>
      <w:pPr>
        <w:spacing w:after="0" w:line="105" w:lineRule="exact"/>
        <w:rPr>
          <w:sz w:val="20"/>
          <w:szCs w:val="20"/>
          <w:color w:val="auto"/>
        </w:rPr>
      </w:pPr>
    </w:p>
    <w:p>
      <w:pPr>
        <w:ind w:right="80" w:firstLine="659"/>
        <w:spacing w:after="0" w:line="261" w:lineRule="auto"/>
        <w:rPr>
          <w:sz w:val="20"/>
          <w:szCs w:val="20"/>
          <w:color w:val="auto"/>
        </w:rPr>
      </w:pPr>
      <w:r>
        <w:rPr>
          <w:rFonts w:ascii="Times New Roman" w:cs="Times New Roman" w:eastAsia="Times New Roman" w:hAnsi="Times New Roman"/>
          <w:sz w:val="18"/>
          <w:szCs w:val="18"/>
          <w:color w:val="auto"/>
        </w:rPr>
        <w:t>Our future success is highly dependent on the clinical success of our drug candidates, particularly rezpegaldesleukin. In general, most investigational drugs, including drug candidates designed to treat patients suffering from autoimmune disorders, such as rezpegaldesleukin, do not become approved drugs. Accordingly, there is a very meaningful risk that our drug candidates will not succeed in one or more clinical trials sufficient to support one or more regulatory approvals.</w:t>
      </w:r>
    </w:p>
    <w:p>
      <w:pPr>
        <w:spacing w:after="0" w:line="126" w:lineRule="exact"/>
        <w:rPr>
          <w:sz w:val="20"/>
          <w:szCs w:val="20"/>
          <w:color w:val="auto"/>
        </w:rPr>
      </w:pPr>
    </w:p>
    <w:p>
      <w:pPr>
        <w:ind w:firstLine="659"/>
        <w:spacing w:after="0" w:line="268" w:lineRule="auto"/>
        <w:rPr>
          <w:sz w:val="20"/>
          <w:szCs w:val="20"/>
          <w:color w:val="auto"/>
        </w:rPr>
      </w:pPr>
      <w:r>
        <w:rPr>
          <w:rFonts w:ascii="Times New Roman" w:cs="Times New Roman" w:eastAsia="Times New Roman" w:hAnsi="Times New Roman"/>
          <w:sz w:val="17"/>
          <w:szCs w:val="17"/>
          <w:color w:val="auto"/>
        </w:rPr>
        <w:t>We previously relied on Lilly (through the Lilly Agreement) to initiate, properly conduct, and prioritize clinical trials and other development-related activities for rezpegaldesleukin. In February 2023, we announced that the Phase 2 Lupus Study of rezpegaldesleukin in systemic lupus erythematosus (SLE) conducted by Lilly did not meet the study’s primary endpoint and that Lilly did not intend to advance rezpegaldesleukin to Phase 3 development in SLE. On April 27, 2023, we announced that we would be regaining the full rights to rezpegaldesleukin from Lilly, and the Lilly Agreement subsequently terminated. Following the return of our rights to develop rezpegaldesleukin, we bear all costs of development. We have initiated two Phase 2b rezpegaldesleukin studies: one in patients with moderate-to-severe atopic dermatitis, and another in patients with severe-to-very severe alopecia areata, and will collaborate with TrialNet to conduct a Phase 2 study of rezpegaldesleukin in patients with new onset stage 3 Type 1 diabetes mellitus. We will also explore other autoimmune indications for the development of rezpegaldesleukin. While we believe we currently have the documents, records, and data that are necessary for us to continue clinical development of rezpegaldesleukin, we may need or benefit from additional documents, records and data that Lilly generated as part of the early development of rezpegaldesleukin under the Lilly Agreement and for which Lilly has not yet transferred to us. In the event Lilly fails to promptly and completely transfer to us any additional needed materials or we are not able to independently source these documents, records and data (e.g., from vendors or third parties who may also have these materials), the continued clinical development of rezpegaldesleukin and our business may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w:t>
      </w:r>
    </w:p>
    <w:p>
      <w:pPr>
        <w:spacing w:after="0" w:line="1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fully address the harm. If continued development of rezpegaldesleukin is not ultimately successful, our market valuation, prospects, financial condition and results of operations would be materially harmed.</w:t>
      </w:r>
    </w:p>
    <w:p>
      <w:pPr>
        <w:spacing w:after="0" w:line="108" w:lineRule="exact"/>
        <w:rPr>
          <w:sz w:val="20"/>
          <w:szCs w:val="20"/>
          <w:color w:val="auto"/>
        </w:rPr>
      </w:pPr>
    </w:p>
    <w:p>
      <w:pPr>
        <w:ind w:firstLine="659"/>
        <w:spacing w:after="0" w:line="252" w:lineRule="auto"/>
        <w:rPr>
          <w:sz w:val="20"/>
          <w:szCs w:val="20"/>
          <w:color w:val="auto"/>
        </w:rPr>
      </w:pPr>
      <w:r>
        <w:rPr>
          <w:rFonts w:ascii="Times New Roman" w:cs="Times New Roman" w:eastAsia="Times New Roman" w:hAnsi="Times New Roman"/>
          <w:sz w:val="18"/>
          <w:szCs w:val="18"/>
          <w:color w:val="auto"/>
        </w:rPr>
        <w:t>Additionally, promising results from earlier trials may not predict similarly favorable outcomes in subsequent trials. For example, our drug candidates (particularly those being evaluated in the oncology setting and in connection with the placebo crossover patients in the Phase 2b REZOLVE-AD study) have been tested in clinical trials or parts of clinical trials that utilize an “open-label” approach. An “open-label” approach occurs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 Also, results from “double blinded” studies where both the patient and investigator do not know whether the patient is receiving the investigational drug candidate may not be predictive of future clinical trial results. One or more clinical failures of our drug candidates would jeopardize and could materially harm our business, results of operations and financial condition.</w:t>
      </w:r>
    </w:p>
    <w:p>
      <w:pPr>
        <w:spacing w:after="0" w:line="139" w:lineRule="exact"/>
        <w:rPr>
          <w:sz w:val="20"/>
          <w:szCs w:val="20"/>
          <w:color w:val="auto"/>
        </w:rPr>
      </w:pPr>
    </w:p>
    <w:p>
      <w:pPr>
        <w:ind w:left="3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105" w:lineRule="exact"/>
        <w:rPr>
          <w:sz w:val="20"/>
          <w:szCs w:val="20"/>
          <w:color w:val="auto"/>
        </w:rPr>
      </w:pPr>
    </w:p>
    <w:p>
      <w:pPr>
        <w:ind w:right="140" w:firstLine="659"/>
        <w:spacing w:after="0" w:line="266" w:lineRule="auto"/>
        <w:rPr>
          <w:sz w:val="20"/>
          <w:szCs w:val="20"/>
          <w:color w:val="auto"/>
        </w:rPr>
      </w:pPr>
      <w:r>
        <w:rPr>
          <w:rFonts w:ascii="Times New Roman" w:cs="Times New Roman" w:eastAsia="Times New Roman" w:hAnsi="Times New Roman"/>
          <w:sz w:val="18"/>
          <w:szCs w:val="18"/>
          <w:color w:val="auto"/>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spacing w:after="0" w:line="122" w:lineRule="exact"/>
        <w:rPr>
          <w:sz w:val="20"/>
          <w:szCs w:val="20"/>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study;</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applicable regulatory authorities on a clinical study design;</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drug candidates currently or previously partnered with other companies, delays caused by our partner;</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future health epidemics;</w:t>
      </w:r>
    </w:p>
    <w:p>
      <w:pPr>
        <w:spacing w:after="0" w:line="171"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health authorities, which may occur at any time including after any inspection of clinical trial operations or trial sites;</w:t>
      </w:r>
    </w:p>
    <w:p>
      <w:pPr>
        <w:spacing w:after="0" w:line="107"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study by us, our partners, the FDA or foreign regulatory authorities due to adverse side effects of a drug on subjects in the trial;</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due to the detriment of enrollment rates;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and delivery of sufficient supply of clinical trial materials;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authorities policies or guidance applicable to our drug candidates;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changing standards of care or new treatment options;</w:t>
      </w:r>
    </w:p>
    <w:p>
      <w:pPr>
        <w:spacing w:after="0" w:line="171"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third parties, such as a past collaboration partner, failing to provide us with all the necessary documents, data and materials necessary to conduct clinical trials; and</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260" w:hanging="503"/>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a shutdown, or uncertainty surrounding the potential for future shutdowns, of the U.S. government, including the FDA.</w:t>
      </w:r>
    </w:p>
    <w:p>
      <w:pPr>
        <w:spacing w:after="0" w:line="54" w:lineRule="exact"/>
        <w:rPr>
          <w:sz w:val="20"/>
          <w:szCs w:val="20"/>
          <w:color w:val="auto"/>
        </w:rPr>
      </w:pPr>
    </w:p>
    <w:p>
      <w:pPr>
        <w:ind w:firstLine="659"/>
        <w:spacing w:after="0" w:line="277" w:lineRule="auto"/>
        <w:rPr>
          <w:sz w:val="20"/>
          <w:szCs w:val="20"/>
          <w:color w:val="auto"/>
        </w:rPr>
      </w:pPr>
      <w:r>
        <w:rPr>
          <w:rFonts w:ascii="Times New Roman" w:cs="Times New Roman" w:eastAsia="Times New Roman" w:hAnsi="Times New Roman"/>
          <w:sz w:val="17"/>
          <w:szCs w:val="17"/>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110" w:lineRule="exact"/>
        <w:rPr>
          <w:sz w:val="20"/>
          <w:szCs w:val="20"/>
          <w:color w:val="auto"/>
        </w:rPr>
      </w:pPr>
    </w:p>
    <w:p>
      <w:pPr>
        <w:ind w:left="38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academic and private non-academic institutions to conduct investigator-sponsored clinical studies or trials of our drug candidates. Any failure by the investigator-sponsor to meet its obligations with respect to the clinical development of our drug candidates may delay or impair our ability to obtain regulatory approval or commercialize for other drug candidates.</w:t>
      </w:r>
    </w:p>
    <w:p>
      <w:pPr>
        <w:spacing w:after="0" w:line="121" w:lineRule="exact"/>
        <w:rPr>
          <w:sz w:val="20"/>
          <w:szCs w:val="20"/>
          <w:color w:val="auto"/>
        </w:rPr>
      </w:pPr>
    </w:p>
    <w:p>
      <w:pPr>
        <w:ind w:right="100" w:firstLine="659"/>
        <w:spacing w:after="0" w:line="261" w:lineRule="auto"/>
        <w:rPr>
          <w:sz w:val="20"/>
          <w:szCs w:val="20"/>
          <w:color w:val="auto"/>
        </w:rPr>
      </w:pPr>
      <w:r>
        <w:rPr>
          <w:rFonts w:ascii="Times New Roman" w:cs="Times New Roman" w:eastAsia="Times New Roman" w:hAnsi="Times New Roman"/>
          <w:sz w:val="18"/>
          <w:szCs w:val="18"/>
          <w:color w:val="auto"/>
        </w:rPr>
        <w:t>We currently rely on academic and private non-academic institutions to conduct and sponsor clinical studies or trials relating to our drug candidates.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w:t>
      </w:r>
    </w:p>
    <w:p>
      <w:pPr>
        <w:spacing w:after="0" w:line="180" w:lineRule="exact"/>
        <w:rPr>
          <w:sz w:val="20"/>
          <w:szCs w:val="20"/>
          <w:color w:val="auto"/>
        </w:rPr>
      </w:pPr>
    </w:p>
    <w:p>
      <w:pPr>
        <w:ind w:right="40" w:firstLine="659"/>
        <w:spacing w:after="0" w:line="254"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 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w:t>
      </w:r>
    </w:p>
    <w:p>
      <w:pPr>
        <w:spacing w:after="0" w:line="138" w:lineRule="exact"/>
        <w:rPr>
          <w:sz w:val="20"/>
          <w:szCs w:val="20"/>
          <w:color w:val="auto"/>
        </w:rPr>
      </w:pPr>
    </w:p>
    <w:p>
      <w:pPr>
        <w:ind w:right="100" w:firstLine="659"/>
        <w:spacing w:after="0" w:line="258" w:lineRule="auto"/>
        <w:rPr>
          <w:sz w:val="20"/>
          <w:szCs w:val="20"/>
          <w:color w:val="auto"/>
        </w:rPr>
      </w:pPr>
      <w:r>
        <w:rPr>
          <w:rFonts w:ascii="Times New Roman" w:cs="Times New Roman" w:eastAsia="Times New Roman" w:hAnsi="Times New Roman"/>
          <w:sz w:val="18"/>
          <w:szCs w:val="18"/>
          <w:color w:val="auto"/>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spacing w:after="0" w:line="125" w:lineRule="exact"/>
        <w:rPr>
          <w:sz w:val="20"/>
          <w:szCs w:val="20"/>
          <w:color w:val="auto"/>
        </w:rPr>
      </w:pPr>
    </w:p>
    <w:p>
      <w:pPr>
        <w:ind w:left="38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outcomes from the clinical trials of drug candidates from others, and the discovery and development of new potential therapies in immunology and oncology, could have a material and adverse impact on the value of the drug candidates in our research and development pipeline.</w:t>
      </w:r>
    </w:p>
    <w:p>
      <w:pPr>
        <w:spacing w:after="0" w:line="121"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The research and development of immune-modulatory agents is a very competitive global segment in the biopharmaceutical industry attracting tens of billions of dollars of investment each year. Our clinical trial plans for rezpegaldesleukin, NKTR-255 and other drug candidates face substantial competition from other regimens already approved, and many more that are either ahead of or in parallel development in patient populations where we are studying our drug candidates. As immunotherapy represents a relatively new approach to treatment of autoimmune disorders and cancer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clinical failure for any drug candidate remains high prior to regulatory approval and there can be no assurance that our drug candidates will obtain regulatory approval for any particular indications.</w:t>
      </w:r>
    </w:p>
    <w:p>
      <w:pPr>
        <w:spacing w:after="0" w:line="105"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30" w:lineRule="exact"/>
        <w:rPr>
          <w:sz w:val="20"/>
          <w:szCs w:val="20"/>
          <w:color w:val="auto"/>
        </w:rPr>
      </w:pPr>
    </w:p>
    <w:p>
      <w:pPr>
        <w:ind w:left="38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competition could render our partnered and proprietary drugs and drug candidates obsolete or noncompetitive, which would negatively impact our business, results of operations and financial condition.</w:t>
      </w:r>
    </w:p>
    <w:p>
      <w:pPr>
        <w:spacing w:after="0" w:line="105" w:lineRule="exact"/>
        <w:rPr>
          <w:sz w:val="20"/>
          <w:szCs w:val="20"/>
          <w:color w:val="auto"/>
        </w:rPr>
      </w:pPr>
    </w:p>
    <w:p>
      <w:pPr>
        <w:ind w:firstLine="659"/>
        <w:spacing w:after="0" w:line="252" w:lineRule="auto"/>
        <w:rPr>
          <w:sz w:val="20"/>
          <w:szCs w:val="20"/>
          <w:color w:val="auto"/>
        </w:rPr>
      </w:pPr>
      <w:r>
        <w:rPr>
          <w:rFonts w:ascii="Times New Roman" w:cs="Times New Roman" w:eastAsia="Times New Roman" w:hAnsi="Times New Roman"/>
          <w:sz w:val="18"/>
          <w:szCs w:val="18"/>
          <w:color w:val="auto"/>
        </w:rPr>
        <w:t>Our partnered and proprietary products and drug candidates compete with various pharmaceutical and biotechnology companies.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Apogee Therapeutics, Janssen, AstraZeneca and Tizona Therapeutics), regulatory T cell therapies (Sangamo Therapeutics, Inc., Quell Therapeutics, Ltd, TxCell, Inc., Sonoma Biotherapeutics, Inc., GentiBio, Inc. Kyvema Therapeutics, Inc. and Tract Therapeutics, Inc.), IL-2-based-therapies (Sanofi SA, through its acquisition of Synthorx, Inc.) or OX40/OX40L class (Sanofi SA). For NKTR-255, we believe companies that are currently researching and developing engineered IL-15 biologics and cell therapies that could compete with this drug candidate include ImmunityBio, Inc., Nkarta Therapeutics, NKMax America, and Roche/Genentech (through its partnership with Xencor, Inc.). For NKTR-0165, we believe companies targeting the TNFR2 pathway for the treatment of patients with autoimmune disease include TRexBio, Inc. and Odyssey Therapeutics,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spacing w:after="0" w:line="135" w:lineRule="exact"/>
        <w:rPr>
          <w:sz w:val="20"/>
          <w:szCs w:val="20"/>
          <w:color w:val="auto"/>
        </w:rPr>
      </w:pPr>
    </w:p>
    <w:p>
      <w:pPr>
        <w:ind w:left="3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05" w:lineRule="exact"/>
        <w:rPr>
          <w:sz w:val="20"/>
          <w:szCs w:val="20"/>
          <w:color w:val="auto"/>
        </w:rPr>
      </w:pPr>
    </w:p>
    <w:p>
      <w:pPr>
        <w:ind w:right="20" w:firstLine="659"/>
        <w:spacing w:after="0" w:line="258" w:lineRule="auto"/>
        <w:rPr>
          <w:sz w:val="20"/>
          <w:szCs w:val="20"/>
          <w:color w:val="auto"/>
        </w:rPr>
      </w:pPr>
      <w:r>
        <w:rPr>
          <w:rFonts w:ascii="Times New Roman" w:cs="Times New Roman" w:eastAsia="Times New Roman" w:hAnsi="Times New Roman"/>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w:t>
      </w:r>
    </w:p>
    <w:p>
      <w:pPr>
        <w:spacing w:after="0" w:line="171" w:lineRule="exact"/>
        <w:rPr>
          <w:sz w:val="20"/>
          <w:szCs w:val="20"/>
          <w:color w:val="auto"/>
        </w:rPr>
      </w:pPr>
    </w:p>
    <w:p>
      <w:pPr>
        <w:ind w:left="3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05" w:lineRule="exact"/>
        <w:rPr>
          <w:sz w:val="20"/>
          <w:szCs w:val="20"/>
          <w:color w:val="auto"/>
        </w:rPr>
      </w:pPr>
    </w:p>
    <w:p>
      <w:pPr>
        <w:ind w:right="560" w:firstLine="659"/>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agreements with various pharmaceutical or biotechnology companies, our collaboration partner is generally solely responsible for:</w:t>
      </w:r>
    </w:p>
    <w:p>
      <w:pPr>
        <w:spacing w:after="0" w:line="108" w:lineRule="exact"/>
        <w:rPr>
          <w:sz w:val="20"/>
          <w:szCs w:val="20"/>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large scale clinical studies;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documents necessary to obtain government approvals to sell a given drug candidate; and/or</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the drugs when and if they are approved.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reliance on collaboration partners poses a number of significant risks to our business, including risks that:</w:t>
      </w:r>
    </w:p>
    <w:p>
      <w:pPr>
        <w:spacing w:after="0" w:line="171" w:lineRule="exact"/>
        <w:rPr>
          <w:sz w:val="20"/>
          <w:szCs w:val="20"/>
          <w:color w:val="auto"/>
        </w:rPr>
      </w:pPr>
    </w:p>
    <w:p>
      <w:pPr>
        <w:ind w:left="1260" w:hanging="503"/>
        <w:spacing w:after="0" w:line="258"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129" w:lineRule="exact"/>
        <w:rPr>
          <w:rFonts w:ascii="Times New Roman" w:cs="Times New Roman" w:eastAsia="Times New Roman" w:hAnsi="Times New Roman"/>
          <w:sz w:val="18"/>
          <w:szCs w:val="18"/>
          <w:color w:val="auto"/>
        </w:rPr>
      </w:pPr>
    </w:p>
    <w:p>
      <w:pPr>
        <w:ind w:left="1260" w:right="280" w:hanging="503"/>
        <w:spacing w:after="0" w:line="266"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the applicable contract mandates otherwise, collaboration partners with commercial rights may choose to devote fewer resources to the development or marketing of our partnered drugs than they devote to their own drugs or other drugs that they have in-licensed;</w:t>
      </w:r>
    </w:p>
    <w:p>
      <w:pPr>
        <w:spacing w:after="0" w:line="121" w:lineRule="exact"/>
        <w:rPr>
          <w:rFonts w:ascii="Times New Roman" w:cs="Times New Roman" w:eastAsia="Times New Roman" w:hAnsi="Times New Roman"/>
          <w:sz w:val="18"/>
          <w:szCs w:val="18"/>
          <w:color w:val="auto"/>
        </w:rPr>
      </w:pPr>
    </w:p>
    <w:p>
      <w:pPr>
        <w:ind w:left="1260" w:right="24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amount of resources our partners devote to development programs in one or more major markets;</w:t>
      </w:r>
    </w:p>
    <w:p>
      <w:pPr>
        <w:spacing w:after="0" w:line="107" w:lineRule="exact"/>
        <w:rPr>
          <w:rFonts w:ascii="Times New Roman" w:cs="Times New Roman" w:eastAsia="Times New Roman" w:hAnsi="Times New Roman"/>
          <w:sz w:val="18"/>
          <w:szCs w:val="18"/>
          <w:color w:val="auto"/>
        </w:rPr>
      </w:pPr>
    </w:p>
    <w:p>
      <w:pPr>
        <w:ind w:left="1260" w:right="4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could lead to delays in, or termination of, the research, development or commercialization of drug candidates or to litigation or arbitration proceedings;</w:t>
      </w:r>
    </w:p>
    <w:p>
      <w:pPr>
        <w:spacing w:after="0" w:line="107" w:lineRule="exact"/>
        <w:rPr>
          <w:rFonts w:ascii="Times New Roman" w:cs="Times New Roman" w:eastAsia="Times New Roman" w:hAnsi="Times New Roman"/>
          <w:sz w:val="18"/>
          <w:szCs w:val="18"/>
          <w:color w:val="auto"/>
        </w:rPr>
      </w:pPr>
    </w:p>
    <w:p>
      <w:pPr>
        <w:ind w:left="1260" w:right="20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or escalate in the future with respect to the ownership of rights to technology or intellectual property developed with partners;</w:t>
      </w:r>
    </w:p>
    <w:p>
      <w:pPr>
        <w:spacing w:after="0" w:line="107" w:lineRule="exact"/>
        <w:rPr>
          <w:rFonts w:ascii="Times New Roman" w:cs="Times New Roman" w:eastAsia="Times New Roman" w:hAnsi="Times New Roman"/>
          <w:sz w:val="18"/>
          <w:szCs w:val="18"/>
          <w:color w:val="auto"/>
        </w:rPr>
      </w:pPr>
    </w:p>
    <w:p>
      <w:pPr>
        <w:ind w:left="1260" w:right="10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 unable to pay us as expected;</w:t>
      </w:r>
    </w:p>
    <w:p>
      <w:pPr>
        <w:spacing w:after="0" w:line="171" w:lineRule="exact"/>
        <w:rPr>
          <w:rFonts w:ascii="Times New Roman" w:cs="Times New Roman" w:eastAsia="Times New Roman" w:hAnsi="Times New Roman"/>
          <w:sz w:val="18"/>
          <w:szCs w:val="18"/>
          <w:color w:val="auto"/>
        </w:rPr>
      </w:pPr>
    </w:p>
    <w:p>
      <w:pPr>
        <w:ind w:left="1260" w:right="30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terminate their agreements with us unilaterally for any or no reason, in some cases with the payment of a termination fee penalty and in other cases with no termination fee penalty; and</w:t>
      </w:r>
    </w:p>
    <w:p>
      <w:pPr>
        <w:spacing w:after="0" w:line="107" w:lineRule="exact"/>
        <w:rPr>
          <w:rFonts w:ascii="Times New Roman" w:cs="Times New Roman" w:eastAsia="Times New Roman" w:hAnsi="Times New Roman"/>
          <w:sz w:val="18"/>
          <w:szCs w:val="18"/>
          <w:color w:val="auto"/>
        </w:rPr>
      </w:pPr>
    </w:p>
    <w:p>
      <w:pPr>
        <w:ind w:left="1260" w:right="18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respond to natural disasters or health epidemics by ceasing all or some of their development responsibilities (including the responsibility to clinical develop our drug candidates).</w:t>
      </w:r>
    </w:p>
    <w:p>
      <w:pPr>
        <w:spacing w:after="0" w:line="54" w:lineRule="exact"/>
        <w:rPr>
          <w:sz w:val="20"/>
          <w:szCs w:val="20"/>
          <w:color w:val="auto"/>
        </w:rPr>
      </w:pPr>
    </w:p>
    <w:p>
      <w:pPr>
        <w:ind w:right="60" w:firstLine="659"/>
        <w:spacing w:after="0" w:line="258" w:lineRule="auto"/>
        <w:rPr>
          <w:sz w:val="20"/>
          <w:szCs w:val="20"/>
          <w:color w:val="auto"/>
        </w:rPr>
      </w:pPr>
      <w:r>
        <w:rPr>
          <w:rFonts w:ascii="Times New Roman" w:cs="Times New Roman" w:eastAsia="Times New Roman" w:hAnsi="Times New Roman"/>
          <w:sz w:val="18"/>
          <w:szCs w:val="18"/>
          <w:color w:val="auto"/>
        </w:rPr>
        <w:t>Given these risks, the success of our current and future collaboration partnerships is highly unpredictable and can have a substantial negative impact on our business. If the approved drugs fail to achieve commercial success or the drug candidates in development fail to have positive late stage clinical outcomes sufficient to support regulatory approval in major markets, it could significantly impair our access to capital necessary to fund our research and development efforts. If we are unable to obtain sufficient capital resources to advance our drug candidate pipeline, it would negatively impact the value of our business, results of operations and financial condition.</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future capital requirements and there is a risk that we may not have access to sufficient capital to meet our current business plan. If we are unable to raise additional capital in one or more financing transactions, execute new high value collaborations or other arrangements, or do not receive substantial milestone or royalty payments from our existing collaboration agreements, we would be unable to continue our current level of investment in research and development.</w:t>
      </w:r>
    </w:p>
    <w:p>
      <w:pPr>
        <w:spacing w:after="0" w:line="126" w:lineRule="exact"/>
        <w:rPr>
          <w:sz w:val="20"/>
          <w:szCs w:val="20"/>
          <w:color w:val="auto"/>
        </w:rPr>
      </w:pPr>
    </w:p>
    <w:p>
      <w:pPr>
        <w:ind w:right="220" w:firstLine="65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investments in marketable securities valued at approximately $731.6 million. While we believe that our cash position will be sufficient to meet our liquidity requirements through at least the next 12 months, our future capital requirements will depend upon numerous unpredictable factors, including:</w:t>
      </w:r>
    </w:p>
    <w:p>
      <w:pPr>
        <w:spacing w:after="0" w:line="122" w:lineRule="exact"/>
        <w:rPr>
          <w:sz w:val="20"/>
          <w:szCs w:val="20"/>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clinical studies and regulatory reviews of our drug candidates, particularly rezpegaldesleukin;</w:t>
      </w:r>
    </w:p>
    <w:p>
      <w:pPr>
        <w:spacing w:after="0" w:line="171"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receive potential milestone payments and royalties from our existing collaborations if the drug candidates subject to those collaborations achieve clinical, regulatory or commercial success;</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 and results of our clinical development programs;</w:t>
      </w:r>
    </w:p>
    <w:p>
      <w:pPr>
        <w:spacing w:after="0" w:line="171" w:lineRule="exact"/>
        <w:rPr>
          <w:rFonts w:ascii="Times New Roman" w:cs="Times New Roman" w:eastAsia="Times New Roman" w:hAnsi="Times New Roman"/>
          <w:sz w:val="18"/>
          <w:szCs w:val="18"/>
          <w:color w:val="auto"/>
        </w:rPr>
      </w:pPr>
    </w:p>
    <w:p>
      <w:pPr>
        <w:ind w:left="1260" w:right="28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121" w:lineRule="exact"/>
        <w:rPr>
          <w:rFonts w:ascii="Times New Roman" w:cs="Times New Roman" w:eastAsia="Times New Roman" w:hAnsi="Times New Roman"/>
          <w:sz w:val="18"/>
          <w:szCs w:val="18"/>
          <w:color w:val="auto"/>
        </w:rPr>
      </w:pPr>
    </w:p>
    <w:p>
      <w:pPr>
        <w:ind w:left="1260" w:right="20" w:hanging="503"/>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and administrative expenses, capital expenditures and other uses of cash; and</w:t>
      </w:r>
    </w:p>
    <w:p>
      <w:pPr>
        <w:spacing w:after="0" w:line="171" w:lineRule="exact"/>
        <w:rPr>
          <w:rFonts w:ascii="Times New Roman" w:cs="Times New Roman" w:eastAsia="Times New Roman" w:hAnsi="Times New Roman"/>
          <w:sz w:val="18"/>
          <w:szCs w:val="18"/>
          <w:color w:val="auto"/>
        </w:rPr>
      </w:pPr>
    </w:p>
    <w:p>
      <w:pPr>
        <w:ind w:left="1260" w:right="50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68" w:lineRule="exact"/>
        <w:rPr>
          <w:sz w:val="20"/>
          <w:szCs w:val="20"/>
          <w:color w:val="auto"/>
        </w:rPr>
      </w:pPr>
    </w:p>
    <w:p>
      <w:pPr>
        <w:ind w:right="20" w:firstLine="659"/>
        <w:spacing w:after="0" w:line="254" w:lineRule="auto"/>
        <w:rPr>
          <w:sz w:val="20"/>
          <w:szCs w:val="20"/>
          <w:color w:val="auto"/>
        </w:rPr>
      </w:pPr>
      <w:r>
        <w:rPr>
          <w:rFonts w:ascii="Times New Roman" w:cs="Times New Roman" w:eastAsia="Times New Roman" w:hAnsi="Times New Roman"/>
          <w:sz w:val="18"/>
          <w:szCs w:val="18"/>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130"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05" w:lineRule="exact"/>
        <w:rPr>
          <w:sz w:val="20"/>
          <w:szCs w:val="20"/>
          <w:color w:val="auto"/>
        </w:rPr>
      </w:pPr>
    </w:p>
    <w:p>
      <w:pPr>
        <w:ind w:firstLine="659"/>
        <w:spacing w:after="0" w:line="258" w:lineRule="auto"/>
        <w:rPr>
          <w:sz w:val="20"/>
          <w:szCs w:val="20"/>
          <w:color w:val="auto"/>
        </w:rPr>
      </w:pPr>
      <w:r>
        <w:rPr>
          <w:rFonts w:ascii="Times New Roman" w:cs="Times New Roman" w:eastAsia="Times New Roman" w:hAnsi="Times New Roman"/>
          <w:sz w:val="18"/>
          <w:szCs w:val="18"/>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or biosimilar versions from coming to market by asserting our patents. If due to one or more of these risks the</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29"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05" w:lineRule="exact"/>
        <w:rPr>
          <w:sz w:val="20"/>
          <w:szCs w:val="20"/>
          <w:color w:val="auto"/>
        </w:rPr>
      </w:pPr>
    </w:p>
    <w:p>
      <w:pPr>
        <w:ind w:right="140" w:firstLine="659"/>
        <w:spacing w:after="0" w:line="254"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 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 party payers, such as government programs, including Medicare and Medicaid in the U.S.,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 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 section in our Annual Report on Form 10-K for the year ended December 31, 2025.</w:t>
      </w:r>
    </w:p>
    <w:p>
      <w:pPr>
        <w:spacing w:after="0" w:line="80" w:lineRule="exact"/>
        <w:rPr>
          <w:sz w:val="20"/>
          <w:szCs w:val="20"/>
          <w:color w:val="auto"/>
        </w:rPr>
      </w:pPr>
    </w:p>
    <w:p>
      <w:pPr>
        <w:ind w:firstLine="659"/>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75" w:lineRule="exact"/>
        <w:rPr>
          <w:sz w:val="20"/>
          <w:szCs w:val="20"/>
          <w:color w:val="auto"/>
        </w:rPr>
      </w:pPr>
    </w:p>
    <w:p>
      <w:pPr>
        <w:ind w:right="300" w:firstLine="659"/>
        <w:spacing w:after="0" w:line="282" w:lineRule="auto"/>
        <w:rPr>
          <w:sz w:val="20"/>
          <w:szCs w:val="20"/>
          <w:color w:val="auto"/>
        </w:rPr>
      </w:pPr>
      <w:r>
        <w:rPr>
          <w:rFonts w:ascii="Times New Roman" w:cs="Times New Roman" w:eastAsia="Times New Roman" w:hAnsi="Times New Roman"/>
          <w:sz w:val="18"/>
          <w:szCs w:val="18"/>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54" w:lineRule="exact"/>
        <w:rPr>
          <w:sz w:val="20"/>
          <w:szCs w:val="20"/>
          <w:color w:val="auto"/>
        </w:rPr>
      </w:pPr>
    </w:p>
    <w:p>
      <w:pPr>
        <w:jc w:val="both"/>
        <w:ind w:right="20" w:firstLine="659"/>
        <w:spacing w:after="0" w:line="282"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54" w:lineRule="exact"/>
        <w:rPr>
          <w:sz w:val="20"/>
          <w:szCs w:val="20"/>
          <w:color w:val="auto"/>
        </w:rPr>
      </w:pPr>
    </w:p>
    <w:p>
      <w:pPr>
        <w:ind w:right="100" w:firstLine="659"/>
        <w:spacing w:after="0" w:line="266" w:lineRule="auto"/>
        <w:rPr>
          <w:sz w:val="20"/>
          <w:szCs w:val="20"/>
          <w:color w:val="auto"/>
        </w:rPr>
      </w:pPr>
      <w:r>
        <w:rPr>
          <w:rFonts w:ascii="Times New Roman" w:cs="Times New Roman" w:eastAsia="Times New Roman" w:hAnsi="Times New Roman"/>
          <w:sz w:val="18"/>
          <w:szCs w:val="18"/>
          <w:color w:val="auto"/>
        </w:rPr>
        <w:t>Increasingly, third party payers are requiring that drug companies provide them with predetermined discounts from list prices and are challenging the prices charged for medical products. We cannot be sure that reimbursement will be available for any of our drug candidates that are commercialized and, if reimbursement is available, the level of reimbursement.</w:t>
      </w:r>
    </w:p>
    <w:p>
      <w:pPr>
        <w:spacing w:after="0" w:line="68" w:lineRule="exact"/>
        <w:rPr>
          <w:sz w:val="20"/>
          <w:szCs w:val="20"/>
          <w:color w:val="auto"/>
        </w:rPr>
      </w:pPr>
    </w:p>
    <w:p>
      <w:pPr>
        <w:jc w:val="both"/>
        <w:ind w:right="40" w:firstLine="659"/>
        <w:spacing w:after="0" w:line="26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68" w:lineRule="exact"/>
        <w:rPr>
          <w:sz w:val="20"/>
          <w:szCs w:val="20"/>
          <w:color w:val="auto"/>
        </w:rPr>
      </w:pPr>
    </w:p>
    <w:p>
      <w:pPr>
        <w:ind w:right="20" w:firstLine="659"/>
        <w:spacing w:after="0" w:line="258" w:lineRule="auto"/>
        <w:rPr>
          <w:sz w:val="20"/>
          <w:szCs w:val="20"/>
          <w:color w:val="auto"/>
        </w:rPr>
      </w:pPr>
      <w:r>
        <w:rPr>
          <w:rFonts w:ascii="Times New Roman" w:cs="Times New Roman" w:eastAsia="Times New Roman" w:hAnsi="Times New Roman"/>
          <w:sz w:val="18"/>
          <w:szCs w:val="18"/>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 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other healthcare programs are frequently identified as targets for spending cuts. New government legislation or regulations related to pricing or other fundamental changes to the healthcare delivery system as well as a government or third party payer decision not to approve pricing for, or provide adequate coverage or reimbursement of, our products hold the potential to severely limit market opportunities of such products.</w:t>
      </w:r>
    </w:p>
    <w:p>
      <w:pPr>
        <w:spacing w:after="0" w:line="68"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drug candidates. Historically, products launched in the European Union do not follow price structures of the U.S. and generally prices tend to be significantly lower.</w:t>
      </w:r>
    </w:p>
    <w:p>
      <w:pPr>
        <w:spacing w:after="0" w:line="130" w:lineRule="exact"/>
        <w:rPr>
          <w:sz w:val="20"/>
          <w:szCs w:val="20"/>
          <w:color w:val="auto"/>
        </w:rPr>
      </w:pPr>
    </w:p>
    <w:p>
      <w:pPr>
        <w:ind w:left="3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105" w:lineRule="exact"/>
        <w:rPr>
          <w:sz w:val="20"/>
          <w:szCs w:val="20"/>
          <w:color w:val="auto"/>
        </w:rPr>
      </w:pPr>
    </w:p>
    <w:p>
      <w:pPr>
        <w:ind w:right="120" w:firstLine="659"/>
        <w:spacing w:after="0" w:line="255" w:lineRule="auto"/>
        <w:rPr>
          <w:sz w:val="20"/>
          <w:szCs w:val="20"/>
          <w:color w:val="auto"/>
        </w:rPr>
      </w:pPr>
      <w:r>
        <w:rPr>
          <w:rFonts w:ascii="Times New Roman" w:cs="Times New Roman" w:eastAsia="Times New Roman" w:hAnsi="Times New Roman"/>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spacing w:after="0" w:line="131" w:lineRule="exact"/>
        <w:rPr>
          <w:sz w:val="20"/>
          <w:szCs w:val="20"/>
          <w:color w:val="auto"/>
        </w:rPr>
      </w:pPr>
    </w:p>
    <w:p>
      <w:pPr>
        <w:ind w:left="38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has historically been exclusively derived from our collaboration agreements, which can result in significant fluctuation in our revenue from period to period, and our past revenue is therefore not necessarily indicative of our future revenue.</w:t>
      </w:r>
    </w:p>
    <w:p>
      <w:pPr>
        <w:spacing w:after="0" w:line="105"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Our revenue has historically been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expect to continue to incur substantial losses and negative cash flow from operations and may not achieve or sustain profitability in the future.</w:t>
      </w:r>
    </w:p>
    <w:p>
      <w:pPr>
        <w:spacing w:after="0" w:line="187" w:lineRule="exact"/>
        <w:rPr>
          <w:sz w:val="20"/>
          <w:szCs w:val="20"/>
          <w:color w:val="auto"/>
        </w:rPr>
      </w:pPr>
    </w:p>
    <w:p>
      <w:pPr>
        <w:ind w:right="60" w:firstLine="6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reported a net loss of $44.9 million. If and when we achieve profitability depends upon a number of factors, including the timing and recognition of milestones and other contingent payments and royalties</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received, the timing of revenue under our collaboration agreements, the amount of investments we make in our proprietary drug candidates and the regulatory approval and market success of our drug candidates. We may not be able to achieve and sustain profitability.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factors that will affect whether we achieve and sustain profitability include our ability, alone or together with our partners, to:</w:t>
      </w:r>
    </w:p>
    <w:p>
      <w:pPr>
        <w:spacing w:after="0" w:line="171" w:lineRule="exact"/>
        <w:rPr>
          <w:sz w:val="20"/>
          <w:szCs w:val="20"/>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drugs utilizing our technologies, either independently or in collaboration with other pharmaceutical or biotechnology companies;</w:t>
      </w:r>
    </w:p>
    <w:p>
      <w:pPr>
        <w:spacing w:after="0" w:line="171" w:lineRule="exact"/>
        <w:rPr>
          <w:rFonts w:ascii="Times New Roman" w:cs="Times New Roman" w:eastAsia="Times New Roman" w:hAnsi="Times New Roman"/>
          <w:sz w:val="18"/>
          <w:szCs w:val="18"/>
          <w:color w:val="auto"/>
        </w:rPr>
      </w:pPr>
    </w:p>
    <w:p>
      <w:pPr>
        <w:ind w:left="1260" w:right="100" w:hanging="503"/>
        <w:spacing w:after="0" w:line="282"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estimate and manage clinical development costs, particularly the cost of the clinical studies for rezpegaldesleukin and NKTR-255;</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necessary regulatory and marketing approvals;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manufacturing at necessary levels;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partnered products;</w:t>
      </w:r>
    </w:p>
    <w:p>
      <w:pPr>
        <w:spacing w:after="0" w:line="171" w:lineRule="exact"/>
        <w:rPr>
          <w:rFonts w:ascii="Times New Roman" w:cs="Times New Roman" w:eastAsia="Times New Roman" w:hAnsi="Times New Roman"/>
          <w:sz w:val="18"/>
          <w:szCs w:val="18"/>
          <w:color w:val="auto"/>
        </w:rPr>
      </w:pPr>
    </w:p>
    <w:p>
      <w:pPr>
        <w:ind w:left="1260" w:right="740" w:hanging="503"/>
        <w:spacing w:after="0" w:line="282"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revenue or royalties on products that have been approved, marketed or submitted for marketing approval with regulatory authorities; and</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funds to finance our activities.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Additional cost-savings measures may be necessary following implementation of our strategic reorganization plan and cost restructuring plans.</w:t>
      </w:r>
    </w:p>
    <w:p>
      <w:pPr>
        <w:spacing w:after="0" w:line="175" w:lineRule="exact"/>
        <w:rPr>
          <w:sz w:val="20"/>
          <w:szCs w:val="20"/>
          <w:color w:val="auto"/>
        </w:rPr>
      </w:pPr>
    </w:p>
    <w:p>
      <w:pPr>
        <w:ind w:firstLine="659"/>
        <w:spacing w:after="0" w:line="256" w:lineRule="auto"/>
        <w:rPr>
          <w:sz w:val="20"/>
          <w:szCs w:val="20"/>
          <w:color w:val="auto"/>
        </w:rPr>
      </w:pPr>
      <w:r>
        <w:rPr>
          <w:rFonts w:ascii="Times New Roman" w:cs="Times New Roman" w:eastAsia="Times New Roman" w:hAnsi="Times New Roman"/>
          <w:sz w:val="18"/>
          <w:szCs w:val="18"/>
          <w:color w:val="auto"/>
        </w:rPr>
        <w:t>Our 2022 and 2023 Restructuring Plans prioritized key research and development efforts that will impact the Company’s future business activities, including activities involving rezpegaldesleukin, NKTR-255, NKTR-0165, NKTR-0166 and several core research programs. There is no guarantee that these Restructuring Plans and their associated cost restructuring measures will achieve their intended benefits or that our post-restructuring focus will be sufficient for us to achieve success. Consequently, we may need to undertake additional restructuring and cost-saving activities to further prioritize our key research and development efforts and these additional restructuring and cost-saving activities may not be successful, which could have a material adverse effect on our business, financial condition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and Manufacturing</w:t>
      </w:r>
    </w:p>
    <w:p>
      <w:pPr>
        <w:spacing w:after="0" w:line="171" w:lineRule="exact"/>
        <w:rPr>
          <w:sz w:val="20"/>
          <w:szCs w:val="20"/>
          <w:color w:val="auto"/>
        </w:rPr>
      </w:pPr>
    </w:p>
    <w:p>
      <w:pPr>
        <w:ind w:left="38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contract manufacturers are not able to manufacture biologic substance or substances in sufficient quantities that meet applicable quality standards, it could delay clinical studies or constitute a breach of our contractual obligations, any of which could significantly harm our business, financial condition and results of operations.</w:t>
      </w:r>
    </w:p>
    <w:p>
      <w:pPr>
        <w:spacing w:after="0" w:line="121" w:lineRule="exact"/>
        <w:rPr>
          <w:sz w:val="20"/>
          <w:szCs w:val="20"/>
          <w:color w:val="auto"/>
        </w:rPr>
      </w:pPr>
    </w:p>
    <w:p>
      <w:pPr>
        <w:ind w:right="20" w:firstLine="659"/>
        <w:spacing w:after="0" w:line="253" w:lineRule="auto"/>
        <w:rPr>
          <w:sz w:val="20"/>
          <w:szCs w:val="20"/>
          <w:color w:val="auto"/>
        </w:rPr>
      </w:pPr>
      <w:r>
        <w:rPr>
          <w:rFonts w:ascii="Times New Roman" w:cs="Times New Roman" w:eastAsia="Times New Roman" w:hAnsi="Times New Roman"/>
          <w:sz w:val="18"/>
          <w:szCs w:val="18"/>
          <w:color w:val="auto"/>
        </w:rPr>
        <w:t>If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As a result, we could incur substantial costs and any royalty revenue that we would otherwise be entitled to receive could be reduced, delayed or eliminated. In most cases, we rely on CMOs to manufacture and supply drug product for our clinical studies and those of our collaboration partners. As a result of the sale of the Facility, we are currently dependent on Gannet BioChem for the supply of the PEG reagents used in the manufacture of our PEG-conjugate drug candidates, including rezpegaldesleukin and NKTR-255.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68" w:lineRule="exact"/>
        <w:rPr>
          <w:sz w:val="20"/>
          <w:szCs w:val="20"/>
          <w:color w:val="auto"/>
        </w:rPr>
      </w:pPr>
    </w:p>
    <w:p>
      <w:pPr>
        <w:ind w:right="20" w:firstLine="65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and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or if our CMOs change manufacturing facility sites,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or a facility and additional costs, including potential tariffs associated with international sites,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 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8" w:lineRule="exact"/>
        <w:rPr>
          <w:sz w:val="20"/>
          <w:szCs w:val="20"/>
          <w:color w:val="auto"/>
        </w:rPr>
      </w:pPr>
    </w:p>
    <w:p>
      <w:pPr>
        <w:ind w:right="40" w:firstLine="659"/>
        <w:spacing w:after="0" w:line="258" w:lineRule="auto"/>
        <w:rPr>
          <w:sz w:val="20"/>
          <w:szCs w:val="20"/>
          <w:color w:val="auto"/>
        </w:rPr>
      </w:pPr>
      <w:r>
        <w:rPr>
          <w:rFonts w:ascii="Times New Roman" w:cs="Times New Roman" w:eastAsia="Times New Roman" w:hAnsi="Times New Roman"/>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or drug delivery method, which may cause significant delays in clinical development, or increased costs. There continues to be substantial and unpredictable risk and uncertainty related to manufacturing and supply until such time as the commercial supply chain is validated and proven.</w:t>
      </w:r>
    </w:p>
    <w:p>
      <w:pPr>
        <w:spacing w:after="0" w:line="125"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CMOs purchase some of the starting material for biologics and biologic candidates from a single source or a limited number of suppliers, and we are dependent on Gannet BioChem for the supply of PEG reagents, and the partial or complete loss of one of these suppliers could cause production delays, and clinical trial delays.</w:t>
      </w:r>
    </w:p>
    <w:p>
      <w:pPr>
        <w:spacing w:after="0" w:line="121" w:lineRule="exact"/>
        <w:rPr>
          <w:sz w:val="20"/>
          <w:szCs w:val="20"/>
          <w:color w:val="auto"/>
        </w:rPr>
      </w:pPr>
    </w:p>
    <w:p>
      <w:pPr>
        <w:ind w:right="20" w:firstLine="659"/>
        <w:spacing w:after="0" w:line="256" w:lineRule="auto"/>
        <w:rPr>
          <w:sz w:val="20"/>
          <w:szCs w:val="20"/>
          <w:color w:val="auto"/>
        </w:rPr>
      </w:pPr>
      <w:r>
        <w:rPr>
          <w:rFonts w:ascii="Times New Roman" w:cs="Times New Roman" w:eastAsia="Times New Roman" w:hAnsi="Times New Roman"/>
          <w:sz w:val="18"/>
          <w:szCs w:val="18"/>
          <w:color w:val="auto"/>
        </w:rPr>
        <w:t>We often face very limited supply of a critical raw material that can only be obtained from a single, or a limited number of, suppliers, which could cause production delays or clinical trial delays. For example, there are only a limited number of qualified suppliers, and in some cases single source suppliers, for the raw materials included in our PEGylation and advanced polymer conjugate drug formulations. As a result of the sale of the Facility, we are also dependent on Gannet BioChem for PEG reagents used in the manufacture of rezpegaldesleukin and NKTR-255. Any interruption in supply, diminution in quality of raw materials supplied to our CMOs or failure to procure such raw materials on commercially feasible terms or in the supply of PEG reagents could harm our business by delaying our clinical trials, impeding potential commercialization of drugs or increasing our costs.</w:t>
      </w:r>
    </w:p>
    <w:p>
      <w:pPr>
        <w:spacing w:after="0" w:line="129" w:lineRule="exact"/>
        <w:rPr>
          <w:sz w:val="20"/>
          <w:szCs w:val="20"/>
          <w:color w:val="auto"/>
        </w:rPr>
      </w:pPr>
    </w:p>
    <w:p>
      <w:pPr>
        <w:ind w:left="3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operations of our contract manufacturers are subject to laws and other governmental regulatory requirements, which, if not met, would have a material adverse effect on our business, results of operations and financial condition.</w:t>
      </w:r>
    </w:p>
    <w:p>
      <w:pPr>
        <w:spacing w:after="0" w:line="105" w:lineRule="exact"/>
        <w:rPr>
          <w:sz w:val="20"/>
          <w:szCs w:val="20"/>
          <w:color w:val="auto"/>
        </w:rPr>
      </w:pPr>
    </w:p>
    <w:p>
      <w:pPr>
        <w:ind w:right="160" w:firstLine="659"/>
        <w:spacing w:after="0" w:line="266" w:lineRule="auto"/>
        <w:rPr>
          <w:sz w:val="20"/>
          <w:szCs w:val="20"/>
          <w:color w:val="auto"/>
        </w:rPr>
      </w:pPr>
      <w:r>
        <w:rPr>
          <w:rFonts w:ascii="Times New Roman" w:cs="Times New Roman" w:eastAsia="Times New Roman" w:hAnsi="Times New Roman"/>
          <w:sz w:val="18"/>
          <w:szCs w:val="18"/>
          <w:color w:val="auto"/>
        </w:rPr>
        <w:t>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agencies in other jurisdictions administering such requirements. We anticipate periodic regulatory inspections of the manufacturing facilities of our CMOs for compliance with applicable regulatory requirements. Any failure of our CMOs to follow and document adherence to such cGMP and other laws and governmental regulations or satisfy other manufacturing and product release regulatory requirements may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our CMOs pending resolution of regulatory deficiencies or suspensions could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71"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the preclinical studies and clinical trials for our drug candidates and any failure of those parties to fulfill their obligations according to protocol standards could harm our development plans and adversely affect our business.</w:t>
      </w:r>
    </w:p>
    <w:p>
      <w:pPr>
        <w:spacing w:after="0" w:line="105" w:lineRule="exact"/>
        <w:rPr>
          <w:sz w:val="20"/>
          <w:szCs w:val="20"/>
          <w:color w:val="auto"/>
        </w:rPr>
      </w:pPr>
    </w:p>
    <w:p>
      <w:pPr>
        <w:ind w:firstLine="659"/>
        <w:spacing w:after="0" w:line="255" w:lineRule="auto"/>
        <w:rPr>
          <w:sz w:val="20"/>
          <w:szCs w:val="20"/>
          <w:color w:val="auto"/>
        </w:rPr>
      </w:pPr>
      <w:r>
        <w:rPr>
          <w:rFonts w:ascii="Times New Roman" w:cs="Times New Roman" w:eastAsia="Times New Roman" w:hAnsi="Times New Roman"/>
          <w:sz w:val="18"/>
          <w:szCs w:val="18"/>
          <w:color w:val="auto"/>
        </w:rPr>
        <w:t>We depend on our collaboration partners, independent clinical investigators, contract research organizations and other third-party service providers to conduct preclinical studies and clinical trials for our drug candidates, including to monitor, record, manage and analyze data generated from these studies. We rely heavily on these parties for the successful execution of our preclinical studies and clinical trials. Though we are ultimately responsible for the results of their activities, many aspects of their activities are beyond our control, such as the timing, conduct and management of data developed through these studies and trials.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such as good laboratory practice or good clinical practice, or our stated protocols or eligibility criteria and enrollment standards and any subsequent data generated may be deemed unacceptable. We rely on our collaboration partners and other third parties to manage, analyze and transmit clinical data, and those partners and third parties may not carry out the performance of their duties with the required degree of care or skill to ensure valid and scientifically reliable work products. The early termination of any of our clinical trial arrangements, the failure of third parties to comply with the regulations and requirements governing clinical trials, the failure of third parties to properly conduct our clinical trials, or erroneously reported data could hinder or delay the development, approval and commercialization of our product candidates and would adversely affect our business, results of operations and financial condition.</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proper management of our current and future business operations and their associated expenses.</w:t>
      </w:r>
    </w:p>
    <w:p>
      <w:pPr>
        <w:spacing w:after="0" w:line="175" w:lineRule="exact"/>
        <w:rPr>
          <w:sz w:val="20"/>
          <w:szCs w:val="20"/>
          <w:color w:val="auto"/>
        </w:rPr>
      </w:pPr>
    </w:p>
    <w:p>
      <w:pPr>
        <w:ind w:right="80" w:firstLine="659"/>
        <w:spacing w:after="0" w:line="255" w:lineRule="auto"/>
        <w:rPr>
          <w:sz w:val="20"/>
          <w:szCs w:val="20"/>
          <w:color w:val="auto"/>
        </w:rPr>
      </w:pPr>
      <w:r>
        <w:rPr>
          <w:rFonts w:ascii="Times New Roman" w:cs="Times New Roman" w:eastAsia="Times New Roman" w:hAnsi="Times New Roman"/>
          <w:sz w:val="18"/>
          <w:szCs w:val="18"/>
          <w:color w:val="auto"/>
        </w:rPr>
        <w:t>Our business strategy requires us to manage our business to provide for the continued development of our proprietary drug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8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105" w:lineRule="exact"/>
        <w:rPr>
          <w:sz w:val="20"/>
          <w:szCs w:val="20"/>
          <w:color w:val="auto"/>
        </w:rPr>
      </w:pPr>
    </w:p>
    <w:p>
      <w:pPr>
        <w:ind w:right="80" w:firstLine="659"/>
        <w:spacing w:after="0" w:line="254" w:lineRule="auto"/>
        <w:rPr>
          <w:sz w:val="20"/>
          <w:szCs w:val="20"/>
          <w:color w:val="auto"/>
        </w:rPr>
      </w:pPr>
      <w:r>
        <w:rPr>
          <w:rFonts w:ascii="Times New Roman" w:cs="Times New Roman" w:eastAsia="Times New Roman" w:hAnsi="Times New Roman"/>
          <w:sz w:val="18"/>
          <w:szCs w:val="18"/>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spacing w:after="0" w:line="130" w:lineRule="exact"/>
        <w:rPr>
          <w:sz w:val="20"/>
          <w:szCs w:val="20"/>
          <w:color w:val="auto"/>
        </w:rPr>
      </w:pPr>
    </w:p>
    <w:p>
      <w:pPr>
        <w:ind w:left="3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05" w:lineRule="exact"/>
        <w:rPr>
          <w:sz w:val="20"/>
          <w:szCs w:val="20"/>
          <w:color w:val="auto"/>
        </w:rPr>
      </w:pPr>
    </w:p>
    <w:p>
      <w:pPr>
        <w:ind w:right="100" w:firstLine="659"/>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Inflation has increased our operating costs and could negatively impact our operations.</w:t>
      </w:r>
    </w:p>
    <w:p>
      <w:pPr>
        <w:spacing w:after="0" w:line="175" w:lineRule="exact"/>
        <w:rPr>
          <w:sz w:val="20"/>
          <w:szCs w:val="20"/>
          <w:color w:val="auto"/>
        </w:rPr>
      </w:pPr>
    </w:p>
    <w:p>
      <w:pPr>
        <w:ind w:right="20" w:firstLine="659"/>
        <w:spacing w:after="0" w:line="261" w:lineRule="auto"/>
        <w:rPr>
          <w:sz w:val="20"/>
          <w:szCs w:val="20"/>
          <w:color w:val="auto"/>
        </w:rPr>
      </w:pPr>
      <w:r>
        <w:rPr>
          <w:rFonts w:ascii="Times New Roman" w:cs="Times New Roman" w:eastAsia="Times New Roman" w:hAnsi="Times New Roman"/>
          <w:sz w:val="18"/>
          <w:szCs w:val="18"/>
          <w:color w:val="auto"/>
        </w:rPr>
        <w:t>Increased price levels resulting from inflation have resulted in increased operating costs. In addition, the United States Federal Reserve has held interest rates at higher levels than in the past decade in response to concerns about inflation and the timing and extent of future reductions remain uncertain. Increases in or elevated interest rates, especially if coupled with reduced government spending and volatility in financial markets, may further increase economic uncertainty and heighten these risks.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future health epidemics.</w:t>
      </w:r>
    </w:p>
    <w:p>
      <w:pPr>
        <w:spacing w:after="0" w:line="175" w:lineRule="exact"/>
        <w:rPr>
          <w:sz w:val="20"/>
          <w:szCs w:val="20"/>
          <w:color w:val="auto"/>
        </w:rPr>
      </w:pPr>
    </w:p>
    <w:p>
      <w:pPr>
        <w:ind w:right="40" w:firstLine="659"/>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directly or indirectly, by health epidemics in regions where we have concentrations of clinical trial sites or other business operations, including the manufacturing operations of third parties upon whom we rely. Health epidemics can negatively affect our clinical trials and those run by our collaborators or other third parties through delays in investigator recruitment, clinical site initiation, patient screening, or patient enrollment. In addition, health epidemics may cause disruptions in our supply chain or shortages in raw materials and equipment, which would affect our ability to supply drug candidates for clinical trials.</w:t>
      </w:r>
    </w:p>
    <w:p>
      <w:pPr>
        <w:spacing w:after="0" w:line="129" w:lineRule="exact"/>
        <w:rPr>
          <w:sz w:val="20"/>
          <w:szCs w:val="20"/>
          <w:color w:val="auto"/>
        </w:rPr>
      </w:pPr>
    </w:p>
    <w:p>
      <w:pPr>
        <w:ind w:firstLine="659"/>
        <w:spacing w:after="0" w:line="258" w:lineRule="auto"/>
        <w:rPr>
          <w:sz w:val="20"/>
          <w:szCs w:val="20"/>
          <w:color w:val="auto"/>
        </w:rPr>
      </w:pPr>
      <w:r>
        <w:rPr>
          <w:rFonts w:ascii="Times New Roman" w:cs="Times New Roman" w:eastAsia="Times New Roman" w:hAnsi="Times New Roman"/>
          <w:sz w:val="18"/>
          <w:szCs w:val="18"/>
          <w:color w:val="auto"/>
        </w:rPr>
        <w:t>If the health epidemic is sufficiently severe and widespread, it may require us to change the way in which can conduct our business, which may negatively result in unexpected expenses, decreased employee productivity and availability and employee work culture. Further, a severe and widespread epidemic may have a broad impact on global financial markets and could reduce our ability to access capital, which could in the future negatively affect our liquidity. In addition, a recession or market correction resulting from a health epidemic could materially affect our business and the value of our common stock.</w:t>
      </w:r>
    </w:p>
    <w:p>
      <w:pPr>
        <w:spacing w:after="0" w:line="129" w:lineRule="exact"/>
        <w:rPr>
          <w:sz w:val="20"/>
          <w:szCs w:val="20"/>
          <w:color w:val="auto"/>
        </w:rPr>
      </w:pPr>
    </w:p>
    <w:p>
      <w:pPr>
        <w:ind w:right="300" w:firstLine="659"/>
        <w:spacing w:after="0" w:line="282" w:lineRule="auto"/>
        <w:rPr>
          <w:sz w:val="20"/>
          <w:szCs w:val="20"/>
          <w:color w:val="auto"/>
        </w:rPr>
      </w:pPr>
      <w:r>
        <w:rPr>
          <w:rFonts w:ascii="Times New Roman" w:cs="Times New Roman" w:eastAsia="Times New Roman" w:hAnsi="Times New Roman"/>
          <w:sz w:val="18"/>
          <w:szCs w:val="18"/>
          <w:color w:val="auto"/>
        </w:rPr>
        <w:t>The ultimate effects of health epidemics are uncertain and subject to change and these effects could have a negative impact on our clinical trial timelines, operations, financial condition and prospects.</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Litigation and Regulatory Concerns</w:t>
      </w:r>
    </w:p>
    <w:p>
      <w:pPr>
        <w:spacing w:after="0" w:line="171" w:lineRule="exact"/>
        <w:rPr>
          <w:sz w:val="20"/>
          <w:szCs w:val="20"/>
          <w:color w:val="auto"/>
        </w:rPr>
      </w:pPr>
    </w:p>
    <w:p>
      <w:pPr>
        <w:ind w:left="3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spacing w:after="0" w:line="105"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drug candidates could cause us or regulatory authorities to interrupt, delay or halt clinical trials and could result in a more restricted label or the delay or denial of regulatory approval by regulatory authorities.</w:t>
      </w:r>
    </w:p>
    <w:p>
      <w:pPr>
        <w:spacing w:after="0" w:line="80" w:lineRule="exact"/>
        <w:rPr>
          <w:sz w:val="20"/>
          <w:szCs w:val="20"/>
          <w:color w:val="auto"/>
        </w:rPr>
      </w:pPr>
    </w:p>
    <w:p>
      <w:pPr>
        <w:ind w:right="20" w:firstLine="659"/>
        <w:spacing w:after="0" w:line="256" w:lineRule="auto"/>
        <w:rPr>
          <w:sz w:val="20"/>
          <w:szCs w:val="20"/>
          <w:color w:val="auto"/>
        </w:rPr>
      </w:pPr>
      <w:r>
        <w:rPr>
          <w:rFonts w:ascii="Times New Roman" w:cs="Times New Roman" w:eastAsia="Times New Roman" w:hAnsi="Times New Roman"/>
          <w:sz w:val="18"/>
          <w:szCs w:val="18"/>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29" w:lineRule="exact"/>
        <w:rPr>
          <w:sz w:val="20"/>
          <w:szCs w:val="20"/>
          <w:color w:val="auto"/>
        </w:rPr>
      </w:pPr>
    </w:p>
    <w:p>
      <w:pPr>
        <w:ind w:left="38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Breakthrough Therapy or Fast Track designations or other designation for one or more of our drug candidates, but even if any such designation or status is granted, it may not lead to a faster development process or regulatory review and may not increase the likelihood that our drug candidates will receive marketing approval, and we may be unable to maintain any benefits associated with such designations or status, including market exclusivity.</w:t>
      </w:r>
    </w:p>
    <w:p>
      <w:pPr>
        <w:spacing w:after="0" w:line="72"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We have been awarded Fast Track designations for rezpegaldesleukin for two different treatments: one for the treatment of adult and pediatric patients 12 years of age and older with moderate-to-severe atopic dermatitis whose disease is not adequately controlled with topical prescription therapies or when those therapies are not advisable; and another for the treatment of severe alopecia areata in adult and pediatric patients 12 years of age and older who weigh at least 40 kg. We may continue to seek Breakthrough Therapy and Fast Track designations for our current or future drug candidates. Receipt of a designation to facilitate drug candidate development is within the discretion of the FDA. Accordingly, even if we believe one of our drug candidates meets the criteria for a designation, the FDA may disagree. In any event, the receipt of such a designation for our drug candidates may not result in a faster development process, review, or approval compared to drug candidates considered for approval under conventional FDA procedures and does not ensure ultimate marketing approval by the FDA. In addition, the FDA may later decide that the product candidates no longer meet the designation conditions.</w:t>
      </w:r>
    </w:p>
    <w:p>
      <w:pPr>
        <w:spacing w:after="0" w:line="84" w:lineRule="exact"/>
        <w:rPr>
          <w:sz w:val="20"/>
          <w:szCs w:val="20"/>
          <w:color w:val="auto"/>
        </w:rPr>
      </w:pPr>
    </w:p>
    <w:p>
      <w:pPr>
        <w:ind w:right="80" w:firstLine="65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We may not be able to obtain orphan drug designation for any indications for our drug candidates, and we may not be able to maintain such designations if granted.</w:t>
      </w:r>
    </w:p>
    <w:p>
      <w:pPr>
        <w:spacing w:after="0" w:line="68" w:lineRule="exact"/>
        <w:rPr>
          <w:sz w:val="20"/>
          <w:szCs w:val="20"/>
          <w:color w:val="auto"/>
        </w:rPr>
      </w:pPr>
    </w:p>
    <w:p>
      <w:pPr>
        <w:ind w:right="120" w:firstLine="659"/>
        <w:spacing w:after="0" w:line="256" w:lineRule="auto"/>
        <w:rPr>
          <w:sz w:val="20"/>
          <w:szCs w:val="20"/>
          <w:color w:val="auto"/>
        </w:rPr>
      </w:pPr>
      <w:r>
        <w:rPr>
          <w:rFonts w:ascii="Times New Roman" w:cs="Times New Roman" w:eastAsia="Times New Roman" w:hAnsi="Times New Roman"/>
          <w:sz w:val="18"/>
          <w:szCs w:val="18"/>
          <w:color w:val="auto"/>
        </w:rPr>
        <w:t>Generally, if a drug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approved use or indications for seven years. Even if we are able to obtain orphan drug designation or orphan drug exclusivity, that exclusivity may not effectively protect the product from competition because different drugs can be approved for the same approved use or condition. Even after an orphan drug is approved, the FDA can subsequently approve the same drug for the same approved use or condition if, among</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drug candidates, there is no guarantee that we will enjoy the benefits of such designations or exclusivity periods.</w:t>
      </w:r>
    </w:p>
    <w:p>
      <w:pPr>
        <w:spacing w:after="0" w:line="122" w:lineRule="exact"/>
        <w:rPr>
          <w:sz w:val="20"/>
          <w:szCs w:val="20"/>
          <w:color w:val="auto"/>
        </w:rPr>
      </w:pPr>
    </w:p>
    <w:p>
      <w:pPr>
        <w:ind w:left="38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121"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drug candidates, including adverse events of unanticipated severity or frequency, or with our third party manufacturers or manufacturing processes, or failure to comply with regulatory requirements, may result in, among other things:</w:t>
      </w:r>
    </w:p>
    <w:p>
      <w:pPr>
        <w:spacing w:after="0" w:line="136" w:lineRule="exact"/>
        <w:rPr>
          <w:sz w:val="20"/>
          <w:szCs w:val="20"/>
          <w:color w:val="auto"/>
        </w:rPr>
      </w:pPr>
    </w:p>
    <w:p>
      <w:pPr>
        <w:ind w:left="1260" w:right="680" w:hanging="503"/>
        <w:spacing w:after="0" w:line="282"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drug candidates, withdrawal of the product from the market or voluntary or mandatory product recalls;</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71"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71"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drug candidates; and</w:t>
      </w:r>
    </w:p>
    <w:p>
      <w:pPr>
        <w:spacing w:after="0" w:line="17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ind w:right="20" w:firstLine="659"/>
        <w:spacing w:after="0" w:line="256" w:lineRule="auto"/>
        <w:rPr>
          <w:sz w:val="20"/>
          <w:szCs w:val="20"/>
          <w:color w:val="auto"/>
        </w:rPr>
      </w:pPr>
      <w:r>
        <w:rPr>
          <w:rFonts w:ascii="Times New Roman" w:cs="Times New Roman" w:eastAsia="Times New Roman" w:hAnsi="Times New Roman"/>
          <w:sz w:val="18"/>
          <w:szCs w:val="18"/>
          <w:color w:val="auto"/>
        </w:rPr>
        <w:t>Further, 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drug candidates, if approved, we could become subject to significant liability, which would materially adversely affect our business and financial condition.</w:t>
      </w:r>
    </w:p>
    <w:p>
      <w:pPr>
        <w:spacing w:after="0" w:line="122" w:lineRule="exact"/>
        <w:rPr>
          <w:sz w:val="20"/>
          <w:szCs w:val="20"/>
          <w:color w:val="auto"/>
        </w:rPr>
      </w:pPr>
    </w:p>
    <w:p>
      <w:pPr>
        <w:ind w:right="20" w:firstLine="659"/>
        <w:spacing w:after="0" w:line="255"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31" w:lineRule="exact"/>
        <w:rPr>
          <w:sz w:val="20"/>
          <w:szCs w:val="20"/>
          <w:color w:val="auto"/>
        </w:rPr>
      </w:pPr>
    </w:p>
    <w:p>
      <w:pPr>
        <w:jc w:val="both"/>
        <w:ind w:left="3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105" w:lineRule="exact"/>
        <w:rPr>
          <w:sz w:val="20"/>
          <w:szCs w:val="20"/>
          <w:color w:val="auto"/>
        </w:rPr>
      </w:pPr>
    </w:p>
    <w:p>
      <w:pPr>
        <w:ind w:firstLine="659"/>
        <w:spacing w:after="0" w:line="282" w:lineRule="auto"/>
        <w:rPr>
          <w:sz w:val="20"/>
          <w:szCs w:val="20"/>
          <w:color w:val="auto"/>
        </w:rPr>
      </w:pPr>
      <w:r>
        <w:rPr>
          <w:rFonts w:ascii="Times New Roman" w:cs="Times New Roman" w:eastAsia="Times New Roman" w:hAnsi="Times New Roman"/>
          <w:sz w:val="18"/>
          <w:szCs w:val="18"/>
          <w:color w:val="auto"/>
        </w:rPr>
        <w:t>We have derived, and expect to derive in the foreseeable future, substantially all of our revenue from collaboration agreements with biotechnology and pharmaceutical companies. These collaboration agreements contain complex commercial terms, including:</w:t>
      </w:r>
    </w:p>
    <w:p>
      <w:pPr>
        <w:spacing w:after="0" w:line="108" w:lineRule="exact"/>
        <w:rPr>
          <w:sz w:val="20"/>
          <w:szCs w:val="20"/>
          <w:color w:val="auto"/>
        </w:rPr>
      </w:pPr>
    </w:p>
    <w:p>
      <w:pPr>
        <w:ind w:left="1260" w:right="120" w:hanging="503"/>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107" w:lineRule="exact"/>
        <w:rPr>
          <w:rFonts w:ascii="Times New Roman" w:cs="Times New Roman" w:eastAsia="Times New Roman" w:hAnsi="Times New Roman"/>
          <w:sz w:val="18"/>
          <w:szCs w:val="18"/>
          <w:color w:val="auto"/>
        </w:rPr>
      </w:pPr>
    </w:p>
    <w:p>
      <w:pPr>
        <w:ind w:left="1260" w:right="520" w:hanging="503"/>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performance and reimbursement obligations for our personnel and other resources allocated to partnered biologic candidate development programs;</w:t>
      </w:r>
    </w:p>
    <w:p>
      <w:pPr>
        <w:spacing w:after="0" w:line="107" w:lineRule="exact"/>
        <w:rPr>
          <w:rFonts w:ascii="Times New Roman" w:cs="Times New Roman" w:eastAsia="Times New Roman" w:hAnsi="Times New Roman"/>
          <w:sz w:val="18"/>
          <w:szCs w:val="18"/>
          <w:color w:val="auto"/>
        </w:rPr>
      </w:pPr>
    </w:p>
    <w:p>
      <w:pPr>
        <w:ind w:left="1260" w:right="240" w:hanging="503"/>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107" w:lineRule="exact"/>
        <w:rPr>
          <w:rFonts w:ascii="Times New Roman" w:cs="Times New Roman" w:eastAsia="Times New Roman" w:hAnsi="Times New Roman"/>
          <w:sz w:val="18"/>
          <w:szCs w:val="18"/>
          <w:color w:val="auto"/>
        </w:rPr>
      </w:pPr>
    </w:p>
    <w:p>
      <w:pPr>
        <w:ind w:left="1260" w:right="40" w:hanging="503"/>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allocation between us and our partners for improvements and new inventions developed during the course of the collaboration;</w:t>
      </w:r>
    </w:p>
    <w:p>
      <w:pPr>
        <w:spacing w:after="0" w:line="107" w:lineRule="exact"/>
        <w:rPr>
          <w:rFonts w:ascii="Times New Roman" w:cs="Times New Roman" w:eastAsia="Times New Roman" w:hAnsi="Times New Roman"/>
          <w:sz w:val="18"/>
          <w:szCs w:val="18"/>
          <w:color w:val="auto"/>
        </w:rPr>
      </w:pPr>
    </w:p>
    <w:p>
      <w:pPr>
        <w:ind w:left="1260" w:right="580" w:hanging="503"/>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on drug sales based on a number of complex variables, including net sales calculations, geography, scope of patent claim coverage, patent life, generic competitors, bundled pricing and other factors; and</w:t>
      </w:r>
    </w:p>
    <w:p>
      <w:pPr>
        <w:spacing w:after="0" w:line="10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obligations for intellectual property infringement, product liability and certain other claims.</w:t>
      </w:r>
    </w:p>
    <w:p>
      <w:pPr>
        <w:spacing w:after="0" w:line="117" w:lineRule="exact"/>
        <w:rPr>
          <w:sz w:val="20"/>
          <w:szCs w:val="20"/>
          <w:color w:val="auto"/>
        </w:rPr>
      </w:pPr>
    </w:p>
    <w:p>
      <w:pPr>
        <w:ind w:right="40" w:firstLine="659"/>
        <w:spacing w:after="0" w:line="266" w:lineRule="auto"/>
        <w:rPr>
          <w:sz w:val="20"/>
          <w:szCs w:val="20"/>
          <w:color w:val="auto"/>
        </w:rPr>
      </w:pPr>
      <w:r>
        <w:rPr>
          <w:rFonts w:ascii="Times New Roman" w:cs="Times New Roman" w:eastAsia="Times New Roman" w:hAnsi="Times New Roman"/>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pacing w:after="0" w:line="68" w:lineRule="exact"/>
        <w:rPr>
          <w:sz w:val="20"/>
          <w:szCs w:val="20"/>
          <w:color w:val="auto"/>
        </w:rPr>
      </w:pPr>
    </w:p>
    <w:p>
      <w:pPr>
        <w:ind w:right="120" w:firstLine="659"/>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 party license agreements that may ultimately result in costly litigation and unfavorable interpretation of contract terms, which would have a material adverse effect on our business, financial condition and results of operations.</w:t>
      </w:r>
    </w:p>
    <w:p>
      <w:pPr>
        <w:spacing w:after="0" w:line="1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intellectual property licenses related to the development of our drug candidates on a commercially reasonable basis, if at all.</w:t>
      </w:r>
    </w:p>
    <w:p>
      <w:pPr>
        <w:spacing w:after="0" w:line="105"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36" w:lineRule="exact"/>
        <w:rPr>
          <w:sz w:val="20"/>
          <w:szCs w:val="20"/>
          <w:color w:val="auto"/>
        </w:rPr>
      </w:pPr>
    </w:p>
    <w:p>
      <w:pPr>
        <w:ind w:left="38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pending patent applications do not issue, or are deemed invalid following issuance, we may lose valuable intellectual property protection.</w:t>
      </w:r>
    </w:p>
    <w:p>
      <w:pPr>
        <w:spacing w:after="0" w:line="105" w:lineRule="exact"/>
        <w:rPr>
          <w:sz w:val="20"/>
          <w:szCs w:val="20"/>
          <w:color w:val="auto"/>
        </w:rPr>
      </w:pPr>
    </w:p>
    <w:p>
      <w:pPr>
        <w:ind w:right="40" w:firstLine="659"/>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more than 140 U.S. and 650 foreign patents and have a number of pending patent applications that cover various aspects of our technologies. There can be no assurance that patents that have been issued will be held valid and enforceable in a court of law. Even for patents that are held valid and enforceable, the legal process associated with obtaining such a judgment is time consuming and costly. Additionally, issued patents can be subject to opposition, inter partes review, re-examinations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inter partes review and re-examinations, before the U.S. Patent and Trademark Office (or equivalent proceedings in other jurisdictions), which could result in a loss of the patent and/or substantial cost to us.</w:t>
      </w:r>
    </w:p>
    <w:p>
      <w:pPr>
        <w:spacing w:after="0" w:line="82" w:lineRule="exact"/>
        <w:rPr>
          <w:sz w:val="20"/>
          <w:szCs w:val="20"/>
          <w:color w:val="auto"/>
        </w:rPr>
      </w:pPr>
    </w:p>
    <w:p>
      <w:pPr>
        <w:ind w:right="60" w:firstLine="659"/>
        <w:spacing w:after="0" w:line="256" w:lineRule="auto"/>
        <w:rPr>
          <w:sz w:val="20"/>
          <w:szCs w:val="20"/>
          <w:color w:val="auto"/>
        </w:rPr>
      </w:pPr>
      <w:r>
        <w:rPr>
          <w:rFonts w:ascii="Times New Roman" w:cs="Times New Roman" w:eastAsia="Times New Roman" w:hAnsi="Times New Roman"/>
          <w:sz w:val="18"/>
          <w:szCs w:val="18"/>
          <w:color w:val="auto"/>
        </w:rPr>
        <w:t>We have filed patent applications covering our drug candidates, and plan to file additional patent applications as we deem appropriate.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79" w:lineRule="exact"/>
        <w:rPr>
          <w:sz w:val="20"/>
          <w:szCs w:val="20"/>
          <w:color w:val="auto"/>
        </w:rPr>
      </w:pPr>
    </w:p>
    <w:p>
      <w:pPr>
        <w:ind w:right="100" w:firstLine="659"/>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05" w:lineRule="exact"/>
        <w:rPr>
          <w:sz w:val="20"/>
          <w:szCs w:val="20"/>
          <w:color w:val="auto"/>
        </w:rPr>
      </w:pPr>
    </w:p>
    <w:p>
      <w:pPr>
        <w:ind w:right="60" w:firstLine="659"/>
        <w:spacing w:after="0" w:line="258" w:lineRule="auto"/>
        <w:rPr>
          <w:sz w:val="20"/>
          <w:szCs w:val="20"/>
          <w:color w:val="auto"/>
        </w:rPr>
      </w:pPr>
      <w:r>
        <w:rPr>
          <w:rFonts w:ascii="Times New Roman" w:cs="Times New Roman" w:eastAsia="Times New Roman" w:hAnsi="Times New Roman"/>
          <w:sz w:val="18"/>
          <w:szCs w:val="18"/>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175" w:lineRule="exact"/>
        <w:rPr>
          <w:sz w:val="20"/>
          <w:szCs w:val="20"/>
          <w:color w:val="auto"/>
        </w:rPr>
      </w:pPr>
    </w:p>
    <w:p>
      <w:pPr>
        <w:ind w:right="120" w:firstLine="659"/>
        <w:spacing w:after="0" w:line="256" w:lineRule="auto"/>
        <w:rPr>
          <w:sz w:val="20"/>
          <w:szCs w:val="20"/>
          <w:color w:val="auto"/>
        </w:rPr>
      </w:pPr>
      <w:r>
        <w:rPr>
          <w:rFonts w:ascii="Times New Roman" w:cs="Times New Roman" w:eastAsia="Times New Roman" w:hAnsi="Times New Roman"/>
          <w:sz w:val="18"/>
          <w:szCs w:val="18"/>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29" w:lineRule="exact"/>
        <w:rPr>
          <w:sz w:val="20"/>
          <w:szCs w:val="20"/>
          <w:color w:val="auto"/>
        </w:rPr>
      </w:pPr>
    </w:p>
    <w:p>
      <w:pPr>
        <w:ind w:left="3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05" w:lineRule="exact"/>
        <w:rPr>
          <w:sz w:val="20"/>
          <w:szCs w:val="20"/>
          <w:color w:val="auto"/>
        </w:rPr>
      </w:pPr>
    </w:p>
    <w:p>
      <w:pPr>
        <w:ind w:right="180" w:firstLine="659"/>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drug candidates, if approved, we will be subject to additional healthcare statutory and regulatory requirements and enforcement by the federal and state governments of the jurisdictions in which we conduct our business. Healthcare providers, physicians and third party payers play a primary role in the recommendation and prescription of any drug candidates for which we obtain marketing approval. Our current and future arrangements with third 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spacing w:after="0" w:line="135" w:lineRule="exact"/>
        <w:rPr>
          <w:sz w:val="20"/>
          <w:szCs w:val="20"/>
          <w:color w:val="auto"/>
        </w:rPr>
      </w:pPr>
    </w:p>
    <w:p>
      <w:pPr>
        <w:ind w:right="20" w:firstLine="659"/>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659"/>
        <w:spacing w:after="0" w:line="256"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Additional changes that may affect our business include those governing enrollment in federal healthcare programs, reimbursement changes, rules regarding prescription drug benefits under the health insurance exchanges and</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“Business – Government Regulation – Legislative and Regulatory Landscape” section in our Annual Report on Form 10-K for the year ended December 31, 2025.</w:t>
      </w:r>
    </w:p>
    <w:p>
      <w:pPr>
        <w:spacing w:after="0" w:line="129" w:lineRule="exact"/>
        <w:rPr>
          <w:sz w:val="20"/>
          <w:szCs w:val="20"/>
          <w:color w:val="auto"/>
        </w:rPr>
      </w:pPr>
    </w:p>
    <w:p>
      <w:pPr>
        <w:ind w:right="40" w:firstLine="659"/>
        <w:spacing w:after="0" w:line="282"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right="80" w:firstLine="659"/>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 party payors or other restrictions could harm our business, financial condition, results of operations and prospects. Recent CMS proposals, including the GLOBE, GUARD, and GENEROUS, could also materially impact our revenue.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36"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105" w:lineRule="exact"/>
        <w:rPr>
          <w:sz w:val="20"/>
          <w:szCs w:val="20"/>
          <w:color w:val="auto"/>
        </w:rPr>
      </w:pPr>
    </w:p>
    <w:p>
      <w:pPr>
        <w:ind w:right="140" w:firstLine="65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Average review times at the agency have fluctuated in recent years as a result. For example, in 2025, changes and cuts in FDA staffing have been reported as resulting in delays in the FDA’s responsiveness or in its ability to review IND submissions or marketing applications. In addition, government funding of other agencies on which our operations may rely is subject to the political process, which is inherently fluid and unpredictable.</w:t>
      </w:r>
    </w:p>
    <w:p>
      <w:pPr>
        <w:spacing w:after="0" w:line="129" w:lineRule="exact"/>
        <w:rPr>
          <w:sz w:val="20"/>
          <w:szCs w:val="20"/>
          <w:color w:val="auto"/>
        </w:rPr>
      </w:pPr>
    </w:p>
    <w:p>
      <w:pPr>
        <w:ind w:firstLine="659"/>
        <w:spacing w:after="0" w:line="273" w:lineRule="auto"/>
        <w:rPr>
          <w:sz w:val="20"/>
          <w:szCs w:val="20"/>
          <w:color w:val="auto"/>
        </w:rPr>
      </w:pPr>
      <w:r>
        <w:rPr>
          <w:rFonts w:ascii="Times New Roman" w:cs="Times New Roman" w:eastAsia="Times New Roman" w:hAnsi="Times New Roman"/>
          <w:sz w:val="17"/>
          <w:szCs w:val="17"/>
          <w:color w:val="auto"/>
        </w:rPr>
        <w:t>Over the last several years, the U.S. government has shut down several times, including from October 1, 2025 through November 12, 2025, and from January 31, 2025 through February 3, 2026. Government shutdowns, if prolonged, could significantly impact the ability of government agencies upon which we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105"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the technology we use or our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re-examination proceedings at the U.S. Patent and Trademark Office where third parties seek to invalidate or limit the scope of our allowed patent applications or issued patents covering (among other things) our drug candidates and technologies.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133" w:lineRule="exact"/>
        <w:rPr>
          <w:sz w:val="20"/>
          <w:szCs w:val="20"/>
          <w:color w:val="auto"/>
        </w:rPr>
      </w:pPr>
    </w:p>
    <w:p>
      <w:pPr>
        <w:ind w:right="240" w:firstLine="659"/>
        <w:spacing w:after="0" w:line="282" w:lineRule="auto"/>
        <w:rPr>
          <w:sz w:val="20"/>
          <w:szCs w:val="20"/>
          <w:color w:val="auto"/>
        </w:rPr>
      </w:pPr>
      <w:r>
        <w:rPr>
          <w:rFonts w:ascii="Times New Roman" w:cs="Times New Roman" w:eastAsia="Times New Roman" w:hAnsi="Times New Roman"/>
          <w:sz w:val="18"/>
          <w:szCs w:val="18"/>
          <w:color w:val="auto"/>
        </w:rPr>
        <w:t>From time to time, we may also be involved in legal proceedings other than those related to intellectual property, including securities actions or derivative actions or other complaints.</w:t>
      </w:r>
    </w:p>
    <w:p>
      <w:pPr>
        <w:spacing w:after="0" w:line="108" w:lineRule="exact"/>
        <w:rPr>
          <w:sz w:val="20"/>
          <w:szCs w:val="20"/>
          <w:color w:val="auto"/>
        </w:rPr>
      </w:pPr>
    </w:p>
    <w:p>
      <w:pPr>
        <w:ind w:right="20" w:firstLine="656"/>
        <w:spacing w:after="0" w:line="254" w:lineRule="auto"/>
        <w:rPr>
          <w:sz w:val="20"/>
          <w:szCs w:val="20"/>
          <w:color w:val="auto"/>
        </w:rPr>
      </w:pPr>
      <w:r>
        <w:rPr>
          <w:rFonts w:ascii="Times New Roman" w:cs="Times New Roman" w:eastAsia="Times New Roman" w:hAnsi="Times New Roman"/>
          <w:sz w:val="18"/>
          <w:szCs w:val="18"/>
          <w:color w:val="auto"/>
        </w:rPr>
        <w:t>On August 7, 2023, we filed a complaint in the United States District Court for the Northern District of California (the Court) against Eli Lilly and Company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filed a motion for summary judgment, which the Court denied in an order issued on March 18, 2026. Certain other pre-trial motions filed by both parties that remain pending before the Court. Following the shutdown of the federal government, on October 14, 2025, the Court postponed the previously calendared October 27, 2025, starting date of the jury trial. The Court has set a new jury trial date of September 8, 2026.</w:t>
      </w:r>
    </w:p>
    <w:p>
      <w:pPr>
        <w:spacing w:after="0" w:line="138" w:lineRule="exact"/>
        <w:rPr>
          <w:sz w:val="20"/>
          <w:szCs w:val="20"/>
          <w:color w:val="auto"/>
        </w:rPr>
      </w:pPr>
    </w:p>
    <w:p>
      <w:pPr>
        <w:ind w:right="60" w:firstLine="656"/>
        <w:spacing w:after="0" w:line="256" w:lineRule="auto"/>
        <w:rPr>
          <w:sz w:val="20"/>
          <w:szCs w:val="20"/>
          <w:color w:val="auto"/>
        </w:rPr>
      </w:pPr>
      <w:r>
        <w:rPr>
          <w:rFonts w:ascii="Times New Roman" w:cs="Times New Roman" w:eastAsia="Times New Roman" w:hAnsi="Times New Roman"/>
          <w:sz w:val="18"/>
          <w:szCs w:val="18"/>
          <w:color w:val="auto"/>
        </w:rPr>
        <w:t>On March 6, 2026, a putative class action complaint was filed in the U.S. District Court for the Northern District of California against the Company, our CEO, CFO and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26, 2025 through December 15, 2025, the defendants made misleading statements and/or failed to disclose material information regarding the REZOLVE-AA trial. The Company denies the claims, believes they are without merit, and intends to defend vigorously against this litigation.</w:t>
      </w:r>
    </w:p>
    <w:p>
      <w:pPr>
        <w:spacing w:after="0" w:line="133" w:lineRule="exact"/>
        <w:rPr>
          <w:sz w:val="20"/>
          <w:szCs w:val="20"/>
          <w:color w:val="auto"/>
        </w:rPr>
      </w:pPr>
    </w:p>
    <w:p>
      <w:pPr>
        <w:ind w:right="80" w:firstLine="659"/>
        <w:spacing w:after="0" w:line="258" w:lineRule="auto"/>
        <w:rPr>
          <w:sz w:val="20"/>
          <w:szCs w:val="20"/>
          <w:color w:val="auto"/>
        </w:rPr>
      </w:pPr>
      <w:r>
        <w:rPr>
          <w:rFonts w:ascii="Times New Roman" w:cs="Times New Roman" w:eastAsia="Times New Roman" w:hAnsi="Times New Roman"/>
          <w:sz w:val="18"/>
          <w:szCs w:val="18"/>
          <w:color w:val="auto"/>
        </w:rPr>
        <w:t>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w:t>
      </w:r>
    </w:p>
    <w:p>
      <w:pPr>
        <w:spacing w:after="0" w:line="129" w:lineRule="exact"/>
        <w:rPr>
          <w:sz w:val="20"/>
          <w:szCs w:val="20"/>
          <w:color w:val="auto"/>
        </w:rPr>
      </w:pPr>
    </w:p>
    <w:p>
      <w:pPr>
        <w:ind w:firstLine="659"/>
        <w:spacing w:after="0" w:line="266" w:lineRule="auto"/>
        <w:rPr>
          <w:sz w:val="20"/>
          <w:szCs w:val="20"/>
          <w:color w:val="auto"/>
        </w:rPr>
      </w:pPr>
      <w:r>
        <w:rPr>
          <w:rFonts w:ascii="Times New Roman" w:cs="Times New Roman" w:eastAsia="Times New Roman" w:hAnsi="Times New Roman"/>
          <w:sz w:val="18"/>
          <w:szCs w:val="18"/>
          <w:color w:val="auto"/>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monetary damages. We have recorded no liability for any litigation matters in our Condensed Consolidated Balance Sheets at March 31, 2026.</w:t>
      </w:r>
    </w:p>
    <w:p>
      <w:pPr>
        <w:spacing w:after="0" w:line="167"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actual or alleged (failure to comply with privacy and data protection laws, could subject us to fines, penalties, increased regulatory scrutiny, or suspension or exclusion from participation in government healthcare programs. Any of these outcomes could adversely affect our business, financial condition and results of operations.</w:t>
      </w:r>
    </w:p>
    <w:p>
      <w:pPr>
        <w:spacing w:after="0" w:line="121" w:lineRule="exact"/>
        <w:rPr>
          <w:sz w:val="20"/>
          <w:szCs w:val="20"/>
          <w:color w:val="auto"/>
        </w:rPr>
      </w:pPr>
    </w:p>
    <w:p>
      <w:pPr>
        <w:ind w:right="80" w:firstLine="659"/>
        <w:spacing w:after="0" w:line="256" w:lineRule="auto"/>
        <w:rPr>
          <w:sz w:val="20"/>
          <w:szCs w:val="20"/>
          <w:color w:val="auto"/>
        </w:rPr>
      </w:pPr>
      <w:r>
        <w:rPr>
          <w:rFonts w:ascii="Times New Roman" w:cs="Times New Roman" w:eastAsia="Times New Roman" w:hAnsi="Times New Roman"/>
          <w:sz w:val="18"/>
          <w:szCs w:val="18"/>
          <w:color w:val="auto"/>
        </w:rPr>
        <w:t>Our business is subject to many federal, state and foreign privacy and data protection laws and regulations governing the collection, use, disclosure and security of personal information, including information we collect from individuals participating in our clinical trials and our employees, among others. In the U.S., in addition to federal laws such as the HIPAA (as amended by HITECH) and Section 5 of the FTC Act, that may apply to our business, numerous states have passed comprehensive privacy laws relating to the privacy and security of personal information, including health information. Legal requirements often vary across jurisdictions in significant ways, complicating compliance efforts. The global data protection landscape continues to rapidly evolve, and implementation standards and enforcement practices are likely to remain uncertain for the foreseeable future.</w:t>
      </w:r>
    </w:p>
    <w:p>
      <w:pPr>
        <w:spacing w:after="0" w:line="79" w:lineRule="exact"/>
        <w:rPr>
          <w:sz w:val="20"/>
          <w:szCs w:val="20"/>
          <w:color w:val="auto"/>
        </w:rPr>
      </w:pPr>
    </w:p>
    <w:p>
      <w:pPr>
        <w:ind w:firstLine="704"/>
        <w:spacing w:after="0" w:line="253" w:lineRule="auto"/>
        <w:rPr>
          <w:sz w:val="20"/>
          <w:szCs w:val="20"/>
          <w:color w:val="auto"/>
        </w:rPr>
      </w:pPr>
      <w:r>
        <w:rPr>
          <w:rFonts w:ascii="Times New Roman" w:cs="Times New Roman" w:eastAsia="Times New Roman" w:hAnsi="Times New Roman"/>
          <w:sz w:val="18"/>
          <w:szCs w:val="18"/>
          <w:color w:val="auto"/>
        </w:rPr>
        <w:t>For example, the California Consumer Privacy Act (CCPA) grants California consumers expanded rights regarding their personal information, including the right to access, correct, delete, and limit the sharing, use and disclosure of personal information, and receive detailed information about how their personal information is used. The CCPA provides for civil penalties for violations, as well as a private right of action for certain data breaches that may increase the risk of data breach litigation and compliance costs. Similarly comprehensive state privacy laws have become effective in more than a dozen other U.S. states. In addition, certain states have passed laws specifically regulating consumer health information. For example, Washington’s My Health My Data Act (MHMDA) requires regulated entities to obtain consent to collect health information, grants consumers certain rights, including to request deletion, and provides for robust enforcement mechanisms, including a private right of action for consumer claims. At the federal level, the FTC has used its authority over “unfair or deceptive acts or practices” to impose stringent requirements on the collection and disclosure of sensitive categories of personal information, including health information, which may increase our potential liability and compliance costs and adversely affect our business. Moreover, the FTC’s expanded interpretation of a “breach” under its Health Breach Notification Rule could impose new disclosure obligations that would apply in the event of a qualifying breach.</w:t>
      </w:r>
    </w:p>
    <w:p>
      <w:pPr>
        <w:spacing w:after="0" w:line="84" w:lineRule="exact"/>
        <w:rPr>
          <w:sz w:val="20"/>
          <w:szCs w:val="20"/>
          <w:color w:val="auto"/>
        </w:rPr>
      </w:pPr>
    </w:p>
    <w:p>
      <w:pPr>
        <w:ind w:right="80" w:firstLine="659"/>
        <w:spacing w:after="0" w:line="253" w:lineRule="auto"/>
        <w:rPr>
          <w:sz w:val="20"/>
          <w:szCs w:val="20"/>
          <w:color w:val="auto"/>
        </w:rPr>
      </w:pPr>
      <w:r>
        <w:rPr>
          <w:rFonts w:ascii="Times New Roman" w:cs="Times New Roman" w:eastAsia="Times New Roman" w:hAnsi="Times New Roman"/>
          <w:sz w:val="18"/>
          <w:szCs w:val="18"/>
          <w:color w:val="auto"/>
        </w:rPr>
        <w:t>The European Regulation 2016/679, known as the General Data Protection Regulation (EU GDPR), the implementing legislation of EU Member States, which became effective on May 25, 2018, and the EU GDPR as incorporated into the laws of the United Kingdom (UK GDPR) (together with the EU GDPR, the GDPR) apply to the collection and processing of personal data, including health-related information, by companies located in the EU and UK, or in certain circumstances, by companies located outside of the EU or UK and processing personal information of individuals located in the EU or UK. The GDPR is wide-ranging in scope and imposes strict obligations on the ability to process personal data, including health-related information, in particular in relation to their collection, use, disclosure and transfer. These include several requirements relating to, for example, (i) ensuring a legal basis or condition applies to the processing of personal data and, in some situations where required, obtaining the consent of the individuals to whom the personal data relates, (ii) the information provided to the individuals about how their personal information is used, (iii) responding to data subject requests,</w:t>
      </w:r>
    </w:p>
    <w:p>
      <w:pPr>
        <w:spacing w:after="0" w:line="1" w:lineRule="exact"/>
        <w:rPr>
          <w:sz w:val="20"/>
          <w:szCs w:val="20"/>
          <w:color w:val="auto"/>
        </w:rPr>
      </w:pPr>
    </w:p>
    <w:p>
      <w:pPr>
        <w:ind w:right="60" w:firstLine="8"/>
        <w:spacing w:after="0" w:line="252" w:lineRule="auto"/>
        <w:tabs>
          <w:tab w:leader="none" w:pos="3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 party processors. The GDPR prohibits the transfer of personal data to countries outside of the European Economic Area (EEA) and UK, such as the United States, which are not considered by the European Commission to provide an adequate level of data protection. The GDPR also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80" w:lineRule="exact"/>
        <w:rPr>
          <w:sz w:val="20"/>
          <w:szCs w:val="20"/>
          <w:color w:val="auto"/>
        </w:rPr>
      </w:pPr>
    </w:p>
    <w:p>
      <w:pPr>
        <w:ind w:right="20" w:firstLine="659"/>
        <w:spacing w:after="0" w:line="266"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24, prohibits transfers</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of data, including health data, genetic data, and biospecimens, to countries of concern, including China. The rule also prohibits covered businesses from granting access to certain investment agreements, employment agreements and vendor agreements involving such data to countries of concern, absent specified cybersecurity controls. Actual or alleged violations of these regulations may be punishable by criminal and/or civil sanctions, may result in exclusion from participation in federal and state programs and may restrict our ability to use certain vendors, sites, investigators, or service providers in global clinical trials.</w:t>
      </w:r>
    </w:p>
    <w:p>
      <w:pPr>
        <w:spacing w:after="0" w:line="75" w:lineRule="exact"/>
        <w:rPr>
          <w:sz w:val="20"/>
          <w:szCs w:val="20"/>
          <w:color w:val="auto"/>
        </w:rPr>
      </w:pPr>
    </w:p>
    <w:p>
      <w:pPr>
        <w:ind w:right="20" w:firstLine="659"/>
        <w:spacing w:after="0" w:line="258" w:lineRule="auto"/>
        <w:rPr>
          <w:sz w:val="20"/>
          <w:szCs w:val="20"/>
          <w:color w:val="auto"/>
        </w:rPr>
      </w:pPr>
      <w:r>
        <w:rPr>
          <w:rFonts w:ascii="Times New Roman" w:cs="Times New Roman" w:eastAsia="Times New Roman" w:hAnsi="Times New Roman"/>
          <w:sz w:val="18"/>
          <w:szCs w:val="18"/>
          <w:color w:val="auto"/>
        </w:rPr>
        <w:t>Any actual or alleged failure to comply with data protection laws, including with respect to information relating to our employees and/or clinical patients, could result in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25" w:lineRule="exact"/>
        <w:rPr>
          <w:sz w:val="20"/>
          <w:szCs w:val="20"/>
          <w:color w:val="auto"/>
        </w:rPr>
      </w:pPr>
    </w:p>
    <w:p>
      <w:pPr>
        <w:ind w:left="3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Like many companies, we may use artificial intelligence (AI) technologies, including generative AI, which presents risks and challenges that can impact our business, including by posing cybersecurity risks to our confidential information, proprietary information, and personal data.</w:t>
      </w:r>
    </w:p>
    <w:p>
      <w:pPr>
        <w:spacing w:after="0" w:line="51" w:lineRule="exact"/>
        <w:rPr>
          <w:sz w:val="20"/>
          <w:szCs w:val="20"/>
          <w:color w:val="auto"/>
        </w:rPr>
      </w:pPr>
    </w:p>
    <w:p>
      <w:pPr>
        <w:ind w:right="80" w:firstLine="659"/>
        <w:spacing w:after="0" w:line="255" w:lineRule="auto"/>
        <w:rPr>
          <w:sz w:val="20"/>
          <w:szCs w:val="20"/>
          <w:color w:val="auto"/>
        </w:rPr>
      </w:pPr>
      <w:r>
        <w:rPr>
          <w:rFonts w:ascii="Times New Roman" w:cs="Times New Roman" w:eastAsia="Times New Roman" w:hAnsi="Times New Roman"/>
          <w:sz w:val="18"/>
          <w:szCs w:val="18"/>
          <w:color w:val="auto"/>
        </w:rPr>
        <w:t>We use AI technologies, including generative AI and commercially available tools, in the operation of our business. The use of new and evolving technologies, such as AI, may present risks and challenges that can adversely impact our business and reputation, including cybersecurity, data privacy, information technology, confidentiality, regulatory, legal, operational, competitive, intellectual property, and other risks. Specifically, risks related to accuracy, bias, AI hallucinations, discrimination, harmful content, misinformation, fraud, scams, targeted attacks (including model poisoning or data poisoning), surveillance, data leakage, bias and inequality, environmental and other harms may flow from our development or use of AI technologies.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w:t>
      </w:r>
    </w:p>
    <w:p>
      <w:pPr>
        <w:spacing w:after="0" w:line="81" w:lineRule="exact"/>
        <w:rPr>
          <w:sz w:val="20"/>
          <w:szCs w:val="20"/>
          <w:color w:val="auto"/>
        </w:rPr>
      </w:pPr>
    </w:p>
    <w:p>
      <w:pPr>
        <w:ind w:right="40" w:firstLine="659"/>
        <w:spacing w:after="0" w:line="254" w:lineRule="auto"/>
        <w:rPr>
          <w:sz w:val="20"/>
          <w:szCs w:val="20"/>
          <w:color w:val="auto"/>
        </w:rPr>
      </w:pPr>
      <w:r>
        <w:rPr>
          <w:rFonts w:ascii="Times New Roman" w:cs="Times New Roman" w:eastAsia="Times New Roman" w:hAnsi="Times New Roman"/>
          <w:sz w:val="18"/>
          <w:szCs w:val="18"/>
          <w:color w:val="auto"/>
        </w:rPr>
        <w:t>Government and supranational regulation related to AI is evolving as new laws and regulations are implemented globally and could significantly increase the burden and operational cost of compliance in this area, including through requirements related to transparency, accountability, risk management, human oversight, and data governance. We expect to see increasing regulation related to AI governance, use and ethics, which may also increase the burden and cost of research, development and compliance. For example, the EU’s Artificial Intelligence Act (AI Act) entered into force on August 1, 2024, with important sections scheduled to come into effect on August 2, 2026. As currently enacted, the AI Act imposes significant obligations on providers and deployers of high-risk AI systems and encourages providers and deployers of AI systems and general purpose AI models, and encourages providers and deployers of AI systems to account for EU ethical principles when developing and using AI technology. If we develop or deploy AI systems that are governed by the AI Act, we may be required to adopt higher standards of data quality, transparency and human oversight, and adhere to specific and potentially burdensome and costly ethical, accountability and administrative requirements.</w:t>
      </w:r>
    </w:p>
    <w:p>
      <w:pPr>
        <w:spacing w:after="0" w:line="80"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In the U.S., the regulatory environment for AI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AI, and legal norms and market standards regarding AI continue to evolve. The FDA, for example, issued draft guidance on the use of AI in regulatory decision-making for drug and biological products that centers on the context of use while establishing a credibility assessment framework for establishing and evaluating artificial intelligence model outputs intended to support regulatory decision-making. If we develop or use AI systems governed by such laws or regulations, including as informed by regulatory guidance, we will need to meet higher standards of data quality, transparency, monitoring and human oversight, and we would need to adhere to specific and potentially burdensome</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costly ethical, accountability, and administrative requirements, with the potential for significant enforcement or litigation in the event of any perceived non-compliance.</w:t>
      </w:r>
    </w:p>
    <w:p>
      <w:pPr>
        <w:spacing w:after="0" w:line="104"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05" w:lineRule="exact"/>
        <w:rPr>
          <w:sz w:val="20"/>
          <w:szCs w:val="20"/>
          <w:color w:val="auto"/>
        </w:rPr>
      </w:pPr>
    </w:p>
    <w:p>
      <w:pPr>
        <w:ind w:firstLine="659"/>
        <w:spacing w:after="0" w:line="256" w:lineRule="auto"/>
        <w:rPr>
          <w:sz w:val="20"/>
          <w:szCs w:val="20"/>
          <w:color w:val="auto"/>
        </w:rPr>
      </w:pPr>
      <w:r>
        <w:rPr>
          <w:rFonts w:ascii="Times New Roman" w:cs="Times New Roman" w:eastAsia="Times New Roman" w:hAnsi="Times New Roman"/>
          <w:sz w:val="18"/>
          <w:szCs w:val="18"/>
          <w:color w:val="auto"/>
        </w:rPr>
        <w:t>As a research-based biopharmaceutical company with significant research and development operations, we are subject to extensive environmental, health, and safety laws and regulations, including those governing the use of hazardous materials. Our research and development activities and those who conduct these activities on our behalf involve the controlled use of chemicals, radioactive compounds, and other hazardous materials. The cost of compliance with environmental, health, and safety regulations (including, but not limited to, the handling and disposal of both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Investment and Securities</w:t>
      </w:r>
    </w:p>
    <w:p>
      <w:pPr>
        <w:spacing w:after="0" w:line="171" w:lineRule="exact"/>
        <w:rPr>
          <w:sz w:val="20"/>
          <w:szCs w:val="20"/>
          <w:color w:val="auto"/>
        </w:rPr>
      </w:pPr>
    </w:p>
    <w:p>
      <w:pPr>
        <w:ind w:left="3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05" w:lineRule="exact"/>
        <w:rPr>
          <w:sz w:val="20"/>
          <w:szCs w:val="20"/>
          <w:color w:val="auto"/>
        </w:rPr>
      </w:pPr>
    </w:p>
    <w:p>
      <w:pPr>
        <w:ind w:right="140" w:firstLine="659"/>
        <w:spacing w:after="0" w:line="273" w:lineRule="auto"/>
        <w:rPr>
          <w:sz w:val="20"/>
          <w:szCs w:val="20"/>
          <w:color w:val="auto"/>
        </w:rPr>
      </w:pPr>
      <w:r>
        <w:rPr>
          <w:rFonts w:ascii="Times New Roman" w:cs="Times New Roman" w:eastAsia="Times New Roman" w:hAnsi="Times New Roman"/>
          <w:sz w:val="17"/>
          <w:szCs w:val="17"/>
          <w:color w:val="auto"/>
        </w:rPr>
        <w:t>Our stock price is volatile. During the three months ended March 31, 2026, based on closing prices on the NASDAQ Capital Market, the closing price of our common stock ranged from $35.12 to $75.06 per share.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spacing w:after="0" w:line="117" w:lineRule="exact"/>
        <w:rPr>
          <w:sz w:val="20"/>
          <w:szCs w:val="20"/>
          <w:color w:val="auto"/>
        </w:rPr>
      </w:pPr>
    </w:p>
    <w:p>
      <w:pPr>
        <w:ind w:left="760" w:right="12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and rezpegaldesleukin have had a significant impact on our stock price;</w:t>
      </w:r>
    </w:p>
    <w:p>
      <w:pPr>
        <w:spacing w:after="0" w:line="121"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outcomes from our clinical trials which can be difficult to predict particularly for clinical studies that have event-driven end points such as progression-free survival and overall survival;</w:t>
      </w:r>
    </w:p>
    <w:p>
      <w:pPr>
        <w:spacing w:after="0" w:line="10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collaboration partners as to their plans or expectations related to drug candidates and approved biologics in which we have a substantial economic interest;</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terminations or disputes under our collaboration agreements;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w:t>
      </w:r>
    </w:p>
    <w:p>
      <w:pPr>
        <w:spacing w:after="0" w:line="171"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10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therapeutic products that may compete with our approved partnered products or products under development;</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governmental regulation affecting us or our competitors;</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brought against us or third parties to whom we have indemnification obligations;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 formulations developed by us or others;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needs and activities;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impacts of rising inflation and interest rates and global geopolitical tensions.</w:t>
      </w:r>
    </w:p>
    <w:p>
      <w:pPr>
        <w:spacing w:after="0" w:line="117" w:lineRule="exact"/>
        <w:rPr>
          <w:sz w:val="20"/>
          <w:szCs w:val="20"/>
          <w:color w:val="auto"/>
        </w:rPr>
      </w:pPr>
    </w:p>
    <w:p>
      <w:pPr>
        <w:ind w:right="80" w:firstLine="659"/>
        <w:spacing w:after="0" w:line="282" w:lineRule="auto"/>
        <w:rPr>
          <w:sz w:val="20"/>
          <w:szCs w:val="20"/>
          <w:color w:val="auto"/>
        </w:rPr>
      </w:pPr>
      <w:r>
        <w:rPr>
          <w:rFonts w:ascii="Times New Roman" w:cs="Times New Roman" w:eastAsia="Times New Roman" w:hAnsi="Times New Roman"/>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104" w:lineRule="exact"/>
        <w:rPr>
          <w:sz w:val="20"/>
          <w:szCs w:val="20"/>
          <w:color w:val="auto"/>
        </w:rPr>
      </w:pPr>
    </w:p>
    <w:p>
      <w:pPr>
        <w:ind w:left="380" w:right="74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105" w:lineRule="exact"/>
        <w:rPr>
          <w:sz w:val="20"/>
          <w:szCs w:val="20"/>
          <w:color w:val="auto"/>
        </w:rPr>
      </w:pPr>
    </w:p>
    <w:p>
      <w:pPr>
        <w:ind w:right="180" w:firstLine="659"/>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108"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such that not all members of the board may be elected at one time;</w:t>
      </w:r>
    </w:p>
    <w:p>
      <w:pPr>
        <w:spacing w:after="0" w:line="17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provision for cumulative voting in the election of directors, which would otherwise allow less than a majority of stockholders to elect director candidates;</w:t>
      </w:r>
    </w:p>
    <w:p>
      <w:pPr>
        <w:spacing w:after="0" w:line="10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“blank check” preferred stock to increase the number of outstanding shares and thwart a takeover attempt;</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stockholder action by written consent, thereby requiring all stockholder actions to be taken at a meeting of stockholders;</w:t>
      </w:r>
    </w:p>
    <w:p>
      <w:pPr>
        <w:spacing w:after="0" w:line="171"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nominations for election to the board of directors or for proposing matters that can be acted upon by stockholders at stockholder meetings; and</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a special meeting of stockholders.</w:t>
      </w:r>
    </w:p>
    <w:p>
      <w:pPr>
        <w:spacing w:after="0" w:line="117" w:lineRule="exact"/>
        <w:rPr>
          <w:sz w:val="20"/>
          <w:szCs w:val="20"/>
          <w:color w:val="auto"/>
        </w:rPr>
      </w:pPr>
    </w:p>
    <w:p>
      <w:pPr>
        <w:ind w:firstLine="659"/>
        <w:spacing w:after="0" w:line="256" w:lineRule="auto"/>
        <w:rPr>
          <w:sz w:val="20"/>
          <w:szCs w:val="20"/>
          <w:color w:val="auto"/>
        </w:rPr>
      </w:pPr>
      <w:r>
        <w:rPr>
          <w:rFonts w:ascii="Times New Roman" w:cs="Times New Roman" w:eastAsia="Times New Roman" w:hAnsi="Times New Roman"/>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8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information technology systems and infrastructure, and any failure, inadequacy, damage, interruption, compromise, incident or breach, or security lapse of that technology within our internal computer systems and infrastructure, or those of our partners, vendors, CROs, CMOs or other contractors or consultants, may result in a material disruption of our development programs and our operations and financial condition.</w:t>
      </w:r>
    </w:p>
    <w:p>
      <w:pPr>
        <w:spacing w:after="0" w:line="126" w:lineRule="exact"/>
        <w:rPr>
          <w:sz w:val="20"/>
          <w:szCs w:val="20"/>
          <w:color w:val="auto"/>
        </w:rPr>
      </w:pPr>
    </w:p>
    <w:p>
      <w:pPr>
        <w:ind w:right="340" w:firstLine="659"/>
        <w:spacing w:after="0" w:line="266"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or other sensitive information, including intellectual property and personal data. Despite the implementation of security measures, our internal computer systems and infrastructure or those of our partners, vendors, contract research organizations (CROs), contract</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manufacturing organizations (CMOs) and other contractors and consultants are vulnerable to loss, damage, compromise, interruption, denial-of-service, unauthorized access, or misappropriation.</w:t>
      </w:r>
    </w:p>
    <w:p>
      <w:pPr>
        <w:spacing w:after="0" w:line="108" w:lineRule="exact"/>
        <w:rPr>
          <w:sz w:val="20"/>
          <w:szCs w:val="20"/>
          <w:color w:val="auto"/>
        </w:rPr>
      </w:pPr>
    </w:p>
    <w:p>
      <w:pPr>
        <w:ind w:firstLine="65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threats and cybersecurity incidents relating to our information technology systems and infrastructure. Cybersecurity incidents and data breaches have been increasing in frequency, levels of persistence, sophistication and intensity, and can include unauthorized activity by our employees, contractors and other third parties, as well as by third parties who use cyberattack techniques involving malware, ransomware, hacking and social engineering fraud (including phishing attacks) and business email compromises, among others. Additionally, the risk of data breaches, cybersecurity incidents, cyber-attacks or other security events may be heightened as a result of new technologies, including artificial intelligence, and an increase in the number of employees who adopted a remote working environment, which may be less secure and more susceptible to hacking attacks or other security compromises or breaches. Our information technology systems and infrastructure, and those of our partners, vendors, CROs, CMOs or other contractors or consultants are also vulnerable to intentional or inadvertent wrongful conduct by employees and vendors, natural disasters, terrorism, war, telecommunication and electrical failures and the types of interruption, compromise and damage described above. Any such compromise or disruption, no matter the origin, may cause an interruption of our operations. For instance, the loss or misappropriation of preclinical data or data from any clinical trial involving our drug candidates could result in delays in our development and regulatory filing efforts and significantly increase our costs. In addition, the loss, corruption or unauthorized disclosure or misuse of our trade secrets, personal data or other confidential and/or proprietary or sensitive information could compromise the commercial viability of one or more of our programs, which would negatively affect our business. Also, the costs to us to investigate, mitigate and remediate cybersecurity incidents or compromises and comply with applicable legal obligations, including breach notification obligations to individuals, regulators, partners and others, could be significant and our reputation could be materially damaged. We could also be exposed to litigation or regulatory investigations or actions by state and federal governmental authorities and non-U.S. authorities, including fines, penalties, and other legal and financial exposure and liabilities.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75" w:lineRule="exact"/>
        <w:rPr>
          <w:sz w:val="20"/>
          <w:szCs w:val="20"/>
          <w:color w:val="auto"/>
        </w:rPr>
      </w:pPr>
    </w:p>
    <w:p>
      <w:pPr>
        <w:ind w:right="60" w:firstLine="659"/>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may negatively affect us and may magnify certain risks that affect our business.</w:t>
      </w:r>
    </w:p>
    <w:p>
      <w:pPr>
        <w:spacing w:after="0" w:line="175" w:lineRule="exact"/>
        <w:rPr>
          <w:sz w:val="20"/>
          <w:szCs w:val="20"/>
          <w:color w:val="auto"/>
        </w:rPr>
      </w:pPr>
    </w:p>
    <w:p>
      <w:pPr>
        <w:ind w:right="60" w:firstLine="659"/>
        <w:spacing w:after="0" w:line="254" w:lineRule="auto"/>
        <w:rPr>
          <w:sz w:val="20"/>
          <w:szCs w:val="20"/>
          <w:color w:val="auto"/>
        </w:rPr>
      </w:pPr>
      <w:r>
        <w:rPr>
          <w:rFonts w:ascii="Times New Roman" w:cs="Times New Roman" w:eastAsia="Times New Roman" w:hAnsi="Times New Roman"/>
          <w:sz w:val="18"/>
          <w:szCs w:val="18"/>
          <w:color w:val="auto"/>
        </w:rPr>
        <w:t>Our operations and performance may be affected by global economic and political conditions. The global economy has recently experienced volatility and disruptions. Adverse macroeconomic conditions, including inflation, economic recession, volatility in the financial markets, supply chain shortages, changes to fiscal and monetary policy or government budget dynamics, promulgations of new executive orders under the Trump administration, and other challenges in the global economy may adversely affect our business and those of our partners. Our operations and performance (or the operations and performance of our partners and service providers) may be negatively affected by war, political or civil unrest or military action, terrorist activity, and unstable governments and legal systems. Sanctions imposed by the U.S., EU and other countries in response to the conflict between Russia and Ukraine and the potential response to such sanctions may have an adverse impact on our business, including our clinical trials, the financial markets and the global economy. Conflicts in Israel, Gaza, Iran and the Middle East may lead to</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sanctions, retaliatory attacks, market volatility and uncertainty, any of which could have a material adverse effect on our business.</w:t>
      </w:r>
    </w:p>
    <w:p>
      <w:pPr>
        <w:spacing w:after="0" w:line="117" w:lineRule="exact"/>
        <w:rPr>
          <w:sz w:val="20"/>
          <w:szCs w:val="20"/>
          <w:color w:val="auto"/>
        </w:rPr>
      </w:pPr>
    </w:p>
    <w:p>
      <w:pPr>
        <w:ind w:right="20" w:firstLine="659"/>
        <w:spacing w:after="0" w:line="256" w:lineRule="auto"/>
        <w:rPr>
          <w:sz w:val="20"/>
          <w:szCs w:val="20"/>
          <w:color w:val="auto"/>
        </w:rPr>
      </w:pPr>
      <w:r>
        <w:rPr>
          <w:rFonts w:ascii="Times New Roman" w:cs="Times New Roman" w:eastAsia="Times New Roman" w:hAnsi="Times New Roman"/>
          <w:sz w:val="18"/>
          <w:szCs w:val="18"/>
          <w:color w:val="auto"/>
        </w:rPr>
        <w:t>As a result of global economic and political conditions, some third 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79" w:lineRule="exact"/>
        <w:rPr>
          <w:sz w:val="20"/>
          <w:szCs w:val="20"/>
          <w:color w:val="auto"/>
        </w:rPr>
      </w:pPr>
    </w:p>
    <w:p>
      <w:pPr>
        <w:ind w:right="40" w:firstLine="659"/>
        <w:spacing w:after="0" w:line="254" w:lineRule="auto"/>
        <w:rPr>
          <w:sz w:val="20"/>
          <w:szCs w:val="20"/>
          <w:color w:val="auto"/>
        </w:rPr>
      </w:pPr>
      <w:r>
        <w:rPr>
          <w:rFonts w:ascii="Times New Roman" w:cs="Times New Roman" w:eastAsia="Times New Roman" w:hAnsi="Times New Roman"/>
          <w:sz w:val="18"/>
          <w:szCs w:val="18"/>
          <w:color w:val="auto"/>
        </w:rPr>
        <w:t>Further, with rising international trade tensions or sanctions, our business may be adversely affected following new or increased tariffs. On April 2, 2025, the United States announced a 10% tariff on all foreign goods and individualized higher reciprocal tariffs on goods imported from certain countries. On April 9, 2025, the Trump administration announced a pause on the individualized reciprocal tariffs on all countries, except for China, for 90 days. On July 7, 2025, two days before the expiration of the announced pause, the President signed an executive order that certain tariff rates would expire on August 1, 2025. Tariffs could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w:t>
      </w:r>
    </w:p>
    <w:p>
      <w:pPr>
        <w:spacing w:after="0" w:line="175" w:lineRule="exact"/>
        <w:rPr>
          <w:sz w:val="20"/>
          <w:szCs w:val="20"/>
          <w:color w:val="auto"/>
        </w:rPr>
      </w:pPr>
    </w:p>
    <w:p>
      <w:pPr>
        <w:ind w:right="100" w:firstLine="659"/>
        <w:spacing w:after="0" w:line="261" w:lineRule="auto"/>
        <w:rPr>
          <w:sz w:val="20"/>
          <w:szCs w:val="20"/>
          <w:color w:val="auto"/>
        </w:rPr>
      </w:pPr>
      <w:r>
        <w:rPr>
          <w:rFonts w:ascii="Times New Roman" w:cs="Times New Roman" w:eastAsia="Times New Roman" w:hAnsi="Times New Roman"/>
          <w:sz w:val="18"/>
          <w:szCs w:val="18"/>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natural disasters or other catastrophic events strike, our business may be harmed.</w:t>
      </w:r>
    </w:p>
    <w:p>
      <w:pPr>
        <w:spacing w:after="0" w:line="175"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Our corporate headquarters, where the majority of our operations are based, are located in the San Francisco Bay Area, a region known for seismic activity and a potential terrorist target. In the event of an earthquake or other natural disaster, catastrophic event caused by climate change, political instability, civil unrest, or terrorist event in the region, our business operations would be significantly disrupted and our financial condition would be harmed. Our collaboration partners and important vendors and suppliers to us or our collaboration partners may also be subject to catastrophic events, such as earthquakes, floods, wild fires,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1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5" w:lineRule="exact"/>
        <w:rPr>
          <w:sz w:val="20"/>
          <w:szCs w:val="20"/>
          <w:color w:val="auto"/>
        </w:rPr>
      </w:pPr>
    </w:p>
    <w:p>
      <w:pPr>
        <w:ind w:right="20" w:firstLine="656"/>
        <w:spacing w:after="0" w:line="282" w:lineRule="auto"/>
        <w:rPr>
          <w:sz w:val="20"/>
          <w:szCs w:val="20"/>
          <w:color w:val="auto"/>
        </w:rPr>
      </w:pPr>
      <w:r>
        <w:rPr>
          <w:rFonts w:ascii="Times New Roman" w:cs="Times New Roman" w:eastAsia="Times New Roman" w:hAnsi="Times New Roman"/>
          <w:sz w:val="18"/>
          <w:szCs w:val="18"/>
          <w:color w:val="auto"/>
        </w:rPr>
        <w:t>None, including no purchases of any class of our equity securities by us or any affiliate pursuant to any publicly announced repurchase plan in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Director and Section 16 Officer Trading Arrangements and Policies</w:t>
      </w:r>
    </w:p>
    <w:p>
      <w:pPr>
        <w:spacing w:after="0" w:line="175" w:lineRule="exact"/>
        <w:rPr>
          <w:sz w:val="20"/>
          <w:szCs w:val="20"/>
          <w:color w:val="auto"/>
        </w:rPr>
      </w:pPr>
    </w:p>
    <w:p>
      <w:pPr>
        <w:ind w:firstLine="659"/>
        <w:spacing w:after="0" w:line="261" w:lineRule="auto"/>
        <w:rPr>
          <w:sz w:val="20"/>
          <w:szCs w:val="20"/>
          <w:color w:val="auto"/>
        </w:rPr>
      </w:pPr>
      <w:r>
        <w:rPr>
          <w:rFonts w:ascii="Times New Roman" w:cs="Times New Roman" w:eastAsia="Times New Roman" w:hAnsi="Times New Roman"/>
          <w:sz w:val="18"/>
          <w:szCs w:val="18"/>
          <w:color w:val="auto"/>
        </w:rPr>
        <w:t>Howard W. Robin, our President and Chief Executive Officer, entered into a pre-arranged stock trading plan intended to satisfy the affirmative defense of Rule10b5-1(c) under the Exchange Act on March 13, 2026. Mr. Robin’s trading plan provides for the sale of up to an aggregate 20,000 shares of the Company’s common stock (comprised of previously vested restricted stock), which plan has a duration of the earlier of March 19, 2027, or such date upon which all transactions are completed or expire without execution.</w:t>
      </w:r>
    </w:p>
    <w:p>
      <w:pPr>
        <w:spacing w:after="0" w:line="126" w:lineRule="exact"/>
        <w:rPr>
          <w:sz w:val="20"/>
          <w:szCs w:val="20"/>
          <w:color w:val="auto"/>
        </w:rPr>
      </w:pPr>
    </w:p>
    <w:p>
      <w:pPr>
        <w:ind w:right="120" w:firstLine="704"/>
        <w:spacing w:after="0" w:line="261" w:lineRule="auto"/>
        <w:rPr>
          <w:sz w:val="20"/>
          <w:szCs w:val="20"/>
          <w:color w:val="auto"/>
        </w:rPr>
      </w:pPr>
      <w:r>
        <w:rPr>
          <w:rFonts w:ascii="Times New Roman" w:cs="Times New Roman" w:eastAsia="Times New Roman" w:hAnsi="Times New Roman"/>
          <w:sz w:val="18"/>
          <w:szCs w:val="18"/>
          <w:color w:val="auto"/>
        </w:rPr>
        <w:t>Jonathan Zalevsky, Ph.D., our Chief Research and Development Officer, previously entered into a pre-arranged stock trading plan intended to satisfy the affirmative defense of Rule10b5-1(c) under the Exchange Act on May 16, 2025, which provided for the sale of up to an aggregate 6,073 shares of the Company’s common stock (comprised of previously vested restricted stock units and exercised stock options). The plan terminated on January 20, 2026 upon completion of all transactions thereunder.</w:t>
      </w:r>
    </w:p>
    <w:p>
      <w:pPr>
        <w:spacing w:after="0" w:line="126" w:lineRule="exact"/>
        <w:rPr>
          <w:sz w:val="20"/>
          <w:szCs w:val="20"/>
          <w:color w:val="auto"/>
        </w:rPr>
      </w:pPr>
    </w:p>
    <w:p>
      <w:pPr>
        <w:ind w:right="60" w:firstLine="659"/>
        <w:spacing w:after="0" w:line="261" w:lineRule="auto"/>
        <w:rPr>
          <w:sz w:val="20"/>
          <w:szCs w:val="20"/>
          <w:color w:val="auto"/>
        </w:rPr>
      </w:pPr>
      <w:r>
        <w:rPr>
          <w:rFonts w:ascii="Times New Roman" w:cs="Times New Roman" w:eastAsia="Times New Roman" w:hAnsi="Times New Roman"/>
          <w:sz w:val="18"/>
          <w:szCs w:val="18"/>
          <w:color w:val="auto"/>
        </w:rPr>
        <w:t>Dr. Zalevsky also entered into a pre-arranged stock trading plan intended to satisfy the affirmative defense of Rule10b5-1(c) under the Exchange Act on March 13, 2026. Dr. Zalevksy’s trading plan provides for the sale of up to an aggregate 11,219 shares of the Company’s common stock (comprised of previously vested restricted stock units), which plan has a duration of the earlier of April 15, 2027, or such date upon which all transactions are completed or expire without execution.</w:t>
      </w:r>
    </w:p>
    <w:p>
      <w:pPr>
        <w:spacing w:after="0" w:line="126" w:lineRule="exact"/>
        <w:rPr>
          <w:sz w:val="20"/>
          <w:szCs w:val="20"/>
          <w:color w:val="auto"/>
        </w:rPr>
      </w:pPr>
    </w:p>
    <w:p>
      <w:pPr>
        <w:ind w:right="260" w:firstLine="704"/>
        <w:spacing w:after="0" w:line="282" w:lineRule="auto"/>
        <w:rPr>
          <w:sz w:val="20"/>
          <w:szCs w:val="20"/>
          <w:color w:val="auto"/>
        </w:rPr>
      </w:pPr>
      <w:r>
        <w:rPr>
          <w:rFonts w:ascii="Times New Roman" w:cs="Times New Roman" w:eastAsia="Times New Roman" w:hAnsi="Times New Roman"/>
          <w:sz w:val="18"/>
          <w:szCs w:val="18"/>
          <w:color w:val="auto"/>
        </w:rPr>
        <w:t>In the fiscal quarter ended March 31, 2026, no other directors or Section 16 officers of the Company adopted, modified, or terminated a “Rule 10b5-1 trading arrangement” or a “non-Rule 10b5-1 trading arrangement” as each term is defined in Item 408 of Regulation S-K.</w:t>
      </w: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Except as so indicated in Exhibit 32.1, the following exhibits are filed as part of, or incorporated by reference into, this Quarterly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268" w:lineRule="exact"/>
        <w:rPr>
          <w:sz w:val="20"/>
          <w:szCs w:val="20"/>
          <w:color w:val="auto"/>
        </w:rPr>
      </w:pPr>
    </w:p>
    <w:p>
      <w:pPr>
        <w:ind w:left="120"/>
        <w:spacing w:after="0"/>
        <w:tabs>
          <w:tab w:leader="none" w:pos="53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Certificate of Incorporation of Inhale Therapeutic Systems (Delaware), Inc.</w:t>
              </w:r>
            </w:hyperlink>
          </w:p>
        </w:tc>
        <w:tc>
          <w:tcPr>
            <w:tcW w:w="4080" w:type="dxa"/>
            <w:vAlign w:val="bottom"/>
            <w:gridSpan w:val="6"/>
          </w:tcPr>
          <w:p>
            <w:pPr>
              <w:spacing w:after="0"/>
              <w:rPr>
                <w:sz w:val="17"/>
                <w:szCs w:val="17"/>
                <w:color w:val="auto"/>
              </w:rPr>
            </w:pPr>
          </w:p>
        </w:tc>
      </w:tr>
      <w:tr>
        <w:trPr>
          <w:trHeight w:val="53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Certificate of Amendment of the Amended Certificate of Incorporation of Inhale Therapeutic Systems, Inc.</w:t>
              </w:r>
            </w:hyperlink>
          </w:p>
        </w:tc>
        <w:tc>
          <w:tcPr>
            <w:tcW w:w="1800" w:type="dxa"/>
            <w:vAlign w:val="bottom"/>
            <w:gridSpan w:val="4"/>
          </w:tcPr>
          <w:p>
            <w:pPr>
              <w:spacing w:after="0"/>
              <w:rPr>
                <w:sz w:val="24"/>
                <w:szCs w:val="24"/>
                <w:color w:val="auto"/>
              </w:rPr>
            </w:pPr>
          </w:p>
        </w:tc>
      </w:tr>
      <w:tr>
        <w:trPr>
          <w:trHeight w:val="53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3.3(3)</w:t>
            </w:r>
          </w:p>
        </w:tc>
        <w:tc>
          <w:tcPr>
            <w:tcW w:w="4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Certificate of Ownership and Merger of Nektar Therapeutics.</w:t>
              </w:r>
            </w:hyperlink>
          </w:p>
        </w:tc>
        <w:tc>
          <w:tcPr>
            <w:tcW w:w="5100" w:type="dxa"/>
            <w:vAlign w:val="bottom"/>
            <w:gridSpan w:val="7"/>
          </w:tcPr>
          <w:p>
            <w:pPr>
              <w:spacing w:after="0"/>
              <w:rPr>
                <w:sz w:val="24"/>
                <w:szCs w:val="24"/>
                <w:color w:val="auto"/>
              </w:rPr>
            </w:pPr>
          </w:p>
        </w:tc>
      </w:tr>
      <w:tr>
        <w:trPr>
          <w:trHeight w:val="53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3.4(4)</w:t>
            </w:r>
          </w:p>
        </w:tc>
        <w:tc>
          <w:tcPr>
            <w:tcW w:w="9520" w:type="dxa"/>
            <w:vAlign w:val="bottom"/>
            <w:gridSpan w:val="1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Certificate of Ownership and Merger of Nektar Therapeutics AL, Corporation with and into Nektar Therapeutics.</w:t>
              </w:r>
            </w:hyperlink>
          </w:p>
        </w:tc>
      </w:tr>
      <w:tr>
        <w:trPr>
          <w:trHeight w:val="66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3.5(5)</w:t>
            </w:r>
          </w:p>
        </w:tc>
        <w:tc>
          <w:tcPr>
            <w:tcW w:w="816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Certificate of Amendment to the Amended Certificate of Incorporation of Nektar Therapeutics</w:t>
              </w:r>
            </w:hyperlink>
          </w:p>
        </w:tc>
        <w:tc>
          <w:tcPr>
            <w:tcW w:w="13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EE"/>
            </w:tcBorders>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60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3.6(6)</w:t>
            </w:r>
          </w:p>
        </w:tc>
        <w:tc>
          <w:tcPr>
            <w:tcW w:w="9520" w:type="dxa"/>
            <w:vAlign w:val="bottom"/>
            <w:gridSpan w:val="1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Certificate of Amendment to the Amended Certificate of Incorporation of Nektar Therapeutics</w:t>
              </w:r>
            </w:hyperlink>
          </w:p>
        </w:tc>
      </w:tr>
      <w:tr>
        <w:trPr>
          <w:trHeight w:val="60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3.5(7)</w:t>
            </w:r>
          </w:p>
        </w:tc>
        <w:tc>
          <w:tcPr>
            <w:tcW w:w="682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Bylaws of Nektar Therapeutics.</w:t>
              </w:r>
            </w:hyperlink>
          </w:p>
        </w:tc>
        <w:tc>
          <w:tcPr>
            <w:tcW w:w="2700" w:type="dxa"/>
            <w:vAlign w:val="bottom"/>
            <w:gridSpan w:val="5"/>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57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Nektar Therapeutics Amended and Restated 2017 Performance Incentive Plan, as amended++</w:t>
            </w:r>
          </w:p>
        </w:tc>
      </w:tr>
      <w:tr>
        <w:trPr>
          <w:trHeight w:val="5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31.1(8)</w:t>
            </w:r>
          </w:p>
        </w:tc>
        <w:tc>
          <w:tcPr>
            <w:tcW w:w="8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Nektar Therapeutics’ principal executive officer required by Rule 13a-14(a) or Rule 15d-14(a).</w:t>
            </w:r>
          </w:p>
        </w:tc>
        <w:tc>
          <w:tcPr>
            <w:tcW w:w="1520" w:type="dxa"/>
            <w:vAlign w:val="bottom"/>
            <w:gridSpan w:val="2"/>
          </w:tcPr>
          <w:p>
            <w:pPr>
              <w:spacing w:after="0"/>
              <w:rPr>
                <w:sz w:val="24"/>
                <w:szCs w:val="24"/>
                <w:color w:val="auto"/>
              </w:rPr>
            </w:pPr>
          </w:p>
        </w:tc>
      </w:tr>
      <w:tr>
        <w:trPr>
          <w:trHeight w:val="5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31.2(8)</w:t>
            </w:r>
          </w:p>
        </w:tc>
        <w:tc>
          <w:tcPr>
            <w:tcW w:w="7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Nektar Therapeutics’ principal financial officer required by Rule 13a-14(a) or Rule 15d-14(a).</w:t>
            </w:r>
          </w:p>
        </w:tc>
        <w:tc>
          <w:tcPr>
            <w:tcW w:w="1580" w:type="dxa"/>
            <w:vAlign w:val="bottom"/>
            <w:gridSpan w:val="3"/>
          </w:tcPr>
          <w:p>
            <w:pPr>
              <w:spacing w:after="0"/>
              <w:rPr>
                <w:sz w:val="24"/>
                <w:szCs w:val="24"/>
                <w:color w:val="auto"/>
              </w:rPr>
            </w:pPr>
          </w:p>
        </w:tc>
      </w:tr>
      <w:tr>
        <w:trPr>
          <w:trHeight w:val="53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7500" w:type="dxa"/>
            <w:vAlign w:val="bottom"/>
            <w:gridSpan w:val="9"/>
          </w:tcPr>
          <w:p>
            <w:pPr>
              <w:spacing w:after="0"/>
              <w:rPr>
                <w:sz w:val="24"/>
                <w:szCs w:val="24"/>
                <w:color w:val="auto"/>
              </w:rPr>
            </w:pPr>
          </w:p>
        </w:tc>
      </w:tr>
      <w:tr>
        <w:trPr>
          <w:trHeight w:val="57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101.SCH(8)</w:t>
            </w: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53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101.INS(8)</w:t>
            </w: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Document-the instance document does not appear in the Interactive Data File as its XBRL tags are embedded</w:t>
            </w:r>
          </w:p>
        </w:tc>
      </w:tr>
      <w:tr>
        <w:trPr>
          <w:trHeight w:val="234"/>
        </w:trPr>
        <w:tc>
          <w:tcPr>
            <w:tcW w:w="1360" w:type="dxa"/>
            <w:vAlign w:val="bottom"/>
          </w:tcPr>
          <w:p>
            <w:pPr>
              <w:spacing w:after="0"/>
              <w:rPr>
                <w:sz w:val="20"/>
                <w:szCs w:val="20"/>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3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198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Quarterly Report on Form 10-Q, for the quarter ended June 30, 1998.</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Nektar Therapeutics’ Quarterly Report on Form 10-Q, for the quarter ended June 30, 2000.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January 23, 2003.</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3.6 to Nektar Therapeutics’ Annual Report on Form 10-K, for the year ended December 31, 2009.</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60" w:hanging="378"/>
        <w:spacing w:after="0"/>
        <w:tabs>
          <w:tab w:leader="none" w:pos="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June 6, 2025.</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3.12 to Nektar Therapeutics’ Current Report on Form 8-K, filed with the SEC on June 6,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December 21, 2020.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3" w:lineRule="exact"/>
        <w:rPr>
          <w:rFonts w:ascii="Times New Roman" w:cs="Times New Roman" w:eastAsia="Times New Roman" w:hAnsi="Times New Roman"/>
          <w:sz w:val="18"/>
          <w:szCs w:val="18"/>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12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Sandra Gardiner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W. Robin, certify that:</w:t>
      </w:r>
    </w:p>
    <w:p>
      <w:pPr>
        <w:spacing w:after="0" w:line="117" w:lineRule="exact"/>
        <w:rPr>
          <w:sz w:val="20"/>
          <w:szCs w:val="20"/>
          <w:color w:val="auto"/>
        </w:rPr>
      </w:pPr>
    </w:p>
    <w:p>
      <w:pPr>
        <w:ind w:left="960" w:hanging="937"/>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Nektar Therapeutics;</w:t>
      </w:r>
    </w:p>
    <w:p>
      <w:pPr>
        <w:spacing w:after="0" w:line="117" w:lineRule="exact"/>
        <w:rPr>
          <w:rFonts w:ascii="Times New Roman" w:cs="Times New Roman" w:eastAsia="Times New Roman" w:hAnsi="Times New Roman"/>
          <w:sz w:val="18"/>
          <w:szCs w:val="18"/>
          <w:color w:val="auto"/>
        </w:rPr>
      </w:pPr>
    </w:p>
    <w:p>
      <w:pPr>
        <w:jc w:val="both"/>
        <w:ind w:left="960" w:right="80" w:hanging="937"/>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60" w:right="100" w:hanging="937"/>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60" w:right="80" w:hanging="937"/>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60" w:hanging="749"/>
        <w:spacing w:after="0" w:line="266"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00" w:right="20" w:hanging="749"/>
        <w:spacing w:after="0" w:line="266"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100" w:hanging="749"/>
        <w:spacing w:after="0" w:line="266"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180" w:hanging="749"/>
        <w:spacing w:after="0" w:line="266"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960" w:right="480" w:hanging="937"/>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700" w:right="60" w:hanging="749"/>
        <w:spacing w:after="0" w:line="282"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700" w:right="340" w:hanging="749"/>
        <w:spacing w:after="0" w:line="282"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ind w:left="1740"/>
        <w:spacing w:after="0"/>
        <w:tabs>
          <w:tab w:leader="none" w:pos="66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/s/ HOWARD W.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870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2987040" cy="8890"/>
                    </a:xfrm>
                    <a:prstGeom prst="rect">
                      <a:avLst/>
                    </a:prstGeom>
                    <a:noFill/>
                  </pic:spPr>
                </pic:pic>
              </a:graphicData>
            </a:graphic>
          </wp:anchor>
        </w:drawing>
      </w:r>
    </w:p>
    <w:p>
      <w:pPr>
        <w:spacing w:after="0" w:line="8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Sandra Gardiner, certify that:</w:t>
      </w:r>
    </w:p>
    <w:p>
      <w:pPr>
        <w:spacing w:after="0" w:line="99" w:lineRule="exact"/>
        <w:rPr>
          <w:sz w:val="20"/>
          <w:szCs w:val="20"/>
          <w:color w:val="auto"/>
        </w:rPr>
      </w:pPr>
    </w:p>
    <w:p>
      <w:pPr>
        <w:ind w:left="960" w:hanging="937"/>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Nektar Therapeutics;</w:t>
      </w:r>
    </w:p>
    <w:p>
      <w:pPr>
        <w:spacing w:after="0" w:line="117" w:lineRule="exact"/>
        <w:rPr>
          <w:rFonts w:ascii="Times New Roman" w:cs="Times New Roman" w:eastAsia="Times New Roman" w:hAnsi="Times New Roman"/>
          <w:sz w:val="18"/>
          <w:szCs w:val="18"/>
          <w:color w:val="auto"/>
        </w:rPr>
      </w:pPr>
    </w:p>
    <w:p>
      <w:pPr>
        <w:jc w:val="both"/>
        <w:ind w:left="960" w:right="80" w:hanging="937"/>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60" w:right="100" w:hanging="937"/>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60" w:right="80" w:hanging="937"/>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60" w:hanging="749"/>
        <w:spacing w:after="0" w:line="266"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00" w:right="20" w:hanging="749"/>
        <w:spacing w:after="0" w:line="266"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100" w:hanging="749"/>
        <w:spacing w:after="0" w:line="266"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180" w:hanging="749"/>
        <w:spacing w:after="0" w:line="266"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960" w:right="480" w:hanging="937"/>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700" w:right="60" w:hanging="749"/>
        <w:spacing w:after="0" w:line="282"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700" w:right="340" w:hanging="749"/>
        <w:spacing w:after="0" w:line="282"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ind w:left="1740"/>
        <w:spacing w:after="0"/>
        <w:tabs>
          <w:tab w:leader="none" w:pos="67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34290</wp:posOffset>
            </wp:positionV>
            <wp:extent cx="2943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2943860" cy="8255"/>
                    </a:xfrm>
                    <a:prstGeom prst="rect">
                      <a:avLst/>
                    </a:prstGeom>
                    <a:noFill/>
                  </pic:spPr>
                </pic:pic>
              </a:graphicData>
            </a:graphic>
          </wp:anchor>
        </w:drawing>
      </w:r>
    </w:p>
    <w:p>
      <w:pPr>
        <w:spacing w:after="0" w:line="8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Sandra Gardiner</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Sandra Gardiner, Interim Chief Financial Officer (Principal Financial Officer) of the Company, each hereby certifies that, to the best of his or her knowledge:</w:t>
      </w:r>
    </w:p>
    <w:p>
      <w:pPr>
        <w:spacing w:after="0" w:line="72" w:lineRule="exact"/>
        <w:rPr>
          <w:sz w:val="20"/>
          <w:szCs w:val="20"/>
          <w:color w:val="auto"/>
        </w:rPr>
      </w:pPr>
    </w:p>
    <w:p>
      <w:pPr>
        <w:ind w:left="960" w:right="100" w:hanging="937"/>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three months ended March 31, 2026,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960" w:right="260" w:hanging="937"/>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Date: May 7, 2026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HOWARD W. ROBIN</w:t>
            </w:r>
          </w:p>
        </w:tc>
        <w:tc>
          <w:tcPr>
            <w:tcW w:w="174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SANDRA GARDINER</w:t>
            </w:r>
          </w:p>
        </w:tc>
      </w:tr>
      <w:tr>
        <w:trPr>
          <w:trHeight w:val="27"/>
        </w:trPr>
        <w:tc>
          <w:tcPr>
            <w:tcW w:w="9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41"/>
        </w:trPr>
        <w:tc>
          <w:tcPr>
            <w:tcW w:w="940" w:type="dxa"/>
            <w:vAlign w:val="bottom"/>
          </w:tcPr>
          <w:p>
            <w:pPr>
              <w:spacing w:after="0"/>
              <w:rPr>
                <w:sz w:val="20"/>
                <w:szCs w:val="20"/>
                <w:color w:val="auto"/>
              </w:rPr>
            </w:pPr>
          </w:p>
        </w:tc>
        <w:tc>
          <w:tcPr>
            <w:tcW w:w="4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74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Sandra Gardiner</w:t>
            </w:r>
          </w:p>
        </w:tc>
      </w:tr>
      <w:tr>
        <w:trPr>
          <w:trHeight w:val="216"/>
        </w:trPr>
        <w:tc>
          <w:tcPr>
            <w:tcW w:w="940" w:type="dxa"/>
            <w:vAlign w:val="bottom"/>
          </w:tcPr>
          <w:p>
            <w:pPr>
              <w:spacing w:after="0"/>
              <w:rPr>
                <w:sz w:val="18"/>
                <w:szCs w:val="18"/>
                <w:color w:val="auto"/>
              </w:rPr>
            </w:pPr>
          </w:p>
        </w:tc>
        <w:tc>
          <w:tcPr>
            <w:tcW w:w="4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tc>
        <w:tc>
          <w:tcPr>
            <w:tcW w:w="174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r>
        <w:trPr>
          <w:trHeight w:val="238"/>
        </w:trPr>
        <w:tc>
          <w:tcPr>
            <w:tcW w:w="9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r>
        <w:trPr>
          <w:trHeight w:val="150"/>
        </w:trPr>
        <w:tc>
          <w:tcPr>
            <w:tcW w:w="5140" w:type="dxa"/>
            <w:vAlign w:val="bottom"/>
            <w:gridSpan w:val="2"/>
          </w:tcPr>
          <w:p>
            <w:pPr>
              <w:jc w:val="right"/>
              <w:ind w:right="2710"/>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w:t>
            </w:r>
          </w:p>
        </w:tc>
        <w:tc>
          <w:tcPr>
            <w:tcW w:w="1740" w:type="dxa"/>
            <w:vAlign w:val="bottom"/>
          </w:tcPr>
          <w:p>
            <w:pPr>
              <w:spacing w:after="0"/>
              <w:rPr>
                <w:sz w:val="13"/>
                <w:szCs w:val="13"/>
                <w:color w:val="auto"/>
              </w:rPr>
            </w:pPr>
          </w:p>
        </w:tc>
        <w:tc>
          <w:tcPr>
            <w:tcW w:w="4380" w:type="dxa"/>
            <w:vAlign w:val="bottom"/>
          </w:tcPr>
          <w:p>
            <w:pPr>
              <w:spacing w:after="0"/>
              <w:rPr>
                <w:sz w:val="13"/>
                <w:szCs w:val="13"/>
                <w:color w:val="auto"/>
              </w:rPr>
            </w:pPr>
          </w:p>
        </w:tc>
      </w:tr>
    </w:tbl>
    <w:p>
      <w:pPr>
        <w:ind w:left="940" w:right="200" w:hanging="932"/>
        <w:spacing w:after="0" w:line="253" w:lineRule="auto"/>
        <w:tabs>
          <w:tab w:leader="none" w:pos="3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o"/>
      <w:numFmt w:val="bullet"/>
      <w:start w:val="1"/>
    </w:lvl>
  </w:abstractNum>
  <w:abstractNum w:abstractNumId="5">
    <w:nsid w:val="431BD7B7"/>
    <w:multiLevelType w:val="hybridMultilevel"/>
    <w:lvl w:ilvl="0">
      <w:lvlJc w:val="left"/>
      <w:lvlText w:val="%1"/>
      <w:numFmt w:val="upperLetter"/>
      <w:start w:val="27"/>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Roman"/>
      <w:start w:val="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lvl w:ilvl="1">
      <w:lvlJc w:val="left"/>
      <w:lvlText w:val="%2."/>
      <w:numFmt w:val="decimal"/>
      <w:start w:val="5"/>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79" Type="http://schemas.openxmlformats.org/officeDocument/2006/relationships/hyperlink" Target="https://www.sec.gov/Archives/edgar/data/906709/0001047469-98-031070.txt" TargetMode="External"/><Relationship Id="rId180" Type="http://schemas.openxmlformats.org/officeDocument/2006/relationships/hyperlink" Target="https://www.sec.gov/Archives/edgar/data/906709/000091205700037283/ex-3_3.txt" TargetMode="External"/><Relationship Id="rId181" Type="http://schemas.openxmlformats.org/officeDocument/2006/relationships/hyperlink" Target="https://www.sec.gov/Archives/edgar/data/906709/000104746903002325/a2101294zex-3_1.htm" TargetMode="External"/><Relationship Id="rId182" Type="http://schemas.openxmlformats.org/officeDocument/2006/relationships/hyperlink" Target="https://www.sec.gov/Archives/edgar/data/906709/000114420410011093/v176023_ex3-6.htm" TargetMode="External"/><Relationship Id="rId183" Type="http://schemas.openxmlformats.org/officeDocument/2006/relationships/hyperlink" Target="https://www.sec.gov/Archives/edgar/data/906709/000121390025052141/ea024492901ex3-1_nektar.htm" TargetMode="External"/><Relationship Id="rId184" Type="http://schemas.openxmlformats.org/officeDocument/2006/relationships/hyperlink" Target="https://www.sec.gov/Archives/edgar/data/906709/000121390025052141/ea024492901ex3-2_nektar.htm" TargetMode="External"/><Relationship Id="rId185" Type="http://schemas.openxmlformats.org/officeDocument/2006/relationships/hyperlink" Target="https://www.sec.gov/Archives/edgar/data/906709/000121390022080498/ea170222ex3-1_nektarthera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2026-05-08T05:35:17Z</dcterms:created>
  <dcterms:modified xsi:type="dcterms:W3CDTF">2026-05-08T05:35:17Z</dcterms:modified>
</cp:coreProperties>
</file>