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382905</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407670</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10-K</w:t>
      </w:r>
    </w:p>
    <w:p>
      <w:pPr>
        <w:spacing w:after="0" w:line="24" w:lineRule="exact"/>
        <w:rPr>
          <w:sz w:val="24"/>
          <w:szCs w:val="24"/>
          <w:color w:val="auto"/>
        </w:rPr>
      </w:pP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w:t>
      </w:r>
    </w:p>
    <w:p>
      <w:pPr>
        <w:spacing w:after="0" w:line="36" w:lineRule="exact"/>
        <w:rPr>
          <w:sz w:val="24"/>
          <w:szCs w:val="24"/>
          <w:color w:val="auto"/>
        </w:rPr>
      </w:pPr>
    </w:p>
    <w:p>
      <w:pPr>
        <w:ind w:left="760" w:hanging="727"/>
        <w:spacing w:after="0"/>
        <w:tabs>
          <w:tab w:leader="none" w:pos="7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83" w:lineRule="exact"/>
        <w:rPr>
          <w:sz w:val="24"/>
          <w:szCs w:val="24"/>
          <w:color w:val="auto"/>
        </w:rPr>
      </w:pPr>
    </w:p>
    <w:p>
      <w:pPr>
        <w:ind w:left="4400"/>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60" w:lineRule="exact"/>
        <w:rPr>
          <w:sz w:val="24"/>
          <w:szCs w:val="24"/>
          <w:color w:val="auto"/>
        </w:rPr>
      </w:pPr>
    </w:p>
    <w:p>
      <w:pPr>
        <w:ind w:left="5560"/>
        <w:spacing w:after="0"/>
        <w:rPr>
          <w:sz w:val="20"/>
          <w:szCs w:val="20"/>
          <w:color w:val="auto"/>
        </w:rPr>
      </w:pPr>
      <w:r>
        <w:rPr>
          <w:rFonts w:ascii="Arial" w:cs="Arial" w:eastAsia="Arial" w:hAnsi="Arial"/>
          <w:sz w:val="15"/>
          <w:szCs w:val="15"/>
          <w:b w:val="1"/>
          <w:bCs w:val="1"/>
          <w:color w:val="auto"/>
        </w:rPr>
        <w:t>or</w:t>
      </w:r>
    </w:p>
    <w:p>
      <w:pPr>
        <w:spacing w:after="0" w:line="68" w:lineRule="exact"/>
        <w:rPr>
          <w:sz w:val="24"/>
          <w:szCs w:val="24"/>
          <w:color w:val="auto"/>
        </w:rPr>
      </w:pPr>
    </w:p>
    <w:p>
      <w:pPr>
        <w:ind w:left="760" w:hanging="727"/>
        <w:spacing w:after="0"/>
        <w:tabs>
          <w:tab w:leader="none" w:pos="7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REPORTS PURSUANT TO SECTION 13 OR 15(d) OF THE SECURITIES EXCHANGE ACT OF 1934.</w:t>
      </w:r>
    </w:p>
    <w:p>
      <w:pPr>
        <w:spacing w:after="0" w:line="170" w:lineRule="exact"/>
        <w:rPr>
          <w:sz w:val="24"/>
          <w:szCs w:val="24"/>
          <w:color w:val="auto"/>
        </w:rPr>
      </w:pPr>
    </w:p>
    <w:p>
      <w:pPr>
        <w:ind w:left="4420"/>
        <w:spacing w:after="0"/>
        <w:tabs>
          <w:tab w:leader="none" w:pos="66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2" w:lineRule="exact"/>
        <w:rPr>
          <w:sz w:val="24"/>
          <w:szCs w:val="24"/>
          <w:color w:val="auto"/>
        </w:rPr>
      </w:pPr>
    </w:p>
    <w:p>
      <w:pPr>
        <w:ind w:left="4480"/>
        <w:spacing w:after="0"/>
        <w:rPr>
          <w:sz w:val="20"/>
          <w:szCs w:val="20"/>
          <w:color w:val="auto"/>
        </w:rPr>
      </w:pPr>
      <w:r>
        <w:rPr>
          <w:rFonts w:ascii="Arial" w:cs="Arial" w:eastAsia="Arial" w:hAnsi="Arial"/>
          <w:sz w:val="15"/>
          <w:szCs w:val="15"/>
          <w:b w:val="1"/>
          <w:bCs w:val="1"/>
          <w:color w:val="auto"/>
        </w:rPr>
        <w:t>Commission File Number: 0-24006</w:t>
      </w:r>
    </w:p>
    <w:p>
      <w:pPr>
        <w:spacing w:after="0" w:line="20" w:lineRule="exact"/>
        <w:rPr>
          <w:sz w:val="24"/>
          <w:szCs w:val="24"/>
          <w:color w:val="auto"/>
        </w:rPr>
      </w:pP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NEKTAR THERAPEUTICS</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w:t>
      </w:r>
    </w:p>
    <w:p>
      <w:pPr>
        <w:sectPr>
          <w:pgSz w:w="11900" w:h="16838" w:orient="portrait"/>
          <w:cols w:equalWidth="0" w:num="1">
            <w:col w:w="11220"/>
          </w:cols>
          <w:pgMar w:left="320" w:top="230" w:right="359" w:bottom="1440" w:gutter="0" w:footer="0" w:header="0"/>
        </w:sectPr>
      </w:pPr>
    </w:p>
    <w:p>
      <w:pPr>
        <w:spacing w:after="0" w:line="53"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94-3134940</w:t>
      </w:r>
    </w:p>
    <w:p>
      <w:pPr>
        <w:spacing w:after="0" w:line="74" w:lineRule="exact"/>
        <w:rPr>
          <w:sz w:val="24"/>
          <w:szCs w:val="24"/>
          <w:color w:val="auto"/>
        </w:rPr>
      </w:pPr>
    </w:p>
    <w:p>
      <w:pPr>
        <w:sectPr>
          <w:pgSz w:w="11900" w:h="16838" w:orient="portrait"/>
          <w:cols w:equalWidth="0" w:num="2">
            <w:col w:w="7440" w:space="720"/>
            <w:col w:w="3060"/>
          </w:cols>
          <w:pgMar w:left="320" w:top="230" w:right="359" w:bottom="1440" w:gutter="0" w:footer="0" w:header="0"/>
          <w:type w:val="continuous"/>
        </w:sectPr>
      </w:pPr>
    </w:p>
    <w:p>
      <w:pPr>
        <w:ind w:left="1860"/>
        <w:spacing w:after="0"/>
        <w:rPr>
          <w:sz w:val="20"/>
          <w:szCs w:val="20"/>
          <w:color w:val="auto"/>
        </w:rPr>
      </w:pPr>
      <w:r>
        <w:rPr>
          <w:rFonts w:ascii="Arial" w:cs="Arial" w:eastAsia="Arial" w:hAnsi="Arial"/>
          <w:sz w:val="11"/>
          <w:szCs w:val="11"/>
          <w:b w:val="1"/>
          <w:bCs w:val="1"/>
          <w:color w:val="auto"/>
        </w:rPr>
        <w:t>(State or other jurisdiction of</w:t>
      </w:r>
    </w:p>
    <w:p>
      <w:pPr>
        <w:spacing w:after="0" w:line="44" w:lineRule="exact"/>
        <w:rPr>
          <w:sz w:val="24"/>
          <w:szCs w:val="24"/>
          <w:color w:val="auto"/>
        </w:rPr>
      </w:pPr>
    </w:p>
    <w:p>
      <w:pPr>
        <w:ind w:left="182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b w:val="1"/>
          <w:bCs w:val="1"/>
          <w:color w:val="auto"/>
        </w:rPr>
        <w:t>(IRS Employer</w:t>
      </w:r>
    </w:p>
    <w:p>
      <w:pPr>
        <w:spacing w:after="0" w:line="10" w:lineRule="exact"/>
        <w:rPr>
          <w:sz w:val="24"/>
          <w:szCs w:val="24"/>
          <w:color w:val="auto"/>
        </w:rPr>
      </w:pPr>
    </w:p>
    <w:p>
      <w:pPr>
        <w:jc w:val="center"/>
        <w:ind w:right="2160"/>
        <w:spacing w:after="0"/>
        <w:rPr>
          <w:sz w:val="20"/>
          <w:szCs w:val="20"/>
          <w:color w:val="auto"/>
        </w:rPr>
      </w:pPr>
      <w:r>
        <w:rPr>
          <w:rFonts w:ascii="Arial" w:cs="Arial" w:eastAsia="Arial" w:hAnsi="Arial"/>
          <w:sz w:val="11"/>
          <w:szCs w:val="11"/>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20"/>
          </w:cols>
          <w:pgMar w:left="320" w:top="230" w:right="359" w:bottom="1440" w:gutter="0" w:footer="0" w:header="0"/>
          <w:type w:val="continuous"/>
        </w:sectPr>
      </w:pP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455 Mission Bay Boulevard South</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San Francisco, California 94158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415-482-5300</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(Registrant’s telephone number, including area code)</w:t>
      </w:r>
    </w:p>
    <w:p>
      <w:pPr>
        <w:sectPr>
          <w:pgSz w:w="11900" w:h="16838" w:orient="portrait"/>
          <w:cols w:equalWidth="0" w:num="1">
            <w:col w:w="11220"/>
          </w:cols>
          <w:pgMar w:left="320" w:top="230" w:right="359" w:bottom="1440" w:gutter="0" w:footer="0" w:header="0"/>
          <w:type w:val="continuous"/>
        </w:sectPr>
      </w:pPr>
    </w:p>
    <w:p>
      <w:pPr>
        <w:spacing w:after="0" w:line="38" w:lineRule="exact"/>
        <w:rPr>
          <w:sz w:val="24"/>
          <w:szCs w:val="24"/>
          <w:color w:val="auto"/>
        </w:rPr>
      </w:pPr>
    </w:p>
    <w:p>
      <w:pPr>
        <w:ind w:left="3700"/>
        <w:spacing w:after="0"/>
        <w:rPr>
          <w:sz w:val="20"/>
          <w:szCs w:val="20"/>
          <w:color w:val="auto"/>
        </w:rPr>
      </w:pPr>
      <w:r>
        <w:rPr>
          <w:rFonts w:ascii="Arial" w:cs="Arial" w:eastAsia="Arial" w:hAnsi="Arial"/>
          <w:sz w:val="9"/>
          <w:szCs w:val="9"/>
          <w:color w:val="auto"/>
        </w:rPr>
        <w:t>___________________________________________________________________________</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20"/>
          </w:cols>
          <w:pgMar w:left="320" w:top="230" w:right="359" w:bottom="1440" w:gutter="0" w:footer="0" w:header="0"/>
          <w:type w:val="continuous"/>
        </w:sectPr>
      </w:pPr>
    </w:p>
    <w:p>
      <w:pPr>
        <w:spacing w:after="0" w:line="63" w:lineRule="exact"/>
        <w:rPr>
          <w:sz w:val="24"/>
          <w:szCs w:val="24"/>
          <w:color w:val="auto"/>
        </w:rPr>
      </w:pPr>
    </w:p>
    <w:p>
      <w:pPr>
        <w:jc w:val="center"/>
        <w:ind w:left="62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Trading Symbol</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107" w:lineRule="exact"/>
        <w:rPr>
          <w:sz w:val="24"/>
          <w:szCs w:val="24"/>
          <w:color w:val="auto"/>
        </w:rPr>
      </w:pPr>
    </w:p>
    <w:p>
      <w:pPr>
        <w:sectPr>
          <w:pgSz w:w="11900" w:h="16838" w:orient="portrait"/>
          <w:cols w:equalWidth="0" w:num="3">
            <w:col w:w="4520" w:space="720"/>
            <w:col w:w="1480" w:space="720"/>
            <w:col w:w="3780"/>
          </w:cols>
          <w:pgMar w:left="320" w:top="230" w:right="359" w:bottom="1440" w:gutter="0" w:footer="0" w:header="0"/>
          <w:type w:val="continuous"/>
        </w:sectPr>
      </w:pPr>
    </w:p>
    <w:p>
      <w:pPr>
        <w:ind w:left="1500"/>
        <w:spacing w:after="0"/>
        <w:rPr>
          <w:sz w:val="20"/>
          <w:szCs w:val="20"/>
          <w:color w:val="auto"/>
        </w:rPr>
      </w:pPr>
      <w:r>
        <w:rPr>
          <w:rFonts w:ascii="Arial" w:cs="Arial" w:eastAsia="Arial" w:hAnsi="Arial"/>
          <w:sz w:val="13"/>
          <w:szCs w:val="13"/>
          <w:color w:val="auto"/>
        </w:rPr>
        <w:t>Common Stock, $0.0001 par value</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5"/>
          <w:szCs w:val="15"/>
          <w:color w:val="auto"/>
        </w:rPr>
        <w:t>NKTR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81" w:lineRule="exact"/>
        <w:rPr>
          <w:sz w:val="24"/>
          <w:szCs w:val="24"/>
          <w:color w:val="auto"/>
        </w:rPr>
      </w:pPr>
    </w:p>
    <w:p>
      <w:pPr>
        <w:sectPr>
          <w:pgSz w:w="11900" w:h="16838" w:orient="portrait"/>
          <w:cols w:equalWidth="0" w:num="3">
            <w:col w:w="4800" w:space="720"/>
            <w:col w:w="1540" w:space="720"/>
            <w:col w:w="3440"/>
          </w:cols>
          <w:pgMar w:left="320" w:top="230" w:right="3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None</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10"/>
          <w:szCs w:val="10"/>
          <w:color w:val="auto"/>
        </w:rPr>
        <w:t>___________________________________________________________________________</w:t>
      </w:r>
    </w:p>
    <w:p>
      <w:pPr>
        <w:spacing w:after="0" w:line="29" w:lineRule="exact"/>
        <w:rPr>
          <w:sz w:val="24"/>
          <w:szCs w:val="24"/>
          <w:color w:val="auto"/>
        </w:rPr>
      </w:pPr>
    </w:p>
    <w:p>
      <w:pPr>
        <w:ind w:left="460" w:right="2420"/>
        <w:spacing w:after="0" w:line="23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0" w:firstLine="464"/>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40" w:firstLine="464"/>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60" w:firstLine="464"/>
        <w:spacing w:after="0" w:line="29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Layout w:type="fixed"/>
        <w:tblInd w:w="20" w:type="dxa"/>
        <w:tblCellMar>
          <w:top w:w="0" w:type="dxa"/>
          <w:left w:w="0" w:type="dxa"/>
          <w:bottom w:w="0" w:type="dxa"/>
          <w:right w:w="0" w:type="dxa"/>
        </w:tblCellMar>
      </w:tblPr>
      <w:tr>
        <w:trPr>
          <w:trHeight w:val="257"/>
        </w:trPr>
        <w:tc>
          <w:tcPr>
            <w:tcW w:w="20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2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8"/>
        </w:trPr>
        <w:tc>
          <w:tcPr>
            <w:tcW w:w="2060" w:type="dxa"/>
            <w:vAlign w:val="bottom"/>
          </w:tcPr>
          <w:p>
            <w:pPr>
              <w:spacing w:after="0"/>
              <w:rPr>
                <w:sz w:val="20"/>
                <w:szCs w:val="20"/>
                <w:color w:val="auto"/>
              </w:rPr>
            </w:pPr>
            <w:r>
              <w:rPr>
                <w:rFonts w:ascii="Arial" w:cs="Arial" w:eastAsia="Arial" w:hAnsi="Arial"/>
                <w:sz w:val="15"/>
                <w:szCs w:val="15"/>
                <w:color w:val="auto"/>
              </w:rPr>
              <w:t>Non-accelerated filer</w:t>
            </w:r>
          </w:p>
        </w:tc>
        <w:tc>
          <w:tcPr>
            <w:tcW w:w="32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72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0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24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141" w:lineRule="exact"/>
        <w:rPr>
          <w:sz w:val="24"/>
          <w:szCs w:val="24"/>
          <w:color w:val="auto"/>
        </w:rPr>
      </w:pPr>
    </w:p>
    <w:p>
      <w:pPr>
        <w:ind w:firstLine="464"/>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2" w:lineRule="exact"/>
        <w:rPr>
          <w:sz w:val="24"/>
          <w:szCs w:val="24"/>
          <w:color w:val="auto"/>
        </w:rPr>
      </w:pPr>
    </w:p>
    <w:p>
      <w:pPr>
        <w:ind w:right="240" w:firstLine="464"/>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right="3340" w:firstLine="464"/>
        <w:spacing w:after="0" w:line="20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9" w:lineRule="exact"/>
        <w:rPr>
          <w:sz w:val="24"/>
          <w:szCs w:val="24"/>
          <w:color w:val="auto"/>
        </w:rPr>
      </w:pPr>
    </w:p>
    <w:p>
      <w:pPr>
        <w:ind w:right="340" w:firstLine="464"/>
        <w:spacing w:after="0" w:line="21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 w:lineRule="exact"/>
        <w:rPr>
          <w:sz w:val="24"/>
          <w:szCs w:val="24"/>
          <w:color w:val="auto"/>
        </w:rPr>
      </w:pPr>
    </w:p>
    <w:p>
      <w:pPr>
        <w:ind w:left="460"/>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ind w:right="100" w:firstLine="464"/>
        <w:spacing w:after="0" w:line="317" w:lineRule="auto"/>
        <w:rPr>
          <w:sz w:val="20"/>
          <w:szCs w:val="20"/>
          <w:color w:val="auto"/>
        </w:rPr>
      </w:pPr>
      <w:r>
        <w:rPr>
          <w:rFonts w:ascii="Arial" w:cs="Arial" w:eastAsia="Arial" w:hAnsi="Arial"/>
          <w:sz w:val="14"/>
          <w:szCs w:val="14"/>
          <w:color w:val="auto"/>
        </w:rPr>
        <w:t>The approximate aggregate market value of voting stock held by non-affiliates of the registrant, based upon the last sale price of the registrant’s common stock on the last business day of the registrant’s most recently completed second fiscal quarter, June 30, 2022, as reported on The NASDAQ Global Select Market, was approximately $704 million.</w:t>
      </w:r>
    </w:p>
    <w:p>
      <w:pPr>
        <w:ind w:left="460"/>
        <w:spacing w:after="0"/>
        <w:rPr>
          <w:sz w:val="20"/>
          <w:szCs w:val="20"/>
          <w:color w:val="auto"/>
        </w:rPr>
      </w:pPr>
      <w:r>
        <w:rPr>
          <w:rFonts w:ascii="Arial" w:cs="Arial" w:eastAsia="Arial" w:hAnsi="Arial"/>
          <w:sz w:val="15"/>
          <w:szCs w:val="15"/>
          <w:color w:val="auto"/>
        </w:rPr>
        <w:t>As of February 21, 2023, the number of outstanding shares of the registrant’s common stock was 189,235,139.</w:t>
      </w:r>
    </w:p>
    <w:p>
      <w:pPr>
        <w:spacing w:after="0" w:line="66"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78" w:lineRule="exact"/>
        <w:rPr>
          <w:sz w:val="24"/>
          <w:szCs w:val="24"/>
          <w:color w:val="auto"/>
        </w:rPr>
      </w:pPr>
    </w:p>
    <w:p>
      <w:pPr>
        <w:ind w:right="320" w:firstLine="464"/>
        <w:spacing w:after="0" w:line="321" w:lineRule="auto"/>
        <w:rPr>
          <w:sz w:val="20"/>
          <w:szCs w:val="20"/>
          <w:color w:val="auto"/>
        </w:rPr>
      </w:pPr>
      <w:r>
        <w:rPr>
          <w:rFonts w:ascii="Arial" w:cs="Arial" w:eastAsia="Arial" w:hAnsi="Arial"/>
          <w:sz w:val="14"/>
          <w:szCs w:val="14"/>
          <w:color w:val="auto"/>
        </w:rPr>
        <w:t>Portions of registrant’s definitive Proxy Statement to be filed for its 2023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750570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7122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17"/>
          </w:tcPr>
          <w:p>
            <w:pPr>
              <w:jc w:val="center"/>
              <w:ind w:right="3660"/>
              <w:spacing w:after="0"/>
              <w:rPr>
                <w:sz w:val="20"/>
                <w:szCs w:val="20"/>
                <w:color w:val="auto"/>
              </w:rPr>
            </w:pPr>
            <w:r>
              <w:rPr>
                <w:rFonts w:ascii="Arial" w:cs="Arial" w:eastAsia="Arial" w:hAnsi="Arial"/>
                <w:sz w:val="17"/>
                <w:szCs w:val="17"/>
                <w:b w:val="1"/>
                <w:bCs w:val="1"/>
                <w:color w:val="auto"/>
              </w:rPr>
              <w:t>NEKTAR THERAPEUTICS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9"/>
          </w:tcPr>
          <w:p>
            <w:pPr>
              <w:jc w:val="center"/>
              <w:ind w:right="2600"/>
              <w:spacing w:after="0"/>
              <w:rPr>
                <w:sz w:val="20"/>
                <w:szCs w:val="20"/>
                <w:color w:val="auto"/>
              </w:rPr>
            </w:pPr>
            <w:r>
              <w:rPr>
                <w:rFonts w:ascii="Arial" w:cs="Arial" w:eastAsia="Arial" w:hAnsi="Arial"/>
                <w:sz w:val="17"/>
                <w:szCs w:val="17"/>
                <w:b w:val="1"/>
                <w:bCs w:val="1"/>
                <w:color w:val="auto"/>
                <w:w w:val="99"/>
              </w:rPr>
              <w:t>2022 ANNUAL REPORT ON FORM 10-K</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60" w:type="dxa"/>
            <w:vAlign w:val="bottom"/>
            <w:gridSpan w:val="16"/>
          </w:tcPr>
          <w:p>
            <w:pPr>
              <w:jc w:val="center"/>
              <w:ind w:right="3820"/>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40" w:type="dxa"/>
            <w:vAlign w:val="bottom"/>
            <w:gridSpan w:val="28"/>
            <w:vMerge w:val="restart"/>
          </w:tcPr>
          <w:p>
            <w:pPr>
              <w:spacing w:after="0"/>
              <w:rPr>
                <w:sz w:val="20"/>
                <w:szCs w:val="20"/>
                <w:color w:val="auto"/>
              </w:rPr>
            </w:pPr>
            <w:r>
              <w:rPr>
                <w:rFonts w:ascii="Arial" w:cs="Arial" w:eastAsia="Arial" w:hAnsi="Arial"/>
                <w:sz w:val="17"/>
                <w:szCs w:val="17"/>
                <w:color w:val="0000FF"/>
              </w:rPr>
              <w:t>Summary of Risks</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40" w:type="dxa"/>
            <w:vAlign w:val="bottom"/>
            <w:gridSpan w:val="28"/>
            <w:vMerge w:val="continue"/>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12"/>
          </w:tcPr>
          <w:p>
            <w:pPr>
              <w:jc w:val="center"/>
              <w:ind w:right="4200"/>
              <w:spacing w:after="0"/>
              <w:rPr>
                <w:sz w:val="20"/>
                <w:szCs w:val="20"/>
                <w:color w:val="auto"/>
              </w:rPr>
            </w:pPr>
            <w:r>
              <w:rPr>
                <w:rFonts w:ascii="Arial" w:cs="Arial" w:eastAsia="Arial" w:hAnsi="Arial"/>
                <w:sz w:val="17"/>
                <w:szCs w:val="17"/>
                <w:b w:val="1"/>
                <w:bCs w:val="1"/>
                <w:color w:val="0000FF"/>
              </w:rPr>
              <w:t>PART I</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6"/>
              </w:rPr>
              <w:t>Business</w:t>
            </w:r>
          </w:p>
        </w:tc>
        <w:tc>
          <w:tcPr>
            <w:tcW w:w="3620" w:type="dxa"/>
            <w:vAlign w:val="bottom"/>
            <w:gridSpan w:val="16"/>
          </w:tcPr>
          <w:p>
            <w:pPr>
              <w:spacing w:after="0"/>
              <w:rPr>
                <w:sz w:val="17"/>
                <w:szCs w:val="17"/>
                <w:color w:val="auto"/>
              </w:rPr>
            </w:pPr>
          </w:p>
        </w:tc>
        <w:tc>
          <w:tcPr>
            <w:tcW w:w="560" w:type="dxa"/>
            <w:vAlign w:val="bottom"/>
            <w:tcBorders>
              <w:top w:val="single" w:sz="8" w:color="0000FF"/>
            </w:tcBorders>
            <w:gridSpan w:val="2"/>
          </w:tcPr>
          <w:p>
            <w:pPr>
              <w:spacing w:after="0"/>
              <w:rPr>
                <w:sz w:val="17"/>
                <w:szCs w:val="17"/>
                <w:color w:val="auto"/>
              </w:rPr>
            </w:pPr>
          </w:p>
        </w:tc>
        <w:tc>
          <w:tcPr>
            <w:tcW w:w="4240" w:type="dxa"/>
            <w:vAlign w:val="bottom"/>
            <w:gridSpan w:val="9"/>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9040" w:type="dxa"/>
            <w:vAlign w:val="bottom"/>
            <w:gridSpan w:val="28"/>
          </w:tcPr>
          <w:p>
            <w:pPr>
              <w:spacing w:after="0"/>
              <w:rPr>
                <w:sz w:val="20"/>
                <w:szCs w:val="20"/>
                <w:color w:val="auto"/>
              </w:rPr>
            </w:pPr>
            <w:r>
              <w:rPr>
                <w:rFonts w:ascii="Arial" w:cs="Arial" w:eastAsia="Arial" w:hAnsi="Arial"/>
                <w:sz w:val="17"/>
                <w:szCs w:val="17"/>
                <w:color w:val="0000FF"/>
              </w:rPr>
              <w:t>Risk Factors</w:t>
            </w:r>
          </w:p>
        </w:tc>
        <w:tc>
          <w:tcPr>
            <w:tcW w:w="78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1B.</w:t>
            </w:r>
          </w:p>
        </w:tc>
        <w:tc>
          <w:tcPr>
            <w:tcW w:w="196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1"/>
              </w:rPr>
              <w:t>Unresolved Staff Comments</w:t>
            </w:r>
          </w:p>
        </w:tc>
        <w:tc>
          <w:tcPr>
            <w:tcW w:w="7080" w:type="dxa"/>
            <w:vAlign w:val="bottom"/>
            <w:gridSpan w:val="19"/>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040" w:type="dxa"/>
            <w:vAlign w:val="bottom"/>
            <w:gridSpan w:val="28"/>
          </w:tcPr>
          <w:p>
            <w:pPr>
              <w:spacing w:after="0"/>
              <w:rPr>
                <w:sz w:val="20"/>
                <w:szCs w:val="20"/>
                <w:color w:val="auto"/>
              </w:rPr>
            </w:pPr>
            <w:r>
              <w:rPr>
                <w:rFonts w:ascii="Arial" w:cs="Arial" w:eastAsia="Arial" w:hAnsi="Arial"/>
                <w:sz w:val="17"/>
                <w:szCs w:val="17"/>
                <w:color w:val="0000FF"/>
              </w:rPr>
              <w:t>Properties</w:t>
            </w: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89"/>
              </w:rPr>
              <w:t>Legal Proceedings</w:t>
            </w:r>
          </w:p>
        </w:tc>
        <w:tc>
          <w:tcPr>
            <w:tcW w:w="7760" w:type="dxa"/>
            <w:vAlign w:val="bottom"/>
            <w:gridSpan w:val="23"/>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9040" w:type="dxa"/>
            <w:vAlign w:val="bottom"/>
            <w:gridSpan w:val="28"/>
          </w:tcPr>
          <w:p>
            <w:pPr>
              <w:spacing w:after="0"/>
              <w:rPr>
                <w:sz w:val="20"/>
                <w:szCs w:val="20"/>
                <w:color w:val="auto"/>
              </w:rPr>
            </w:pPr>
            <w:r>
              <w:rPr>
                <w:rFonts w:ascii="Arial" w:cs="Arial" w:eastAsia="Arial" w:hAnsi="Arial"/>
                <w:sz w:val="17"/>
                <w:szCs w:val="17"/>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2"/>
          </w:tcPr>
          <w:p>
            <w:pPr>
              <w:jc w:val="center"/>
              <w:ind w:right="4220"/>
              <w:spacing w:after="0"/>
              <w:rPr>
                <w:sz w:val="20"/>
                <w:szCs w:val="20"/>
                <w:color w:val="auto"/>
              </w:rPr>
            </w:pPr>
            <w:r>
              <w:rPr>
                <w:rFonts w:ascii="Arial" w:cs="Arial" w:eastAsia="Arial" w:hAnsi="Arial"/>
                <w:sz w:val="17"/>
                <w:szCs w:val="17"/>
                <w:b w:val="1"/>
                <w:bCs w:val="1"/>
                <w:color w:val="0000FF"/>
              </w:rPr>
              <w:t>PART II</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5.</w:t>
            </w:r>
          </w:p>
        </w:tc>
        <w:tc>
          <w:tcPr>
            <w:tcW w:w="7720" w:type="dxa"/>
            <w:vAlign w:val="bottom"/>
            <w:tcBorders>
              <w:bottom w:val="single" w:sz="8" w:color="0000FF"/>
            </w:tcBorders>
            <w:gridSpan w:val="27"/>
          </w:tcPr>
          <w:p>
            <w:pPr>
              <w:spacing w:after="0"/>
              <w:rPr>
                <w:sz w:val="20"/>
                <w:szCs w:val="20"/>
                <w:color w:val="auto"/>
              </w:rPr>
            </w:pPr>
            <w:r>
              <w:rPr>
                <w:rFonts w:ascii="Arial" w:cs="Arial" w:eastAsia="Arial" w:hAnsi="Arial"/>
                <w:sz w:val="17"/>
                <w:szCs w:val="17"/>
                <w:color w:val="0000FF"/>
                <w:w w:val="91"/>
              </w:rPr>
              <w:t>Market for Registrant’s Common Equity, Related Stockholder Matters and Issuer Purchases of Equity Securities</w:t>
            </w:r>
          </w:p>
        </w:tc>
        <w:tc>
          <w:tcPr>
            <w:tcW w:w="1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6.</w:t>
            </w:r>
          </w:p>
        </w:tc>
        <w:tc>
          <w:tcPr>
            <w:tcW w:w="9040" w:type="dxa"/>
            <w:vAlign w:val="bottom"/>
            <w:gridSpan w:val="28"/>
          </w:tcPr>
          <w:p>
            <w:pPr>
              <w:spacing w:after="0"/>
              <w:rPr>
                <w:sz w:val="20"/>
                <w:szCs w:val="20"/>
                <w:color w:val="auto"/>
              </w:rPr>
            </w:pPr>
            <w:r>
              <w:rPr>
                <w:rFonts w:ascii="Arial" w:cs="Arial" w:eastAsia="Arial" w:hAnsi="Arial"/>
                <w:sz w:val="17"/>
                <w:szCs w:val="17"/>
                <w:color w:val="0000FF"/>
              </w:rPr>
              <w:t>Reserved</w:t>
            </w:r>
          </w:p>
        </w:tc>
        <w:tc>
          <w:tcPr>
            <w:tcW w:w="78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7.</w:t>
            </w:r>
          </w:p>
        </w:tc>
        <w:tc>
          <w:tcPr>
            <w:tcW w:w="6180" w:type="dxa"/>
            <w:vAlign w:val="bottom"/>
            <w:tcBorders>
              <w:bottom w:val="single" w:sz="8" w:color="0000FF"/>
            </w:tcBorders>
            <w:gridSpan w:val="24"/>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286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7A.</w:t>
            </w:r>
          </w:p>
        </w:tc>
        <w:tc>
          <w:tcPr>
            <w:tcW w:w="9040" w:type="dxa"/>
            <w:vAlign w:val="bottom"/>
            <w:gridSpan w:val="28"/>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8.</w:t>
            </w:r>
          </w:p>
        </w:tc>
        <w:tc>
          <w:tcPr>
            <w:tcW w:w="4160" w:type="dxa"/>
            <w:vAlign w:val="bottom"/>
            <w:tcBorders>
              <w:top w:val="single" w:sz="8" w:color="0000FF"/>
            </w:tcBorders>
            <w:gridSpan w:val="14"/>
          </w:tcPr>
          <w:p>
            <w:pPr>
              <w:spacing w:after="0"/>
              <w:rPr>
                <w:sz w:val="20"/>
                <w:szCs w:val="20"/>
                <w:color w:val="auto"/>
              </w:rPr>
            </w:pPr>
            <w:r>
              <w:rPr>
                <w:rFonts w:ascii="Arial" w:cs="Arial" w:eastAsia="Arial" w:hAnsi="Arial"/>
                <w:sz w:val="17"/>
                <w:szCs w:val="17"/>
                <w:color w:val="0000FF"/>
              </w:rPr>
              <w:t>Financial Statements and Supplementary Data</w:t>
            </w:r>
          </w:p>
        </w:tc>
        <w:tc>
          <w:tcPr>
            <w:tcW w:w="4880" w:type="dxa"/>
            <w:vAlign w:val="bottom"/>
            <w:gridSpan w:val="14"/>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9.</w:t>
            </w:r>
          </w:p>
        </w:tc>
        <w:tc>
          <w:tcPr>
            <w:tcW w:w="9040" w:type="dxa"/>
            <w:vAlign w:val="bottom"/>
            <w:gridSpan w:val="28"/>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9A.</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4520" w:type="dxa"/>
            <w:vAlign w:val="bottom"/>
            <w:tcBorders>
              <w:top w:val="single" w:sz="8" w:color="0000FF"/>
            </w:tcBorders>
            <w:gridSpan w:val="18"/>
          </w:tcPr>
          <w:p>
            <w:pPr>
              <w:spacing w:after="0"/>
              <w:rPr>
                <w:sz w:val="17"/>
                <w:szCs w:val="17"/>
                <w:color w:val="auto"/>
              </w:rPr>
            </w:pPr>
          </w:p>
        </w:tc>
        <w:tc>
          <w:tcPr>
            <w:tcW w:w="2820" w:type="dxa"/>
            <w:vAlign w:val="bottom"/>
            <w:gridSpan w:val="3"/>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9B.</w:t>
            </w:r>
          </w:p>
        </w:tc>
        <w:tc>
          <w:tcPr>
            <w:tcW w:w="9040" w:type="dxa"/>
            <w:vAlign w:val="bottom"/>
            <w:gridSpan w:val="28"/>
          </w:tcPr>
          <w:p>
            <w:pPr>
              <w:spacing w:after="0"/>
              <w:rPr>
                <w:sz w:val="20"/>
                <w:szCs w:val="20"/>
                <w:color w:val="auto"/>
              </w:rPr>
            </w:pPr>
            <w:r>
              <w:rPr>
                <w:rFonts w:ascii="Arial" w:cs="Arial" w:eastAsia="Arial" w:hAnsi="Arial"/>
                <w:sz w:val="17"/>
                <w:szCs w:val="17"/>
                <w:color w:val="0000FF"/>
              </w:rPr>
              <w:t>Other Information</w:t>
            </w:r>
          </w:p>
        </w:tc>
        <w:tc>
          <w:tcPr>
            <w:tcW w:w="78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9C.</w:t>
            </w:r>
          </w:p>
        </w:tc>
        <w:tc>
          <w:tcPr>
            <w:tcW w:w="9040" w:type="dxa"/>
            <w:vAlign w:val="bottom"/>
            <w:gridSpan w:val="28"/>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FF"/>
            </w:tcBorders>
            <w:gridSpan w:val="8"/>
          </w:tcPr>
          <w:p>
            <w:pPr>
              <w:jc w:val="center"/>
              <w:ind w:right="20"/>
              <w:spacing w:after="0"/>
              <w:rPr>
                <w:sz w:val="20"/>
                <w:szCs w:val="20"/>
                <w:color w:val="auto"/>
              </w:rPr>
            </w:pPr>
            <w:r>
              <w:rPr>
                <w:rFonts w:ascii="Arial" w:cs="Arial" w:eastAsia="Arial" w:hAnsi="Arial"/>
                <w:sz w:val="17"/>
                <w:szCs w:val="17"/>
                <w:b w:val="1"/>
                <w:bCs w:val="1"/>
                <w:color w:val="0000FF"/>
              </w:rPr>
              <w:t>PART III</w:t>
            </w:r>
          </w:p>
        </w:tc>
        <w:tc>
          <w:tcPr>
            <w:tcW w:w="416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10.</w:t>
            </w:r>
          </w:p>
        </w:tc>
        <w:tc>
          <w:tcPr>
            <w:tcW w:w="392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1"/>
              </w:rPr>
              <w:t>Directors, Executive Officers and Corporate Governance</w:t>
            </w:r>
          </w:p>
        </w:tc>
        <w:tc>
          <w:tcPr>
            <w:tcW w:w="5120" w:type="dxa"/>
            <w:vAlign w:val="bottom"/>
            <w:gridSpan w:val="15"/>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11.</w:t>
            </w:r>
          </w:p>
        </w:tc>
        <w:tc>
          <w:tcPr>
            <w:tcW w:w="9040" w:type="dxa"/>
            <w:vAlign w:val="bottom"/>
            <w:gridSpan w:val="28"/>
          </w:tcPr>
          <w:p>
            <w:pPr>
              <w:spacing w:after="0"/>
              <w:rPr>
                <w:sz w:val="20"/>
                <w:szCs w:val="20"/>
                <w:color w:val="auto"/>
              </w:rPr>
            </w:pPr>
            <w:r>
              <w:rPr>
                <w:rFonts w:ascii="Arial" w:cs="Arial" w:eastAsia="Arial" w:hAnsi="Arial"/>
                <w:sz w:val="17"/>
                <w:szCs w:val="17"/>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12.</w:t>
            </w:r>
          </w:p>
        </w:tc>
        <w:tc>
          <w:tcPr>
            <w:tcW w:w="9040" w:type="dxa"/>
            <w:vAlign w:val="bottom"/>
            <w:gridSpan w:val="28"/>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13.</w:t>
            </w:r>
          </w:p>
        </w:tc>
        <w:tc>
          <w:tcPr>
            <w:tcW w:w="6960" w:type="dxa"/>
            <w:vAlign w:val="bottom"/>
            <w:tcBorders>
              <w:top w:val="single" w:sz="8" w:color="0000FF"/>
            </w:tcBorders>
            <w:gridSpan w:val="26"/>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208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14.</w:t>
            </w:r>
          </w:p>
        </w:tc>
        <w:tc>
          <w:tcPr>
            <w:tcW w:w="5160" w:type="dxa"/>
            <w:vAlign w:val="bottom"/>
            <w:tcBorders>
              <w:top w:val="single" w:sz="8" w:color="0000FF"/>
            </w:tcBorders>
            <w:gridSpan w:val="23"/>
          </w:tcPr>
          <w:p>
            <w:pPr>
              <w:spacing w:after="0"/>
              <w:rPr>
                <w:sz w:val="20"/>
                <w:szCs w:val="20"/>
                <w:color w:val="auto"/>
              </w:rPr>
            </w:pPr>
            <w:r>
              <w:rPr>
                <w:rFonts w:ascii="Arial" w:cs="Arial" w:eastAsia="Arial" w:hAnsi="Arial"/>
                <w:sz w:val="17"/>
                <w:szCs w:val="17"/>
                <w:color w:val="0000FF"/>
              </w:rPr>
              <w:t>Principal Accountant Fees and Services</w:t>
            </w:r>
          </w:p>
        </w:tc>
        <w:tc>
          <w:tcPr>
            <w:tcW w:w="3880" w:type="dxa"/>
            <w:vAlign w:val="bottom"/>
            <w:gridSpan w:val="5"/>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6"/>
          </w:tcPr>
          <w:p>
            <w:pPr>
              <w:jc w:val="center"/>
              <w:spacing w:after="0"/>
              <w:rPr>
                <w:sz w:val="20"/>
                <w:szCs w:val="20"/>
                <w:color w:val="auto"/>
              </w:rPr>
            </w:pPr>
            <w:r>
              <w:rPr>
                <w:rFonts w:ascii="Arial" w:cs="Arial" w:eastAsia="Arial" w:hAnsi="Arial"/>
                <w:sz w:val="17"/>
                <w:szCs w:val="17"/>
                <w:b w:val="1"/>
                <w:bCs w:val="1"/>
                <w:color w:val="0000FF"/>
              </w:rPr>
              <w:t>PART IV</w:t>
            </w:r>
          </w:p>
        </w:tc>
        <w:tc>
          <w:tcPr>
            <w:tcW w:w="418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15.</w:t>
            </w:r>
          </w:p>
        </w:tc>
        <w:tc>
          <w:tcPr>
            <w:tcW w:w="9040" w:type="dxa"/>
            <w:vAlign w:val="bottom"/>
            <w:gridSpan w:val="28"/>
          </w:tcPr>
          <w:p>
            <w:pPr>
              <w:spacing w:after="0"/>
              <w:rPr>
                <w:sz w:val="20"/>
                <w:szCs w:val="20"/>
                <w:color w:val="auto"/>
              </w:rPr>
            </w:pPr>
            <w:r>
              <w:rPr>
                <w:rFonts w:ascii="Arial" w:cs="Arial" w:eastAsia="Arial" w:hAnsi="Arial"/>
                <w:sz w:val="17"/>
                <w:szCs w:val="17"/>
                <w:color w:val="0000FF"/>
              </w:rPr>
              <w:t>Exhibits and Financial Statement Schedules</w:t>
            </w:r>
          </w:p>
        </w:tc>
        <w:tc>
          <w:tcPr>
            <w:tcW w:w="78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074"/>
        </w:trPr>
        <w:tc>
          <w:tcPr>
            <w:tcW w:w="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gridSpan w:val="18"/>
          </w:tcPr>
          <w:p>
            <w:pPr>
              <w:jc w:val="center"/>
              <w:ind w:left="3634"/>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1" w:lineRule="exact"/>
        <w:rPr>
          <w:sz w:val="20"/>
          <w:szCs w:val="20"/>
          <w:color w:val="auto"/>
        </w:rPr>
      </w:pPr>
    </w:p>
    <w:p>
      <w:pPr>
        <w:ind w:firstLine="541"/>
        <w:spacing w:after="0" w:line="290" w:lineRule="auto"/>
        <w:rPr>
          <w:sz w:val="20"/>
          <w:szCs w:val="20"/>
          <w:color w:val="auto"/>
        </w:rPr>
      </w:pPr>
      <w:r>
        <w:rPr>
          <w:rFonts w:ascii="Arial" w:cs="Arial" w:eastAsia="Arial" w:hAnsi="Arial"/>
          <w:sz w:val="15"/>
          <w:szCs w:val="15"/>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our collaboration arrangements, commercialization activities and product sales levels by our collaboration partners and future payments that may come due to us under these arrangements, any statements regarding our plans and objectives to initiate or continue clinical trials, any statements related to potential, anticipated, or ongoing litigation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annual report on Form 10-K.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annual report on Form 10-K, the “Company,” “Nektar,” “we,” “us,” and “our” refer to Nektar Therapeutics, a Delaware corporation, and, where appropriate, its subsidiaries.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171" w:lineRule="exact"/>
        <w:rPr>
          <w:sz w:val="20"/>
          <w:szCs w:val="20"/>
          <w:color w:val="auto"/>
        </w:rPr>
      </w:pPr>
    </w:p>
    <w:p>
      <w:pPr>
        <w:ind w:right="60" w:firstLine="541"/>
        <w:spacing w:after="0" w:line="266" w:lineRule="auto"/>
        <w:rPr>
          <w:sz w:val="20"/>
          <w:szCs w:val="20"/>
          <w:color w:val="auto"/>
        </w:rPr>
      </w:pPr>
      <w:r>
        <w:rPr>
          <w:rFonts w:ascii="Arial" w:cs="Arial" w:eastAsia="Arial" w:hAnsi="Arial"/>
          <w:sz w:val="17"/>
          <w:szCs w:val="17"/>
          <w:color w:val="auto"/>
        </w:rPr>
        <w:t>The Nektar brand and product names, including but not limited to Nektar</w:t>
      </w:r>
      <w:r>
        <w:rPr>
          <w:rFonts w:ascii="Arial" w:cs="Arial" w:eastAsia="Arial" w:hAnsi="Arial"/>
          <w:sz w:val="10"/>
          <w:szCs w:val="10"/>
          <w:color w:val="auto"/>
        </w:rPr>
        <w:t>®</w:t>
      </w:r>
      <w:r>
        <w:rPr>
          <w:rFonts w:ascii="Arial" w:cs="Arial" w:eastAsia="Arial" w:hAnsi="Arial"/>
          <w:sz w:val="17"/>
          <w:szCs w:val="17"/>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Risks</w:t>
      </w:r>
    </w:p>
    <w:p>
      <w:pPr>
        <w:spacing w:after="0" w:line="24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Risks to our business are more fully described below in Item IA in this Form 10-K, which risks include, among others:</w:t>
      </w:r>
    </w:p>
    <w:p>
      <w:pPr>
        <w:spacing w:after="0" w:line="237"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t>Risks Related to our Research and Development Efforts</w:t>
      </w:r>
      <w:r>
        <w:rPr>
          <w:rFonts w:ascii="Arial" w:cs="Arial" w:eastAsia="Arial" w:hAnsi="Arial"/>
          <w:sz w:val="17"/>
          <w:szCs w:val="17"/>
          <w:b w:val="1"/>
          <w:bCs w:val="1"/>
          <w:color w:val="auto"/>
        </w:rPr>
        <w:t>:</w:t>
      </w:r>
    </w:p>
    <w:p>
      <w:pPr>
        <w:spacing w:after="0" w:line="68" w:lineRule="exact"/>
        <w:rPr>
          <w:rFonts w:ascii="Arial" w:cs="Arial" w:eastAsia="Arial" w:hAnsi="Arial"/>
          <w:sz w:val="17"/>
          <w:szCs w:val="17"/>
          <w:color w:val="auto"/>
        </w:rPr>
      </w:pPr>
    </w:p>
    <w:p>
      <w:pPr>
        <w:ind w:left="1240" w:right="340" w:hanging="309"/>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clinical drug development is a lengthy and uncertain process and we may not be able to generate and develop successful drug candidates for commercial use;</w:t>
      </w:r>
    </w:p>
    <w:p>
      <w:pPr>
        <w:spacing w:after="0" w:line="9" w:lineRule="exact"/>
        <w:rPr>
          <w:rFonts w:ascii="Arial" w:cs="Arial" w:eastAsia="Arial" w:hAnsi="Arial"/>
          <w:sz w:val="17"/>
          <w:szCs w:val="17"/>
          <w:color w:val="auto"/>
        </w:rPr>
      </w:pPr>
    </w:p>
    <w:p>
      <w:pPr>
        <w:ind w:left="1240" w:right="300" w:hanging="309"/>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are highly dependent on the success of rezpegaldesleukin (previously referred to as NKTR-358) and NKTR-255 and our business will be significantly harmed if either rezpegaldesleukin or NKTR-255 do not continue to advance in clinical studies;</w:t>
      </w:r>
    </w:p>
    <w:p>
      <w:pPr>
        <w:spacing w:after="0" w:line="9" w:lineRule="exact"/>
        <w:rPr>
          <w:rFonts w:ascii="Arial" w:cs="Arial" w:eastAsia="Arial" w:hAnsi="Arial"/>
          <w:sz w:val="17"/>
          <w:szCs w:val="17"/>
          <w:color w:val="auto"/>
        </w:rPr>
      </w:pPr>
    </w:p>
    <w:p>
      <w:pPr>
        <w:ind w:left="1240" w:right="40" w:hanging="309"/>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outcomes from competitive immunotherapy clinical trials, and the discovery and development of new potential immunotherapy could have a material and adverse impact on the value of our pipeline;</w:t>
      </w:r>
    </w:p>
    <w:p>
      <w:pPr>
        <w:spacing w:after="0" w:line="9" w:lineRule="exact"/>
        <w:rPr>
          <w:rFonts w:ascii="Arial" w:cs="Arial" w:eastAsia="Arial" w:hAnsi="Arial"/>
          <w:sz w:val="17"/>
          <w:szCs w:val="17"/>
          <w:color w:val="auto"/>
        </w:rPr>
      </w:pPr>
    </w:p>
    <w:p>
      <w:pPr>
        <w:ind w:left="1240" w:right="580" w:hanging="309"/>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significant competition for our polymer conjugate chemistry technology platforms and our products and drug candidates could make our technologies, drug products or drug candidates obsolete or uncompetitive;</w:t>
      </w:r>
    </w:p>
    <w:p>
      <w:pPr>
        <w:spacing w:after="0" w:line="9" w:lineRule="exact"/>
        <w:rPr>
          <w:rFonts w:ascii="Arial" w:cs="Arial" w:eastAsia="Arial" w:hAnsi="Arial"/>
          <w:sz w:val="17"/>
          <w:szCs w:val="17"/>
          <w:color w:val="auto"/>
        </w:rPr>
      </w:pPr>
    </w:p>
    <w:p>
      <w:pPr>
        <w:ind w:left="1240" w:right="60" w:hanging="309"/>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preliminary and interim data from our clinical studies are subject to audit and verification procedures that could result in material changes in the final data and may change as more patient data become available; and</w:t>
      </w:r>
    </w:p>
    <w:p>
      <w:pPr>
        <w:spacing w:after="0" w:line="9" w:lineRule="exact"/>
        <w:rPr>
          <w:rFonts w:ascii="Arial" w:cs="Arial" w:eastAsia="Arial" w:hAnsi="Arial"/>
          <w:sz w:val="17"/>
          <w:szCs w:val="17"/>
          <w:color w:val="auto"/>
        </w:rPr>
      </w:pPr>
    </w:p>
    <w:p>
      <w:pPr>
        <w:ind w:left="1240" w:hanging="309"/>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clinical trials for any of our drug candidates could be delayed for a variety of reasons.</w:t>
      </w:r>
    </w:p>
    <w:p>
      <w:pPr>
        <w:spacing w:after="0" w:line="5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t>Risks Related to our Financial Condition and Capital Requirements</w:t>
      </w:r>
      <w:r>
        <w:rPr>
          <w:rFonts w:ascii="Arial" w:cs="Arial" w:eastAsia="Arial" w:hAnsi="Arial"/>
          <w:sz w:val="17"/>
          <w:szCs w:val="17"/>
          <w:b w:val="1"/>
          <w:bCs w:val="1"/>
          <w:color w:val="auto"/>
        </w:rPr>
        <w:t>:</w:t>
      </w:r>
    </w:p>
    <w:p>
      <w:pPr>
        <w:spacing w:after="0" w:line="17" w:lineRule="exact"/>
        <w:rPr>
          <w:rFonts w:ascii="Arial" w:cs="Arial" w:eastAsia="Arial" w:hAnsi="Arial"/>
          <w:sz w:val="17"/>
          <w:szCs w:val="17"/>
          <w:color w:val="auto"/>
        </w:rPr>
      </w:pPr>
    </w:p>
    <w:p>
      <w:pPr>
        <w:ind w:left="1240" w:right="340" w:hanging="309"/>
        <w:spacing w:after="0" w:line="237"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have implemented a 2022 strategic reorganization plan and cost restructuring plan to focus on prioritizing key research and development efforts and our business will be significantly harmed if either of these plans is unsuccessful;</w:t>
      </w:r>
    </w:p>
    <w:p>
      <w:pPr>
        <w:ind w:left="1240" w:right="300" w:hanging="309"/>
        <w:spacing w:after="0" w:line="246"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may undertake additional restructuring and cost-saving activities in the future, which could further harm our market valuation, prospects, financial condition and results of operations;</w:t>
      </w:r>
    </w:p>
    <w:p>
      <w:pPr>
        <w:spacing w:after="0" w:line="36" w:lineRule="exact"/>
        <w:rPr>
          <w:rFonts w:ascii="Arial" w:cs="Arial" w:eastAsia="Arial" w:hAnsi="Arial"/>
          <w:sz w:val="17"/>
          <w:szCs w:val="17"/>
          <w:color w:val="auto"/>
        </w:rPr>
      </w:pPr>
    </w:p>
    <w:p>
      <w:pPr>
        <w:ind w:left="1240" w:hanging="309"/>
        <w:spacing w:after="0"/>
        <w:tabs>
          <w:tab w:leader="none" w:pos="1240" w:val="left"/>
        </w:tabs>
        <w:numPr>
          <w:ilvl w:val="1"/>
          <w:numId w:val="3"/>
        </w:numPr>
        <w:rPr>
          <w:rFonts w:ascii="Arial" w:cs="Arial" w:eastAsia="Arial" w:hAnsi="Arial"/>
          <w:sz w:val="15"/>
          <w:szCs w:val="15"/>
          <w:color w:val="auto"/>
        </w:rPr>
      </w:pPr>
      <w:r>
        <w:rPr>
          <w:rFonts w:ascii="Arial" w:cs="Arial" w:eastAsia="Arial" w:hAnsi="Arial"/>
          <w:sz w:val="15"/>
          <w:szCs w:val="15"/>
          <w:color w:val="auto"/>
        </w:rPr>
        <w:t>we have substantial future capital requirements and there is a risk we may not have access to sufficient capital to meet our current business plan;</w:t>
      </w:r>
    </w:p>
    <w:p>
      <w:pPr>
        <w:spacing w:after="0" w:line="85" w:lineRule="exact"/>
        <w:rPr>
          <w:rFonts w:ascii="Arial" w:cs="Arial" w:eastAsia="Arial" w:hAnsi="Arial"/>
          <w:sz w:val="15"/>
          <w:szCs w:val="15"/>
          <w:color w:val="auto"/>
        </w:rPr>
      </w:pPr>
    </w:p>
    <w:p>
      <w:pPr>
        <w:ind w:left="1240" w:right="40" w:hanging="309"/>
        <w:spacing w:after="0" w:line="266"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revenue is exclusively derived from our collaboration agreements. If we are unable to establish and maintain collaboration partnerships with attractive commercial terms, including significant development milestones and research and development cost-sharing, our business, results of operations and financial condition could suffer; and</w:t>
      </w:r>
    </w:p>
    <w:p>
      <w:pPr>
        <w:spacing w:after="0" w:line="20" w:lineRule="exact"/>
        <w:rPr>
          <w:rFonts w:ascii="Arial" w:cs="Arial" w:eastAsia="Arial" w:hAnsi="Arial"/>
          <w:sz w:val="17"/>
          <w:szCs w:val="17"/>
          <w:color w:val="auto"/>
        </w:rPr>
      </w:pPr>
    </w:p>
    <w:p>
      <w:pPr>
        <w:ind w:left="1240" w:hanging="309"/>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expect to continue to incur substantial net losses from operations and may not achieve or sustain profitability in the future.</w:t>
      </w:r>
    </w:p>
    <w:p>
      <w:pPr>
        <w:spacing w:after="0" w:line="5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b w:val="1"/>
          <w:bCs w:val="1"/>
          <w:u w:val="single" w:color="auto"/>
          <w:color w:val="auto"/>
        </w:rPr>
        <w:t>Risks Related to our Collaboration Partners</w:t>
      </w:r>
      <w:r>
        <w:rPr>
          <w:rFonts w:ascii="Arial" w:cs="Arial" w:eastAsia="Arial" w:hAnsi="Arial"/>
          <w:sz w:val="17"/>
          <w:szCs w:val="17"/>
          <w:b w:val="1"/>
          <w:bCs w:val="1"/>
          <w:color w:val="auto"/>
        </w:rPr>
        <w:t>:</w:t>
      </w:r>
    </w:p>
    <w:p>
      <w:pPr>
        <w:spacing w:after="0" w:line="68" w:lineRule="exact"/>
        <w:rPr>
          <w:rFonts w:ascii="Arial" w:cs="Arial" w:eastAsia="Arial" w:hAnsi="Arial"/>
          <w:sz w:val="17"/>
          <w:szCs w:val="17"/>
          <w:color w:val="auto"/>
        </w:rPr>
      </w:pPr>
    </w:p>
    <w:p>
      <w:pPr>
        <w:ind w:left="1240" w:right="80" w:hanging="309"/>
        <w:spacing w:after="0" w:line="310" w:lineRule="auto"/>
        <w:tabs>
          <w:tab w:leader="none" w:pos="1236" w:val="left"/>
        </w:tabs>
        <w:numPr>
          <w:ilvl w:val="1"/>
          <w:numId w:val="3"/>
        </w:numPr>
        <w:rPr>
          <w:rFonts w:ascii="Arial" w:cs="Arial" w:eastAsia="Arial" w:hAnsi="Arial"/>
          <w:sz w:val="15"/>
          <w:szCs w:val="15"/>
          <w:color w:val="auto"/>
        </w:rPr>
      </w:pPr>
      <w:r>
        <w:rPr>
          <w:rFonts w:ascii="Arial" w:cs="Arial" w:eastAsia="Arial" w:hAnsi="Arial"/>
          <w:sz w:val="15"/>
          <w:szCs w:val="15"/>
          <w:color w:val="auto"/>
        </w:rPr>
        <w:t>we are highly dependent on Eli Lilly and Company, our collaboration partner for rezpegaldesleukin to initiate, properly conduct and prioritize clinical trials for rezpegaldesleukin and to perform important additional development and commercialization activities, and our business will be significantly harmed if our partner deprioritizes or discontinues clinical trials in or otherwise harm the prospects of rezpegaldesleukin; and</w:t>
      </w:r>
    </w:p>
    <w:p>
      <w:pPr>
        <w:spacing w:after="0" w:line="2" w:lineRule="exact"/>
        <w:rPr>
          <w:rFonts w:ascii="Arial" w:cs="Arial" w:eastAsia="Arial" w:hAnsi="Arial"/>
          <w:sz w:val="15"/>
          <w:szCs w:val="15"/>
          <w:color w:val="auto"/>
        </w:rPr>
      </w:pPr>
    </w:p>
    <w:p>
      <w:pPr>
        <w:ind w:left="1240" w:right="100" w:hanging="309"/>
        <w:spacing w:after="0" w:line="266"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may rely on academic and private non-academic institutions to conduct investigator-sponsored clinical studies or trials of our product candidates and any failure by the investigator-sponsor to meet its obligations with respect to the clinical development of our product candidates may delay or impair our ability to obtain regulatory approval or commercialize for other product candidates.</w:t>
      </w:r>
    </w:p>
    <w:p>
      <w:pPr>
        <w:spacing w:after="0" w:line="1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Risks Related to Supply and Manufacturing</w:t>
      </w:r>
      <w:r>
        <w:rPr>
          <w:rFonts w:ascii="Arial" w:cs="Arial" w:eastAsia="Arial" w:hAnsi="Arial"/>
          <w:sz w:val="17"/>
          <w:szCs w:val="17"/>
          <w:b w:val="1"/>
          <w:bCs w:val="1"/>
          <w:color w:val="auto"/>
        </w:rPr>
        <w:t>:</w:t>
      </w:r>
    </w:p>
    <w:p>
      <w:pPr>
        <w:spacing w:after="0" w:line="68" w:lineRule="exact"/>
        <w:rPr>
          <w:rFonts w:ascii="Arial" w:cs="Arial" w:eastAsia="Arial" w:hAnsi="Arial"/>
          <w:sz w:val="17"/>
          <w:szCs w:val="17"/>
          <w:b w:val="1"/>
          <w:bCs w:val="1"/>
          <w:color w:val="auto"/>
        </w:rPr>
      </w:pPr>
    </w:p>
    <w:p>
      <w:pPr>
        <w:ind w:left="1240" w:right="340" w:hanging="309"/>
        <w:spacing w:after="0" w:line="279" w:lineRule="auto"/>
        <w:tabs>
          <w:tab w:leader="none" w:pos="1236"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we or our contract manufacturers are not able to manufacture drugs or drug substances in sufficient quantities that meet applicable quality standards, our business, financial condition and results of operations could be harmed; and</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1240" w:hanging="309"/>
        <w:spacing w:after="0" w:line="279"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purchase some of the starting material for drugs and drug candidates from a single source or a limited number of suppliers, and the partial or complete loss of one of these suppliers could cause delays, loss of revenue and contract liability.</w:t>
      </w:r>
    </w:p>
    <w:p>
      <w:pPr>
        <w:spacing w:after="0" w:line="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Risks Related to Intellectual Property, Litigation and Regulatory Concerns</w:t>
      </w:r>
      <w:r>
        <w:rPr>
          <w:rFonts w:ascii="Arial" w:cs="Arial" w:eastAsia="Arial" w:hAnsi="Arial"/>
          <w:sz w:val="17"/>
          <w:szCs w:val="17"/>
          <w:b w:val="1"/>
          <w:bCs w:val="1"/>
          <w:color w:val="auto"/>
        </w:rPr>
        <w:t>:</w:t>
      </w:r>
    </w:p>
    <w:p>
      <w:pPr>
        <w:spacing w:after="0" w:line="68" w:lineRule="exact"/>
        <w:rPr>
          <w:rFonts w:ascii="Arial" w:cs="Arial" w:eastAsia="Arial" w:hAnsi="Arial"/>
          <w:sz w:val="17"/>
          <w:szCs w:val="17"/>
          <w:b w:val="1"/>
          <w:bCs w:val="1"/>
          <w:color w:val="auto"/>
        </w:rPr>
      </w:pPr>
    </w:p>
    <w:p>
      <w:pPr>
        <w:ind w:left="1240" w:hanging="309"/>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or our partners may not obtain regulatory approval for our drug candidates on a timely basis, or at all;</w:t>
      </w:r>
    </w:p>
    <w:p>
      <w:pPr>
        <w:spacing w:after="0" w:line="62" w:lineRule="exact"/>
        <w:rPr>
          <w:rFonts w:ascii="Arial" w:cs="Arial" w:eastAsia="Arial" w:hAnsi="Arial"/>
          <w:sz w:val="17"/>
          <w:szCs w:val="17"/>
          <w:color w:val="auto"/>
        </w:rPr>
      </w:pPr>
    </w:p>
    <w:p>
      <w:pPr>
        <w:jc w:val="both"/>
        <w:ind w:left="1240" w:right="420" w:hanging="309"/>
        <w:spacing w:after="0" w:line="322" w:lineRule="auto"/>
        <w:tabs>
          <w:tab w:leader="none" w:pos="1236" w:val="left"/>
        </w:tabs>
        <w:numPr>
          <w:ilvl w:val="1"/>
          <w:numId w:val="4"/>
        </w:numPr>
        <w:rPr>
          <w:rFonts w:ascii="Arial" w:cs="Arial" w:eastAsia="Arial" w:hAnsi="Arial"/>
          <w:sz w:val="15"/>
          <w:szCs w:val="15"/>
          <w:color w:val="auto"/>
        </w:rPr>
      </w:pPr>
      <w:r>
        <w:rPr>
          <w:rFonts w:ascii="Arial" w:cs="Arial" w:eastAsia="Arial" w:hAnsi="Arial"/>
          <w:sz w:val="15"/>
          <w:szCs w:val="15"/>
          <w:color w:val="auto"/>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1" w:lineRule="exact"/>
        <w:rPr>
          <w:rFonts w:ascii="Arial" w:cs="Arial" w:eastAsia="Arial" w:hAnsi="Arial"/>
          <w:sz w:val="15"/>
          <w:szCs w:val="15"/>
          <w:color w:val="auto"/>
        </w:rPr>
      </w:pPr>
    </w:p>
    <w:p>
      <w:pPr>
        <w:ind w:left="1240" w:right="120" w:hanging="309"/>
        <w:spacing w:after="0" w:line="279"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color w:val="auto"/>
        </w:rPr>
        <w:t>from time to time, we are involved in legal proceedings and may incur substantial litigation costs and liabilities that could adversely affect our business, financial condition and results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above-mentioned risks, our business is subject to a number of additional risks faced by businesses generally.</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3" w:lineRule="exact"/>
        <w:rPr>
          <w:sz w:val="20"/>
          <w:szCs w:val="20"/>
          <w:color w:val="auto"/>
        </w:rPr>
      </w:pPr>
    </w:p>
    <w:p>
      <w:pPr>
        <w:ind w:right="180" w:firstLine="619"/>
        <w:spacing w:after="0" w:line="257" w:lineRule="auto"/>
        <w:rPr>
          <w:sz w:val="20"/>
          <w:szCs w:val="20"/>
          <w:color w:val="auto"/>
        </w:rPr>
      </w:pPr>
      <w:r>
        <w:rPr>
          <w:rFonts w:ascii="Arial" w:cs="Arial" w:eastAsia="Arial" w:hAnsi="Arial"/>
          <w:sz w:val="17"/>
          <w:szCs w:val="17"/>
          <w:color w:val="auto"/>
        </w:rPr>
        <w:t>Nektar Therapeutics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and unparalleled expertise in polymer chemistry to create innovative drug candidates and use our drug development expertise to advance these molecules through preclinical and clinical development. Our pipeline of clinical-stage immunomodulatory agents targets the treatment of autoimmune diseases and cancer. We continue to make significant investments in building and advancing our pipeline of drug candidates as we believe that this is the best strategy to build long-term shareholder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Drug Candidates and Pipeline</w:t>
      </w:r>
    </w:p>
    <w:p>
      <w:pPr>
        <w:spacing w:after="0" w:line="200" w:lineRule="exact"/>
        <w:rPr>
          <w:sz w:val="20"/>
          <w:szCs w:val="20"/>
          <w:color w:val="auto"/>
        </w:rPr>
      </w:pPr>
    </w:p>
    <w:p>
      <w:pPr>
        <w:spacing w:after="0" w:line="255" w:lineRule="exact"/>
        <w:rPr>
          <w:sz w:val="20"/>
          <w:szCs w:val="20"/>
          <w:color w:val="auto"/>
        </w:rPr>
      </w:pPr>
    </w:p>
    <w:p>
      <w:pPr>
        <w:ind w:right="360" w:firstLine="619"/>
        <w:spacing w:after="0" w:line="266" w:lineRule="auto"/>
        <w:rPr>
          <w:sz w:val="20"/>
          <w:szCs w:val="20"/>
          <w:color w:val="auto"/>
        </w:rPr>
      </w:pPr>
      <w:r>
        <w:rPr>
          <w:rFonts w:ascii="Arial" w:cs="Arial" w:eastAsia="Arial" w:hAnsi="Arial"/>
          <w:sz w:val="17"/>
          <w:szCs w:val="17"/>
          <w:color w:val="auto"/>
        </w:rPr>
        <w:t>By modulating the immune system, our drug candidates target pathways that play critical roles in a wide range of serious diseases. In autoimmune diseases, our focus is on addressing imbalances in the immune system to restore the body’s self-tolerance mechanisms and to achieve immune homeostasis. In oncology, we are focused on activating the immune system’s natural tumor-fighting mechanisms.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Autoimmune diseases (rezpegaldesleukin, formerly NKTR-358)</w:t>
      </w:r>
    </w:p>
    <w:p>
      <w:pPr>
        <w:spacing w:after="0" w:line="217" w:lineRule="exact"/>
        <w:rPr>
          <w:sz w:val="20"/>
          <w:szCs w:val="20"/>
          <w:color w:val="auto"/>
        </w:rPr>
      </w:pPr>
    </w:p>
    <w:p>
      <w:pPr>
        <w:ind w:right="100" w:firstLine="619"/>
        <w:spacing w:after="0" w:line="284" w:lineRule="auto"/>
        <w:rPr>
          <w:sz w:val="20"/>
          <w:szCs w:val="20"/>
          <w:color w:val="auto"/>
        </w:rPr>
      </w:pPr>
      <w:r>
        <w:rPr>
          <w:rFonts w:ascii="Arial" w:cs="Arial" w:eastAsia="Arial" w:hAnsi="Arial"/>
          <w:sz w:val="16"/>
          <w:szCs w:val="16"/>
          <w:color w:val="auto"/>
        </w:rPr>
        <w:t>We recognize that many autoimmune diseases are caused by an imbalance in the body’s immune system. A failure of the body's self-tolerance mechanisms enables the formation of pathogenic T cells that cause the immune system to mistakenly attack and damage healthy cells in a person’s body. Current systemic treatments for autoimmune diseases, including corticosteroids and anti-TNF agents, suppress the immune system broadly and come with severe side effects. Pharmaceutical agents designed to rebalance the immune system by increasing the function of regulatory T cells (Treg cells), powerful inhibitory immune cells, could be used to treat patients suffering from autoimmune disorders and inflammatory diseases.</w:t>
      </w:r>
    </w:p>
    <w:p>
      <w:pPr>
        <w:spacing w:after="0" w:line="188" w:lineRule="exact"/>
        <w:rPr>
          <w:sz w:val="20"/>
          <w:szCs w:val="20"/>
          <w:color w:val="auto"/>
        </w:rPr>
      </w:pPr>
    </w:p>
    <w:p>
      <w:pPr>
        <w:ind w:firstLine="619"/>
        <w:spacing w:after="0" w:line="263" w:lineRule="auto"/>
        <w:rPr>
          <w:sz w:val="20"/>
          <w:szCs w:val="20"/>
          <w:color w:val="auto"/>
        </w:rPr>
      </w:pPr>
      <w:r>
        <w:rPr>
          <w:rFonts w:ascii="Arial" w:cs="Arial" w:eastAsia="Arial" w:hAnsi="Arial"/>
          <w:sz w:val="16"/>
          <w:szCs w:val="16"/>
          <w:color w:val="auto"/>
        </w:rPr>
        <w:t xml:space="preserve">Rezpegaldesleukin has advanced to Phase 2 development, which our collaboration partner, Lilly, has carried out in various indications. On February 23, 2023, we announced the topline data from the Phase 2 study of rezpegaldesleukin in adult patients with systemic lupus erythematosus (SLE) (Phase 2 Lupus Study). The primary endpoint of the Phase 2 Lupus Study, a </w:t>
      </w:r>
      <w:r>
        <w:rPr>
          <w:rFonts w:ascii="Arial" w:cs="Arial" w:eastAsia="Arial" w:hAnsi="Arial"/>
          <w:sz w:val="16"/>
          <w:szCs w:val="16"/>
          <w:u w:val="single" w:color="auto"/>
          <w:color w:val="auto"/>
        </w:rPr>
        <w:t>&gt;</w:t>
      </w:r>
      <w:r>
        <w:rPr>
          <w:rFonts w:ascii="Arial" w:cs="Arial" w:eastAsia="Arial" w:hAnsi="Arial"/>
          <w:sz w:val="16"/>
          <w:szCs w:val="16"/>
          <w:color w:val="auto"/>
        </w:rPr>
        <w:t>4-points reduction in Systemic Lupus Erythematosus Disease Activity Index 2000 (SLEDAI-2K) score, was not met and Lilly has notified us that it does not intend to advance rezpegaldesleukin into Phase 3 development for SLE. Although the Phase 2 Lupus Study did not meet its primary endpoint, patients within the modified intent-to-treat population, defined as all patients who were randomized and received at least one dose of study medication, that were treated with rezpegaldesleukin demonstrated improvement in SLEDAI-2K score as compared to placebo. Additionally, clinically meaningful improvements were observed in the British Isles Lupus Assessment Group (BILAG)-Based Composite Lupus Assessment (BICLA) response and Lupus Low Disease Activity State (LLDAS) as compared to placebo, and exploratory biomarker data also showed that rezpegaldesleukin led to dose-dependent proliferation of Treg cells, which was consistent with prior studies.</w:t>
      </w:r>
    </w:p>
    <w:p>
      <w:pPr>
        <w:spacing w:after="0" w:line="197" w:lineRule="exact"/>
        <w:rPr>
          <w:sz w:val="20"/>
          <w:szCs w:val="20"/>
          <w:color w:val="auto"/>
        </w:rPr>
      </w:pPr>
    </w:p>
    <w:p>
      <w:pPr>
        <w:ind w:right="80" w:firstLine="619"/>
        <w:spacing w:after="0" w:line="282" w:lineRule="auto"/>
        <w:rPr>
          <w:sz w:val="20"/>
          <w:szCs w:val="20"/>
          <w:color w:val="auto"/>
        </w:rPr>
      </w:pPr>
      <w:r>
        <w:rPr>
          <w:rFonts w:ascii="Arial" w:cs="Arial" w:eastAsia="Arial" w:hAnsi="Arial"/>
          <w:sz w:val="16"/>
          <w:szCs w:val="16"/>
          <w:color w:val="auto"/>
        </w:rPr>
        <w:t>Lilly has also completed a Phase 1b study in patients with atopic dermatitis. We and Lilly are working together to determine next steps for the planned Phase 2b study in atopic dermatitis as well as a potential third Phase 2 study in a yet-to-be-announced autoimmune indication. We previously announced that Lilly would be discontinuing further development of rezpegaldesleukin in ulcerative colitis and psoriasis in order to prioritize other indications.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Oncology (NKTR-255)</w:t>
      </w:r>
    </w:p>
    <w:p>
      <w:pPr>
        <w:spacing w:after="0" w:line="24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In oncology, we focus on developing medicines based on targeting biological pathways that stimulate and sustain the body’s immune response in order to fight cancer. NKTR-255 is an investigational biologic that is designed to target the interleukin-15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and durable anti-tumor immune response. Our development strategy for NKTR-255 is focused on three therapeutic areas: to</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line="1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002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8002270"/>
                    </a:xfrm>
                    <a:prstGeom prst="rect">
                      <a:avLst/>
                    </a:prstGeom>
                    <a:noFill/>
                  </pic:spPr>
                </pic:pic>
              </a:graphicData>
            </a:graphic>
          </wp:anchor>
        </w:drawing>
      </w:r>
    </w:p>
    <w:p>
      <w:pPr>
        <w:ind w:right="100"/>
        <w:spacing w:after="0" w:line="279" w:lineRule="auto"/>
        <w:rPr>
          <w:sz w:val="20"/>
          <w:szCs w:val="20"/>
          <w:color w:val="auto"/>
        </w:rPr>
      </w:pPr>
      <w:r>
        <w:rPr>
          <w:rFonts w:ascii="Arial" w:cs="Arial" w:eastAsia="Arial" w:hAnsi="Arial"/>
          <w:sz w:val="17"/>
          <w:szCs w:val="17"/>
          <w:color w:val="auto"/>
        </w:rPr>
        <w:t>enhance response to antibody-dependent cellular cytotoxicity (ADCC) mediated therapies by restoring NK cells, to improve CAR-T cell persistency in cellular therapies and to augment response to checkpoint inhibitors.</w:t>
      </w:r>
    </w:p>
    <w:p>
      <w:pPr>
        <w:spacing w:after="0" w:line="190" w:lineRule="exact"/>
        <w:rPr>
          <w:sz w:val="20"/>
          <w:szCs w:val="20"/>
          <w:color w:val="auto"/>
        </w:rPr>
      </w:pPr>
    </w:p>
    <w:p>
      <w:pPr>
        <w:ind w:firstLine="619"/>
        <w:spacing w:after="0" w:line="271" w:lineRule="auto"/>
        <w:rPr>
          <w:sz w:val="20"/>
          <w:szCs w:val="20"/>
          <w:color w:val="auto"/>
        </w:rPr>
      </w:pPr>
      <w:r>
        <w:rPr>
          <w:rFonts w:ascii="Arial" w:cs="Arial" w:eastAsia="Arial" w:hAnsi="Arial"/>
          <w:sz w:val="16"/>
          <w:szCs w:val="16"/>
          <w:color w:val="auto"/>
        </w:rPr>
        <w:t xml:space="preserve">We are studying NKTR-255 in ADCC combinations in both liquid and solid tumors. We have initiated a Phase 1 dose escalation and expansion study of NKTR-255 in patients with relapsed or refractory non-Hodgkin lymphoma or multiple myeloma where patients are treated with NKTR-255 as a monotherapy or NKTR-255 in combination with daratumumab. We have also initiated a Phase 1/2 study of NKTR-255 in patients with relapsed or refractory head and neck squamous cell carcinoma or colorectal cancer where patients are treated with NKTR-255 in combination with cetuximab. We expect to receive data from the expansion stage of both studies in the second half of 2023. We are evaluating NKTR-255 following treatment with CAR-T cell therapy and initiated a Nektar-sponsored Phase 2/3 study (currently in the Phase 2 portion) to evaluate NKTR-255 following Yescarta® or Breyanzi® CD19 CAR-T cell therapy in patients with large B-cell lymphoma. We expect initial data from the study to be available in the second half of 2024. Two ongoing investigator sponsored trials are also studying NKTR-255 in combination with CAR-T cell therapy. These studies include a Phase 1 study evaluating NKTR-255 in combination with CD19 CAR-T cell therapy in patients with relapsed or refractory large B-cell lymphoma and a Phase 1 study evaluating NKTR-255 in combination with CD19/22 CAR-T cell therapy in patients with relapsed or refractory B-cell acute lymphoblastic leukemia. A third investigator sponsored study is evaluating NKTR-255 in combination with darvulumab in patients with unresectable Stage 3 non-small cell lung cancer who have received chemoradiation. We are </w:t>
      </w:r>
      <w:r>
        <w:rPr>
          <w:rFonts w:ascii="Arial" w:cs="Arial" w:eastAsia="Arial" w:hAnsi="Arial"/>
          <w:sz w:val="16"/>
          <w:szCs w:val="16"/>
          <w:color w:val="auto"/>
          <w:highlight w:val="white"/>
        </w:rPr>
        <w:t>continuing our oncology clinical</w:t>
      </w:r>
      <w:r>
        <w:rPr>
          <w:rFonts w:ascii="Arial" w:cs="Arial" w:eastAsia="Arial" w:hAnsi="Arial"/>
          <w:sz w:val="16"/>
          <w:szCs w:val="16"/>
          <w:color w:val="auto"/>
        </w:rPr>
        <w:t xml:space="preserve"> </w:t>
      </w:r>
      <w:r>
        <w:rPr>
          <w:rFonts w:ascii="Arial" w:cs="Arial" w:eastAsia="Arial" w:hAnsi="Arial"/>
          <w:sz w:val="16"/>
          <w:szCs w:val="16"/>
          <w:color w:val="auto"/>
          <w:highlight w:val="white"/>
        </w:rPr>
        <w:t>collaboration with Merck KGaA and Pfizer Inc. to evaluate the maintenance regimen of NKTR-255 in combination with avelumab, a PD-L1 inhibitor, in patients with locally advanced or metastatic urothelial carcinoma in the Phase II JAVELIN Bladder Medley study. We expect to receive topline data from the study in the second half of 2024.</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Research and Development Programs and Our Advanced Polymer Conjugate Technology Platform</w:t>
      </w:r>
    </w:p>
    <w:p>
      <w:pPr>
        <w:spacing w:after="0" w:line="243"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highlight w:val="white"/>
        </w:rPr>
        <w:t xml:space="preserve">We believe it is important to maintain a diverse pipeline of new drug candidates to build on the value of our business. Our discovery research organization is continuing to identify new drug candidates by applying our technology platform to a wide range of molecule classes, including small molecules and proteins, peptides and antibodies. We aim to advance our most promising research drug candidates into preclinical development with the objective of advancing these early-stage research programs to human clinical studies over the next several years. One of our research programs is focused on developing a tumor necrosis factor (TNF) receptor 2 (TNFR2) agonist antibody. TNFR2 signaling drives immunoregulatory function and can provide a direct protective effect for tissue cells. Our focus is on TNFR2 antibody candidates that show selective Treg cell binding and signaling profiles that may be developed for treatment of autoimmune diseases. In connection with this program, we are targeting </w:t>
      </w:r>
      <w:r>
        <w:rPr>
          <w:rFonts w:ascii="Arial" w:cs="Arial" w:eastAsia="Arial" w:hAnsi="Arial"/>
          <w:sz w:val="16"/>
          <w:szCs w:val="16"/>
          <w:color w:val="auto"/>
        </w:rPr>
        <w:t>IND</w:t>
      </w:r>
      <w:r>
        <w:rPr>
          <w:rFonts w:ascii="Arial" w:cs="Arial" w:eastAsia="Arial" w:hAnsi="Arial"/>
          <w:sz w:val="16"/>
          <w:szCs w:val="16"/>
          <w:color w:val="auto"/>
          <w:highlight w:val="white"/>
        </w:rPr>
        <w:t xml:space="preserve"> readiness for a lead TNFR2 agonist antibody candidate by the end of 2023 in order to submit an Investigational New Drug (IND) filing for the first clinical study in 2024. We also plan to continue our preclinical stage NKTR-288 development program. NKTR-288 is an investigational PEG conjugate of the protein interferon gamma that is designed utilizing a site-specific conjugation approach to modify binding of interferon gamma with one of its substrates and to optimize the pharmacodynamic duration of interferon gamma signaling. We believe this program has applications in a number of therapeutic indications including oncology as well as in other infectious diseases.</w:t>
      </w:r>
    </w:p>
    <w:p>
      <w:pPr>
        <w:spacing w:after="0" w:line="203" w:lineRule="exact"/>
        <w:rPr>
          <w:sz w:val="20"/>
          <w:szCs w:val="20"/>
          <w:color w:val="auto"/>
        </w:rPr>
      </w:pPr>
    </w:p>
    <w:p>
      <w:pPr>
        <w:ind w:right="60" w:firstLine="619"/>
        <w:spacing w:after="0" w:line="302" w:lineRule="auto"/>
        <w:rPr>
          <w:sz w:val="20"/>
          <w:szCs w:val="20"/>
          <w:color w:val="auto"/>
        </w:rPr>
      </w:pPr>
      <w:r>
        <w:rPr>
          <w:rFonts w:ascii="Arial" w:cs="Arial" w:eastAsia="Arial" w:hAnsi="Arial"/>
          <w:sz w:val="15"/>
          <w:szCs w:val="15"/>
          <w:color w:val="auto"/>
          <w:highlight w:val="white"/>
        </w:rPr>
        <w:t>Our advanced and proven polymer conjugate technology platform is focused on conjugating polyethylene glycol to a pharmaceutically active agent, a process often referred to as “PEGylation.” PEGylation has been a highly effective technology platform for the development of therapeutics with significant commercial success, such as Amgen’s Neulasta (pegfilgrastim) and UCB’s CIMZIA (certolizumab pegol). In addition to inventing new PEGylated drug candidates, our expertise extends to developing robust manufacturing processes for generating the PEGylation reagents that allow us to utilize the full potential of this important technology.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advanced polymer conjugate technology platforms have the potential to offer one or more of the following benefits:</w:t>
      </w:r>
    </w:p>
    <w:p>
      <w:pPr>
        <w:spacing w:after="0" w:line="62" w:lineRule="exact"/>
        <w:rPr>
          <w:sz w:val="20"/>
          <w:szCs w:val="20"/>
          <w:color w:val="auto"/>
        </w:rPr>
      </w:pPr>
    </w:p>
    <w:p>
      <w:pPr>
        <w:ind w:left="1080" w:right="500" w:hanging="470"/>
        <w:spacing w:after="0" w:line="279" w:lineRule="auto"/>
        <w:tabs>
          <w:tab w:leader="none" w:pos="1076"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efficacy or safety of a drug as a result of better pharmacokinetics, pharmacodynamics, longer half-life and sustained exposure of the drug;</w:t>
      </w:r>
    </w:p>
    <w:p>
      <w:pPr>
        <w:spacing w:after="0" w:line="9" w:lineRule="exact"/>
        <w:rPr>
          <w:rFonts w:ascii="Arial" w:cs="Arial" w:eastAsia="Arial" w:hAnsi="Arial"/>
          <w:sz w:val="17"/>
          <w:szCs w:val="17"/>
          <w:color w:val="auto"/>
        </w:rPr>
      </w:pPr>
    </w:p>
    <w:p>
      <w:pPr>
        <w:ind w:left="1080" w:right="320" w:hanging="470"/>
        <w:spacing w:after="0" w:line="279" w:lineRule="auto"/>
        <w:tabs>
          <w:tab w:leader="none" w:pos="1076"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targeting or binding affinity of a drug to its target receptors with the potential to improve efficacy and reduce toxicity or drug resistance;</w:t>
      </w:r>
    </w:p>
    <w:p>
      <w:pPr>
        <w:spacing w:after="0" w:line="9" w:lineRule="exact"/>
        <w:rPr>
          <w:rFonts w:ascii="Arial" w:cs="Arial" w:eastAsia="Arial" w:hAnsi="Arial"/>
          <w:sz w:val="17"/>
          <w:szCs w:val="17"/>
          <w:color w:val="auto"/>
        </w:rPr>
      </w:pPr>
    </w:p>
    <w:p>
      <w:pPr>
        <w:ind w:left="1060" w:hanging="450"/>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solubility of a drug;</w:t>
      </w:r>
    </w:p>
    <w:p>
      <w:pPr>
        <w:spacing w:after="0" w:line="62" w:lineRule="exact"/>
        <w:rPr>
          <w:rFonts w:ascii="Arial" w:cs="Arial" w:eastAsia="Arial" w:hAnsi="Arial"/>
          <w:sz w:val="17"/>
          <w:szCs w:val="17"/>
          <w:color w:val="auto"/>
        </w:rPr>
      </w:pPr>
    </w:p>
    <w:p>
      <w:pPr>
        <w:ind w:left="1080" w:right="560" w:hanging="470"/>
        <w:spacing w:after="0" w:line="279" w:lineRule="auto"/>
        <w:tabs>
          <w:tab w:leader="none" w:pos="1076" w:val="left"/>
        </w:tabs>
        <w:numPr>
          <w:ilvl w:val="0"/>
          <w:numId w:val="5"/>
        </w:numPr>
        <w:rPr>
          <w:rFonts w:ascii="Arial" w:cs="Arial" w:eastAsia="Arial" w:hAnsi="Arial"/>
          <w:sz w:val="17"/>
          <w:szCs w:val="17"/>
          <w:color w:val="auto"/>
        </w:rPr>
      </w:pPr>
      <w:r>
        <w:rPr>
          <w:rFonts w:ascii="Arial" w:cs="Arial" w:eastAsia="Arial" w:hAnsi="Arial"/>
          <w:sz w:val="17"/>
          <w:szCs w:val="17"/>
          <w:color w:val="auto"/>
        </w:rPr>
        <w:t>enable oral administration of parenterally-administered drugs, or drugs that must be administered intravenously or subcutaneously, and increase oral bioavailability of small molecules;</w:t>
      </w:r>
    </w:p>
    <w:p>
      <w:pPr>
        <w:spacing w:after="0" w:line="9" w:lineRule="exact"/>
        <w:rPr>
          <w:rFonts w:ascii="Arial" w:cs="Arial" w:eastAsia="Arial" w:hAnsi="Arial"/>
          <w:sz w:val="17"/>
          <w:szCs w:val="17"/>
          <w:color w:val="auto"/>
        </w:rPr>
      </w:pPr>
    </w:p>
    <w:p>
      <w:pPr>
        <w:ind w:left="1080" w:right="580" w:hanging="470"/>
        <w:spacing w:after="0" w:line="279" w:lineRule="auto"/>
        <w:tabs>
          <w:tab w:leader="none" w:pos="1076"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prevent drugs from crossing the blood-brain barrier, or reduce their rate of passage into the brain, thereby limiting undesirable central nervous system effects;</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7" w:name="page8"/>
    <w:bookmarkEnd w:id="7"/>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5603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5603875"/>
                    </a:xfrm>
                    <a:prstGeom prst="rect">
                      <a:avLst/>
                    </a:prstGeom>
                    <a:noFill/>
                  </pic:spPr>
                </pic:pic>
              </a:graphicData>
            </a:graphic>
          </wp:anchor>
        </w:drawing>
      </w:r>
    </w:p>
    <w:p>
      <w:pPr>
        <w:ind w:left="1080" w:right="80" w:hanging="470"/>
        <w:spacing w:after="0" w:line="279" w:lineRule="auto"/>
        <w:tabs>
          <w:tab w:leader="none" w:pos="1076"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 first-pass metabolism effects of certain drug classes with the potential to improve efficacy, which could reduce the need for other medicines and reduce toxicity;</w:t>
      </w:r>
    </w:p>
    <w:p>
      <w:pPr>
        <w:spacing w:after="0" w:line="9" w:lineRule="exact"/>
        <w:rPr>
          <w:rFonts w:ascii="Arial" w:cs="Arial" w:eastAsia="Arial" w:hAnsi="Arial"/>
          <w:sz w:val="17"/>
          <w:szCs w:val="17"/>
          <w:color w:val="auto"/>
        </w:rPr>
      </w:pPr>
    </w:p>
    <w:p>
      <w:pPr>
        <w:ind w:left="1080" w:right="240" w:hanging="470"/>
        <w:spacing w:after="0" w:line="279" w:lineRule="auto"/>
        <w:tabs>
          <w:tab w:leader="none" w:pos="1076"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 the rates of drug absorption and of elimination or metabolism by improving stability of the drug in the body and providing it with more time to act on its target;</w:t>
      </w:r>
    </w:p>
    <w:p>
      <w:pPr>
        <w:spacing w:after="0" w:line="9" w:lineRule="exact"/>
        <w:rPr>
          <w:rFonts w:ascii="Arial" w:cs="Arial" w:eastAsia="Arial" w:hAnsi="Arial"/>
          <w:sz w:val="17"/>
          <w:szCs w:val="17"/>
          <w:color w:val="auto"/>
        </w:rPr>
      </w:pPr>
    </w:p>
    <w:p>
      <w:pPr>
        <w:ind w:left="1080" w:right="20" w:hanging="470"/>
        <w:spacing w:after="0" w:line="279" w:lineRule="auto"/>
        <w:tabs>
          <w:tab w:leader="none" w:pos="1076"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differentially alter binding affinity of a drug for multiple receptors, improving its selectivity for one receptor over another; and</w:t>
      </w:r>
    </w:p>
    <w:p>
      <w:pPr>
        <w:spacing w:after="0" w:line="9" w:lineRule="exact"/>
        <w:rPr>
          <w:rFonts w:ascii="Arial" w:cs="Arial" w:eastAsia="Arial" w:hAnsi="Arial"/>
          <w:sz w:val="17"/>
          <w:szCs w:val="17"/>
          <w:color w:val="auto"/>
        </w:rPr>
      </w:pPr>
    </w:p>
    <w:p>
      <w:pPr>
        <w:ind w:left="1060" w:hanging="450"/>
        <w:spacing w:after="0"/>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reduce immune response to certain macromolecules with the potential to prolong their effectiveness with repeated doses.</w:t>
      </w:r>
    </w:p>
    <w:p>
      <w:pPr>
        <w:spacing w:after="0" w:line="317"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highlight w:val="white"/>
        </w:rPr>
        <w:t>We believe that our substantial investment in research and development has the potential to create significant value if one or more of our current drug candidates demonstrates positive clinical results, receives regulatory approval in one or more major markets and achieves commercial success.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Collaboration Partner Programs</w:t>
      </w:r>
    </w:p>
    <w:p>
      <w:pPr>
        <w:spacing w:after="0" w:line="249" w:lineRule="exact"/>
        <w:rPr>
          <w:sz w:val="20"/>
          <w:szCs w:val="20"/>
          <w:color w:val="auto"/>
        </w:rPr>
      </w:pPr>
    </w:p>
    <w:p>
      <w:pPr>
        <w:ind w:right="240" w:firstLine="619"/>
        <w:spacing w:after="0" w:line="302" w:lineRule="auto"/>
        <w:rPr>
          <w:sz w:val="20"/>
          <w:szCs w:val="20"/>
          <w:color w:val="auto"/>
        </w:rPr>
      </w:pPr>
      <w:r>
        <w:rPr>
          <w:rFonts w:ascii="Arial" w:cs="Arial" w:eastAsia="Arial" w:hAnsi="Arial"/>
          <w:sz w:val="15"/>
          <w:szCs w:val="15"/>
          <w:color w:val="auto"/>
        </w:rPr>
        <w:t>We decide on a drug-candidate-by-drug-candidate basis, how far to advance clinical development (e.g., Phase 1, 2 or 3) and whether to commercialize products on our own, or seek a partner, or pursue a combination of these approaches. When we determine to seek a partner, our strategy is to selectively access a partner’s development, regulatory, or commercial capabilities with the structure of the collaboration depending on factors such as economic risk sharing, the cost and complexity of development, marketing and commercialization needs, therapeutic areas, potential for combination of drug programs, and geographic capabilities.</w:t>
      </w:r>
    </w:p>
    <w:p>
      <w:pPr>
        <w:spacing w:after="0" w:line="178" w:lineRule="exact"/>
        <w:rPr>
          <w:sz w:val="20"/>
          <w:szCs w:val="20"/>
          <w:color w:val="auto"/>
        </w:rPr>
      </w:pPr>
    </w:p>
    <w:p>
      <w:pPr>
        <w:ind w:firstLine="619"/>
        <w:spacing w:after="0" w:line="286" w:lineRule="auto"/>
        <w:rPr>
          <w:sz w:val="20"/>
          <w:szCs w:val="20"/>
          <w:color w:val="auto"/>
        </w:rPr>
      </w:pPr>
      <w:r>
        <w:rPr>
          <w:rFonts w:ascii="Arial" w:cs="Arial" w:eastAsia="Arial" w:hAnsi="Arial"/>
          <w:sz w:val="15"/>
          <w:szCs w:val="15"/>
          <w:color w:val="auto"/>
        </w:rPr>
        <w:t>For example, we announced on February 14, 2018, that we and Bristol-Myers Squibb Company (BMS) executed a global strategic development and commercialization collaboration to develop Nektar’s Phase 2 drug candidate, bempegaldesleukin, in combination with Opdivo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(nivolumab). Under the collaboration, BMS made an upfront payment of $1.0 billion and an equity investment</w:t>
      </w:r>
    </w:p>
    <w:p>
      <w:pPr>
        <w:ind w:right="140"/>
        <w:spacing w:after="0" w:line="312" w:lineRule="auto"/>
        <w:rPr>
          <w:sz w:val="20"/>
          <w:szCs w:val="20"/>
          <w:color w:val="auto"/>
        </w:rPr>
      </w:pPr>
      <w:r>
        <w:rPr>
          <w:rFonts w:ascii="Arial" w:cs="Arial" w:eastAsia="Arial" w:hAnsi="Arial"/>
          <w:sz w:val="15"/>
          <w:szCs w:val="15"/>
          <w:color w:val="auto"/>
        </w:rPr>
        <w:t>of $850 million. Based on results from pre-planned analyses of two late-stage clinical studies of bempegaldesleukin in combination of Opdivo</w:t>
      </w:r>
      <w:r>
        <w:rPr>
          <w:rFonts w:ascii="Arial" w:cs="Arial" w:eastAsia="Arial" w:hAnsi="Arial"/>
          <w:sz w:val="19"/>
          <w:szCs w:val="19"/>
          <w:color w:val="auto"/>
          <w:vertAlign w:val="superscript"/>
        </w:rPr>
        <w:t>®</w:t>
      </w:r>
      <w:r>
        <w:rPr>
          <w:rFonts w:ascii="Arial" w:cs="Arial" w:eastAsia="Arial" w:hAnsi="Arial"/>
          <w:sz w:val="15"/>
          <w:szCs w:val="15"/>
          <w:color w:val="auto"/>
        </w:rPr>
        <w:t>, we and BMS announced on April 14, 2022, that the companies jointly decided to end the global clinical development program for the combination. We also discontinued all studies of bempegaldesleukin in combination with other drugs or drug candidates.</w:t>
      </w:r>
    </w:p>
    <w:p>
      <w:pPr>
        <w:spacing w:after="0" w:line="195"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Our collaboration partners have advanced drug candidates we invented into commercial drug products. In addition, through our collaborations and licensing partnerships with a number of well-known biotechnology and pharmaceutical companies, more than ten products using our PEGylation technology have received regulatory approval in the U.S. or Europe. The following table outlines our collaborations and licensing partnerships. These collaborations generally contain one or more elements including a license to our intellectual property rights and manufacturing and supply agreements under which we may receive manufacturing revenue, milestone payments, and/or royalties on commercial sales of drug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00"/>
          </w:cols>
          <w:pgMar w:left="1200" w:top="1440" w:right="1199" w:bottom="1440" w:gutter="0" w:footer="0" w:header="0"/>
        </w:sectPr>
      </w:pPr>
    </w:p>
    <w:bookmarkStart w:id="8" w:name="page9"/>
    <w:bookmarkEnd w:id="8"/>
    <w:p>
      <w:pPr>
        <w:spacing w:after="0" w:line="389" w:lineRule="exact"/>
        <w:rPr>
          <w:sz w:val="20"/>
          <w:szCs w:val="20"/>
          <w:color w:val="auto"/>
        </w:rPr>
      </w:pPr>
    </w:p>
    <w:p>
      <w:pPr>
        <w:ind w:left="2009"/>
        <w:spacing w:after="0"/>
        <w:rPr>
          <w:sz w:val="20"/>
          <w:szCs w:val="20"/>
          <w:color w:val="auto"/>
        </w:rPr>
      </w:pPr>
      <w:r>
        <w:rPr>
          <w:rFonts w:ascii="Arial" w:cs="Arial" w:eastAsia="Arial" w:hAnsi="Arial"/>
          <w:sz w:val="17"/>
          <w:szCs w:val="17"/>
          <w:color w:val="auto"/>
        </w:rPr>
        <w:t>Drug</w:t>
      </w:r>
    </w:p>
    <w:p>
      <w:pPr>
        <w:spacing w:after="0" w:line="294" w:lineRule="exact"/>
        <w:rPr>
          <w:sz w:val="20"/>
          <w:szCs w:val="20"/>
          <w:color w:val="auto"/>
        </w:rPr>
      </w:pPr>
    </w:p>
    <w:p>
      <w:pPr>
        <w:ind w:left="629"/>
        <w:spacing w:after="0" w:line="259" w:lineRule="auto"/>
        <w:rPr>
          <w:sz w:val="20"/>
          <w:szCs w:val="20"/>
          <w:color w:val="auto"/>
        </w:rPr>
      </w:pPr>
      <w:r>
        <w:rPr>
          <w:rFonts w:ascii="Arial" w:cs="Arial" w:eastAsia="Arial" w:hAnsi="Arial"/>
          <w:sz w:val="16"/>
          <w:szCs w:val="16"/>
          <w:color w:val="auto"/>
        </w:rPr>
        <w:t>ADYNOVATE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ADYNOVI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name for ADYNOVATE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Europe)</w:t>
      </w:r>
    </w:p>
    <w:p>
      <w:pPr>
        <w:spacing w:after="0" w:line="201" w:lineRule="exact"/>
        <w:rPr>
          <w:sz w:val="20"/>
          <w:szCs w:val="20"/>
          <w:color w:val="auto"/>
        </w:rPr>
      </w:pPr>
    </w:p>
    <w:p>
      <w:pPr>
        <w:ind w:left="629" w:right="340"/>
        <w:spacing w:after="0" w:line="224" w:lineRule="auto"/>
        <w:rPr>
          <w:sz w:val="20"/>
          <w:szCs w:val="20"/>
          <w:color w:val="auto"/>
        </w:rPr>
      </w:pPr>
      <w:r>
        <w:rPr>
          <w:rFonts w:ascii="Arial" w:cs="Arial" w:eastAsia="Arial" w:hAnsi="Arial"/>
          <w:sz w:val="17"/>
          <w:szCs w:val="17"/>
          <w:color w:val="auto"/>
        </w:rPr>
        <w:t>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(naloxegol tablets) and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name for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Europe)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9"/>
        <w:spacing w:after="0"/>
        <w:rPr>
          <w:sz w:val="20"/>
          <w:szCs w:val="20"/>
          <w:color w:val="auto"/>
        </w:rPr>
      </w:pPr>
      <w:r>
        <w:rPr>
          <w:rFonts w:ascii="Arial" w:cs="Arial" w:eastAsia="Arial" w:hAnsi="Arial"/>
          <w:sz w:val="17"/>
          <w:szCs w:val="17"/>
          <w:color w:val="auto"/>
        </w:rPr>
        <w:t>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(certolizumab pegol)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20" w:type="dxa"/>
            <w:vAlign w:val="bottom"/>
            <w:gridSpan w:val="2"/>
          </w:tcPr>
          <w:p>
            <w:pPr>
              <w:ind w:left="460"/>
              <w:spacing w:after="0"/>
              <w:rPr>
                <w:sz w:val="20"/>
                <w:szCs w:val="20"/>
                <w:color w:val="auto"/>
              </w:rPr>
            </w:pPr>
            <w:r>
              <w:rPr>
                <w:rFonts w:ascii="Arial" w:cs="Arial" w:eastAsia="Arial" w:hAnsi="Arial"/>
                <w:sz w:val="17"/>
                <w:szCs w:val="17"/>
                <w:color w:val="auto"/>
              </w:rPr>
              <w:t>Primary or Target</w:t>
            </w:r>
          </w:p>
        </w:tc>
        <w:tc>
          <w:tcPr>
            <w:tcW w:w="1920" w:type="dxa"/>
            <w:vAlign w:val="bottom"/>
            <w:gridSpan w:val="2"/>
          </w:tcPr>
          <w:p>
            <w:pPr>
              <w:ind w:left="740"/>
              <w:spacing w:after="0"/>
              <w:rPr>
                <w:sz w:val="20"/>
                <w:szCs w:val="20"/>
                <w:color w:val="auto"/>
              </w:rPr>
            </w:pPr>
            <w:r>
              <w:rPr>
                <w:rFonts w:ascii="Arial" w:cs="Arial" w:eastAsia="Arial" w:hAnsi="Arial"/>
                <w:sz w:val="17"/>
                <w:szCs w:val="17"/>
                <w:color w:val="auto"/>
              </w:rPr>
              <w:t>Drug</w:t>
            </w:r>
          </w:p>
        </w:tc>
        <w:tc>
          <w:tcPr>
            <w:tcW w:w="2100" w:type="dxa"/>
            <w:vAlign w:val="bottom"/>
          </w:tcPr>
          <w:p>
            <w:pPr>
              <w:spacing w:after="0"/>
              <w:rPr>
                <w:sz w:val="16"/>
                <w:szCs w:val="16"/>
                <w:color w:val="auto"/>
              </w:rPr>
            </w:pPr>
          </w:p>
        </w:tc>
      </w:tr>
      <w:tr>
        <w:trPr>
          <w:trHeight w:val="218"/>
        </w:trPr>
        <w:tc>
          <w:tcPr>
            <w:tcW w:w="212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Indications</w:t>
            </w:r>
          </w:p>
        </w:tc>
        <w:tc>
          <w:tcPr>
            <w:tcW w:w="100" w:type="dxa"/>
            <w:vAlign w:val="bottom"/>
          </w:tcPr>
          <w:p>
            <w:pPr>
              <w:spacing w:after="0"/>
              <w:rPr>
                <w:sz w:val="18"/>
                <w:szCs w:val="18"/>
                <w:color w:val="auto"/>
              </w:rPr>
            </w:pPr>
          </w:p>
        </w:tc>
        <w:tc>
          <w:tcPr>
            <w:tcW w:w="18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Marketer/Partner</w:t>
            </w:r>
          </w:p>
        </w:tc>
        <w:tc>
          <w:tcPr>
            <w:tcW w:w="100" w:type="dxa"/>
            <w:vAlign w:val="bottom"/>
          </w:tcPr>
          <w:p>
            <w:pPr>
              <w:spacing w:after="0"/>
              <w:rPr>
                <w:sz w:val="18"/>
                <w:szCs w:val="18"/>
                <w:color w:val="auto"/>
              </w:rPr>
            </w:pPr>
          </w:p>
        </w:tc>
        <w:tc>
          <w:tcPr>
            <w:tcW w:w="210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Status(1)</w:t>
            </w:r>
          </w:p>
        </w:tc>
      </w:tr>
      <w:tr>
        <w:trPr>
          <w:trHeight w:val="420"/>
        </w:trPr>
        <w:tc>
          <w:tcPr>
            <w:tcW w:w="2220" w:type="dxa"/>
            <w:vAlign w:val="bottom"/>
            <w:gridSpan w:val="2"/>
          </w:tcPr>
          <w:p>
            <w:pPr>
              <w:ind w:left="40"/>
              <w:spacing w:after="0"/>
              <w:rPr>
                <w:sz w:val="20"/>
                <w:szCs w:val="20"/>
                <w:color w:val="auto"/>
              </w:rPr>
            </w:pPr>
            <w:r>
              <w:rPr>
                <w:rFonts w:ascii="Arial" w:cs="Arial" w:eastAsia="Arial" w:hAnsi="Arial"/>
                <w:sz w:val="17"/>
                <w:szCs w:val="17"/>
                <w:color w:val="auto"/>
              </w:rPr>
              <w:t>Hemophilia A</w:t>
            </w: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Takeda Pharmaceutical</w:t>
            </w:r>
          </w:p>
        </w:tc>
        <w:tc>
          <w:tcPr>
            <w:tcW w:w="2100" w:type="dxa"/>
            <w:vAlign w:val="bottom"/>
          </w:tcPr>
          <w:p>
            <w:pPr>
              <w:ind w:left="20"/>
              <w:spacing w:after="0"/>
              <w:rPr>
                <w:sz w:val="20"/>
                <w:szCs w:val="20"/>
                <w:color w:val="auto"/>
              </w:rPr>
            </w:pPr>
            <w:r>
              <w:rPr>
                <w:rFonts w:ascii="Arial" w:cs="Arial" w:eastAsia="Arial" w:hAnsi="Arial"/>
                <w:sz w:val="17"/>
                <w:szCs w:val="17"/>
                <w:color w:val="auto"/>
              </w:rPr>
              <w:t>Approved 2015*</w:t>
            </w:r>
          </w:p>
        </w:tc>
      </w:tr>
      <w:tr>
        <w:trPr>
          <w:trHeight w:val="217"/>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Company Limited</w:t>
            </w:r>
          </w:p>
        </w:tc>
        <w:tc>
          <w:tcPr>
            <w:tcW w:w="2100" w:type="dxa"/>
            <w:vAlign w:val="bottom"/>
          </w:tcPr>
          <w:p>
            <w:pPr>
              <w:spacing w:after="0"/>
              <w:rPr>
                <w:sz w:val="18"/>
                <w:szCs w:val="18"/>
                <w:color w:val="auto"/>
              </w:rPr>
            </w:pPr>
          </w:p>
        </w:tc>
      </w:tr>
      <w:tr>
        <w:trPr>
          <w:trHeight w:val="505"/>
        </w:trPr>
        <w:tc>
          <w:tcPr>
            <w:tcW w:w="2220" w:type="dxa"/>
            <w:vAlign w:val="bottom"/>
            <w:gridSpan w:val="2"/>
          </w:tcPr>
          <w:p>
            <w:pPr>
              <w:ind w:left="40"/>
              <w:spacing w:after="0"/>
              <w:rPr>
                <w:sz w:val="20"/>
                <w:szCs w:val="20"/>
                <w:color w:val="auto"/>
              </w:rPr>
            </w:pPr>
            <w:r>
              <w:rPr>
                <w:rFonts w:ascii="Arial" w:cs="Arial" w:eastAsia="Arial" w:hAnsi="Arial"/>
                <w:sz w:val="17"/>
                <w:szCs w:val="17"/>
                <w:color w:val="auto"/>
              </w:rPr>
              <w:t>Opioid-induced constipation</w:t>
            </w: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AstraZeneca AB</w:t>
            </w:r>
          </w:p>
        </w:tc>
        <w:tc>
          <w:tcPr>
            <w:tcW w:w="2100" w:type="dxa"/>
            <w:vAlign w:val="bottom"/>
          </w:tcPr>
          <w:p>
            <w:pPr>
              <w:ind w:left="20"/>
              <w:spacing w:after="0"/>
              <w:rPr>
                <w:sz w:val="20"/>
                <w:szCs w:val="20"/>
                <w:color w:val="auto"/>
              </w:rPr>
            </w:pPr>
            <w:r>
              <w:rPr>
                <w:rFonts w:ascii="Arial" w:cs="Arial" w:eastAsia="Arial" w:hAnsi="Arial"/>
                <w:sz w:val="17"/>
                <w:szCs w:val="17"/>
                <w:color w:val="auto"/>
              </w:rPr>
              <w:t>Approved 2014*</w:t>
            </w:r>
          </w:p>
        </w:tc>
      </w:tr>
      <w:tr>
        <w:trPr>
          <w:trHeight w:val="168"/>
        </w:trPr>
        <w:tc>
          <w:tcPr>
            <w:tcW w:w="2220" w:type="dxa"/>
            <w:vAlign w:val="bottom"/>
            <w:gridSpan w:val="2"/>
          </w:tcPr>
          <w:p>
            <w:pPr>
              <w:ind w:left="40"/>
              <w:spacing w:after="0" w:line="167" w:lineRule="exact"/>
              <w:rPr>
                <w:sz w:val="20"/>
                <w:szCs w:val="20"/>
                <w:color w:val="auto"/>
              </w:rPr>
            </w:pPr>
            <w:r>
              <w:rPr>
                <w:rFonts w:ascii="Arial" w:cs="Arial" w:eastAsia="Arial" w:hAnsi="Arial"/>
                <w:sz w:val="17"/>
                <w:szCs w:val="17"/>
                <w:color w:val="auto"/>
              </w:rPr>
              <w:t>in adult patients with chronic</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220" w:type="dxa"/>
            <w:vAlign w:val="bottom"/>
            <w:gridSpan w:val="2"/>
          </w:tcPr>
          <w:p>
            <w:pPr>
              <w:ind w:left="40"/>
              <w:spacing w:after="0" w:line="167" w:lineRule="exact"/>
              <w:rPr>
                <w:sz w:val="20"/>
                <w:szCs w:val="20"/>
                <w:color w:val="auto"/>
              </w:rPr>
            </w:pPr>
            <w:r>
              <w:rPr>
                <w:rFonts w:ascii="Arial" w:cs="Arial" w:eastAsia="Arial" w:hAnsi="Arial"/>
                <w:sz w:val="17"/>
                <w:szCs w:val="17"/>
                <w:color w:val="auto"/>
              </w:rPr>
              <w:t>non-cancer pain (US);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80"/>
        </w:trPr>
        <w:tc>
          <w:tcPr>
            <w:tcW w:w="2220" w:type="dxa"/>
            <w:vAlign w:val="bottom"/>
            <w:gridSpan w:val="2"/>
          </w:tcPr>
          <w:p>
            <w:pPr>
              <w:ind w:left="40"/>
              <w:spacing w:after="0" w:line="180" w:lineRule="exact"/>
              <w:rPr>
                <w:sz w:val="20"/>
                <w:szCs w:val="20"/>
                <w:color w:val="auto"/>
              </w:rPr>
            </w:pPr>
            <w:r>
              <w:rPr>
                <w:rFonts w:ascii="Arial" w:cs="Arial" w:eastAsia="Arial" w:hAnsi="Arial"/>
                <w:sz w:val="17"/>
                <w:szCs w:val="17"/>
                <w:color w:val="auto"/>
              </w:rPr>
              <w:t>Opioid-induced constipation</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68"/>
        </w:trPr>
        <w:tc>
          <w:tcPr>
            <w:tcW w:w="2220" w:type="dxa"/>
            <w:vAlign w:val="bottom"/>
            <w:gridSpan w:val="2"/>
          </w:tcPr>
          <w:p>
            <w:pPr>
              <w:ind w:left="40"/>
              <w:spacing w:after="0" w:line="167" w:lineRule="exact"/>
              <w:rPr>
                <w:sz w:val="20"/>
                <w:szCs w:val="20"/>
                <w:color w:val="auto"/>
              </w:rPr>
            </w:pPr>
            <w:r>
              <w:rPr>
                <w:rFonts w:ascii="Arial" w:cs="Arial" w:eastAsia="Arial" w:hAnsi="Arial"/>
                <w:sz w:val="17"/>
                <w:szCs w:val="17"/>
                <w:color w:val="auto"/>
              </w:rPr>
              <w:t>in adult patients who have</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220" w:type="dxa"/>
            <w:vAlign w:val="bottom"/>
            <w:gridSpan w:val="2"/>
          </w:tcPr>
          <w:p>
            <w:pPr>
              <w:ind w:left="40"/>
              <w:spacing w:after="0" w:line="167" w:lineRule="exact"/>
              <w:rPr>
                <w:sz w:val="20"/>
                <w:szCs w:val="20"/>
                <w:color w:val="auto"/>
              </w:rPr>
            </w:pPr>
            <w:r>
              <w:rPr>
                <w:rFonts w:ascii="Arial" w:cs="Arial" w:eastAsia="Arial" w:hAnsi="Arial"/>
                <w:sz w:val="17"/>
                <w:szCs w:val="17"/>
                <w:color w:val="auto"/>
              </w:rPr>
              <w:t>and inadequate response to</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17"/>
        </w:trPr>
        <w:tc>
          <w:tcPr>
            <w:tcW w:w="2220" w:type="dxa"/>
            <w:vAlign w:val="bottom"/>
            <w:gridSpan w:val="2"/>
          </w:tcPr>
          <w:p>
            <w:pPr>
              <w:ind w:left="40"/>
              <w:spacing w:after="0"/>
              <w:rPr>
                <w:sz w:val="20"/>
                <w:szCs w:val="20"/>
                <w:color w:val="auto"/>
              </w:rPr>
            </w:pPr>
            <w:r>
              <w:rPr>
                <w:rFonts w:ascii="Arial" w:cs="Arial" w:eastAsia="Arial" w:hAnsi="Arial"/>
                <w:sz w:val="17"/>
                <w:szCs w:val="17"/>
                <w:color w:val="auto"/>
              </w:rPr>
              <w:t>laxatives (EU).</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89"/>
        </w:trPr>
        <w:tc>
          <w:tcPr>
            <w:tcW w:w="2220" w:type="dxa"/>
            <w:vAlign w:val="bottom"/>
            <w:gridSpan w:val="2"/>
          </w:tcPr>
          <w:p>
            <w:pPr>
              <w:ind w:left="40"/>
              <w:spacing w:after="0"/>
              <w:rPr>
                <w:sz w:val="20"/>
                <w:szCs w:val="20"/>
                <w:color w:val="auto"/>
              </w:rPr>
            </w:pPr>
            <w:r>
              <w:rPr>
                <w:rFonts w:ascii="Arial" w:cs="Arial" w:eastAsia="Arial" w:hAnsi="Arial"/>
                <w:sz w:val="17"/>
                <w:szCs w:val="17"/>
                <w:color w:val="auto"/>
                <w:w w:val="96"/>
              </w:rPr>
              <w:t>Crohn’s disease, Rheumatoid</w:t>
            </w:r>
          </w:p>
        </w:tc>
        <w:tc>
          <w:tcPr>
            <w:tcW w:w="1920" w:type="dxa"/>
            <w:vAlign w:val="bottom"/>
            <w:gridSpan w:val="2"/>
          </w:tcPr>
          <w:p>
            <w:pPr>
              <w:ind w:left="20"/>
              <w:spacing w:after="0"/>
              <w:rPr>
                <w:sz w:val="20"/>
                <w:szCs w:val="20"/>
                <w:color w:val="auto"/>
              </w:rPr>
            </w:pPr>
            <w:r>
              <w:rPr>
                <w:rFonts w:ascii="Arial" w:cs="Arial" w:eastAsia="Arial" w:hAnsi="Arial"/>
                <w:sz w:val="17"/>
                <w:szCs w:val="17"/>
                <w:color w:val="auto"/>
              </w:rPr>
              <w:t>UCB Pharma</w:t>
            </w:r>
          </w:p>
        </w:tc>
        <w:tc>
          <w:tcPr>
            <w:tcW w:w="2100" w:type="dxa"/>
            <w:vAlign w:val="bottom"/>
          </w:tcPr>
          <w:p>
            <w:pPr>
              <w:ind w:left="20"/>
              <w:spacing w:after="0"/>
              <w:rPr>
                <w:sz w:val="20"/>
                <w:szCs w:val="20"/>
                <w:color w:val="auto"/>
              </w:rPr>
            </w:pPr>
            <w:r>
              <w:rPr>
                <w:rFonts w:ascii="Arial" w:cs="Arial" w:eastAsia="Arial" w:hAnsi="Arial"/>
                <w:sz w:val="17"/>
                <w:szCs w:val="17"/>
                <w:color w:val="auto"/>
              </w:rPr>
              <w:t>Approved 2008**</w:t>
            </w:r>
          </w:p>
        </w:tc>
      </w:tr>
      <w:tr>
        <w:trPr>
          <w:trHeight w:val="168"/>
        </w:trPr>
        <w:tc>
          <w:tcPr>
            <w:tcW w:w="2220" w:type="dxa"/>
            <w:vAlign w:val="bottom"/>
            <w:gridSpan w:val="2"/>
          </w:tcPr>
          <w:p>
            <w:pPr>
              <w:ind w:left="40"/>
              <w:spacing w:after="0" w:line="167" w:lineRule="exact"/>
              <w:rPr>
                <w:sz w:val="20"/>
                <w:szCs w:val="20"/>
                <w:color w:val="auto"/>
              </w:rPr>
            </w:pPr>
            <w:r>
              <w:rPr>
                <w:rFonts w:ascii="Arial" w:cs="Arial" w:eastAsia="Arial" w:hAnsi="Arial"/>
                <w:sz w:val="17"/>
                <w:szCs w:val="17"/>
                <w:color w:val="auto"/>
              </w:rPr>
              <w:t>arthritis, and Psoriasis/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17"/>
        </w:trPr>
        <w:tc>
          <w:tcPr>
            <w:tcW w:w="2220" w:type="dxa"/>
            <w:vAlign w:val="bottom"/>
            <w:gridSpan w:val="2"/>
          </w:tcPr>
          <w:p>
            <w:pPr>
              <w:ind w:left="40"/>
              <w:spacing w:after="0"/>
              <w:rPr>
                <w:sz w:val="20"/>
                <w:szCs w:val="20"/>
                <w:color w:val="auto"/>
              </w:rPr>
            </w:pPr>
            <w:r>
              <w:rPr>
                <w:rFonts w:ascii="Arial" w:cs="Arial" w:eastAsia="Arial" w:hAnsi="Arial"/>
                <w:sz w:val="17"/>
                <w:szCs w:val="17"/>
                <w:color w:val="auto"/>
              </w:rPr>
              <w:t>Ankylosing Spondylitis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-2653030</wp:posOffset>
            </wp:positionV>
            <wp:extent cx="7143115" cy="7110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711009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3469" w:space="360"/>
            <w:col w:w="6240"/>
          </w:cols>
          <w:pgMar w:left="1191" w:top="1440" w:right="639" w:bottom="1440" w:gutter="0" w:footer="0" w:header="0"/>
        </w:sectPr>
      </w:pPr>
    </w:p>
    <w:p>
      <w:pPr>
        <w:spacing w:after="0" w:line="28" w:lineRule="exact"/>
        <w:rPr>
          <w:sz w:val="20"/>
          <w:szCs w:val="20"/>
          <w:color w:val="auto"/>
        </w:rPr>
      </w:pPr>
    </w:p>
    <w:p>
      <w:pPr>
        <w:ind w:left="629" w:right="280"/>
        <w:spacing w:after="0" w:line="238" w:lineRule="auto"/>
        <w:rPr>
          <w:sz w:val="20"/>
          <w:szCs w:val="20"/>
          <w:color w:val="auto"/>
        </w:rPr>
      </w:pPr>
      <w:r>
        <w:rPr>
          <w:rFonts w:ascii="Arial" w:cs="Arial" w:eastAsia="Arial" w:hAnsi="Arial"/>
          <w:sz w:val="16"/>
          <w:szCs w:val="16"/>
          <w:color w:val="auto"/>
        </w:rPr>
        <w:t>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(C.E.R.A.) (Continuous Erythropoietin Receptor Activator)</w:t>
      </w:r>
    </w:p>
    <w:p>
      <w:pPr>
        <w:spacing w:after="0" w:line="200" w:lineRule="exact"/>
        <w:rPr>
          <w:sz w:val="20"/>
          <w:szCs w:val="20"/>
          <w:color w:val="auto"/>
        </w:rPr>
      </w:pPr>
    </w:p>
    <w:p>
      <w:pPr>
        <w:spacing w:after="0" w:line="319" w:lineRule="exact"/>
        <w:rPr>
          <w:sz w:val="20"/>
          <w:szCs w:val="20"/>
          <w:color w:val="auto"/>
        </w:rPr>
      </w:pPr>
    </w:p>
    <w:p>
      <w:pPr>
        <w:ind w:left="629"/>
        <w:spacing w:after="0"/>
        <w:rPr>
          <w:sz w:val="20"/>
          <w:szCs w:val="20"/>
          <w:color w:val="auto"/>
        </w:rPr>
      </w:pPr>
      <w:r>
        <w:rPr>
          <w:rFonts w:ascii="Arial" w:cs="Arial" w:eastAsia="Arial" w:hAnsi="Arial"/>
          <w:sz w:val="15"/>
          <w:szCs w:val="15"/>
          <w:color w:val="auto"/>
        </w:rPr>
        <w:t>Macugen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(pegaptanib sodium injection)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20"/>
                <w:szCs w:val="20"/>
                <w:color w:val="auto"/>
              </w:rPr>
            </w:pPr>
            <w:r>
              <w:rPr>
                <w:rFonts w:ascii="Arial" w:cs="Arial" w:eastAsia="Arial" w:hAnsi="Arial"/>
                <w:sz w:val="17"/>
                <w:szCs w:val="17"/>
                <w:color w:val="auto"/>
              </w:rPr>
              <w:t>Anemia associated with</w:t>
            </w:r>
          </w:p>
        </w:tc>
        <w:tc>
          <w:tcPr>
            <w:tcW w:w="1840" w:type="dxa"/>
            <w:vAlign w:val="bottom"/>
          </w:tcPr>
          <w:p>
            <w:pPr>
              <w:ind w:left="240"/>
              <w:spacing w:after="0"/>
              <w:rPr>
                <w:sz w:val="20"/>
                <w:szCs w:val="20"/>
                <w:color w:val="auto"/>
              </w:rPr>
            </w:pPr>
            <w:r>
              <w:rPr>
                <w:rFonts w:ascii="Arial" w:cs="Arial" w:eastAsia="Arial" w:hAnsi="Arial"/>
                <w:sz w:val="17"/>
                <w:szCs w:val="17"/>
                <w:color w:val="auto"/>
              </w:rPr>
              <w:t>F. Hoffmann-La</w:t>
            </w:r>
          </w:p>
        </w:tc>
        <w:tc>
          <w:tcPr>
            <w:tcW w:w="1560" w:type="dxa"/>
            <w:vAlign w:val="bottom"/>
          </w:tcPr>
          <w:p>
            <w:pPr>
              <w:ind w:left="320"/>
              <w:spacing w:after="0"/>
              <w:rPr>
                <w:sz w:val="20"/>
                <w:szCs w:val="20"/>
                <w:color w:val="auto"/>
              </w:rPr>
            </w:pPr>
            <w:r>
              <w:rPr>
                <w:rFonts w:ascii="Arial" w:cs="Arial" w:eastAsia="Arial" w:hAnsi="Arial"/>
                <w:sz w:val="17"/>
                <w:szCs w:val="17"/>
                <w:color w:val="auto"/>
                <w:w w:val="94"/>
              </w:rPr>
              <w:t>Approved 2007**</w:t>
            </w:r>
          </w:p>
        </w:tc>
      </w:tr>
      <w:tr>
        <w:trPr>
          <w:trHeight w:val="168"/>
        </w:trPr>
        <w:tc>
          <w:tcPr>
            <w:tcW w:w="1960" w:type="dxa"/>
            <w:vAlign w:val="bottom"/>
          </w:tcPr>
          <w:p>
            <w:pPr>
              <w:spacing w:after="0" w:line="167" w:lineRule="exact"/>
              <w:rPr>
                <w:sz w:val="20"/>
                <w:szCs w:val="20"/>
                <w:color w:val="auto"/>
              </w:rPr>
            </w:pPr>
            <w:r>
              <w:rPr>
                <w:rFonts w:ascii="Arial" w:cs="Arial" w:eastAsia="Arial" w:hAnsi="Arial"/>
                <w:sz w:val="17"/>
                <w:szCs w:val="17"/>
                <w:color w:val="auto"/>
              </w:rPr>
              <w:t>chronic kidney disease in</w:t>
            </w:r>
          </w:p>
        </w:tc>
        <w:tc>
          <w:tcPr>
            <w:tcW w:w="1840" w:type="dxa"/>
            <w:vAlign w:val="bottom"/>
          </w:tcPr>
          <w:p>
            <w:pPr>
              <w:ind w:left="240"/>
              <w:spacing w:after="0" w:line="167" w:lineRule="exact"/>
              <w:rPr>
                <w:sz w:val="20"/>
                <w:szCs w:val="20"/>
                <w:color w:val="auto"/>
              </w:rPr>
            </w:pPr>
            <w:r>
              <w:rPr>
                <w:rFonts w:ascii="Arial" w:cs="Arial" w:eastAsia="Arial" w:hAnsi="Arial"/>
                <w:sz w:val="17"/>
                <w:szCs w:val="17"/>
                <w:color w:val="auto"/>
              </w:rPr>
              <w:t>Roche Ltd</w:t>
            </w:r>
          </w:p>
        </w:tc>
        <w:tc>
          <w:tcPr>
            <w:tcW w:w="1560" w:type="dxa"/>
            <w:vAlign w:val="bottom"/>
          </w:tcPr>
          <w:p>
            <w:pPr>
              <w:spacing w:after="0"/>
              <w:rPr>
                <w:sz w:val="14"/>
                <w:szCs w:val="14"/>
                <w:color w:val="auto"/>
              </w:rPr>
            </w:pPr>
          </w:p>
        </w:tc>
      </w:tr>
      <w:tr>
        <w:trPr>
          <w:trHeight w:val="168"/>
        </w:trPr>
        <w:tc>
          <w:tcPr>
            <w:tcW w:w="1960" w:type="dxa"/>
            <w:vAlign w:val="bottom"/>
          </w:tcPr>
          <w:p>
            <w:pPr>
              <w:spacing w:after="0" w:line="167" w:lineRule="exact"/>
              <w:rPr>
                <w:sz w:val="20"/>
                <w:szCs w:val="20"/>
                <w:color w:val="auto"/>
              </w:rPr>
            </w:pPr>
            <w:r>
              <w:rPr>
                <w:rFonts w:ascii="Arial" w:cs="Arial" w:eastAsia="Arial" w:hAnsi="Arial"/>
                <w:sz w:val="17"/>
                <w:szCs w:val="17"/>
                <w:color w:val="auto"/>
              </w:rPr>
              <w:t>patients on dialysis and</w:t>
            </w: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7"/>
        </w:trPr>
        <w:tc>
          <w:tcPr>
            <w:tcW w:w="1960" w:type="dxa"/>
            <w:vAlign w:val="bottom"/>
          </w:tcPr>
          <w:p>
            <w:pPr>
              <w:spacing w:after="0"/>
              <w:rPr>
                <w:sz w:val="20"/>
                <w:szCs w:val="20"/>
                <w:color w:val="auto"/>
              </w:rPr>
            </w:pPr>
            <w:r>
              <w:rPr>
                <w:rFonts w:ascii="Arial" w:cs="Arial" w:eastAsia="Arial" w:hAnsi="Arial"/>
                <w:sz w:val="17"/>
                <w:szCs w:val="17"/>
                <w:color w:val="auto"/>
              </w:rPr>
              <w:t>patients not on dialysis</w:t>
            </w: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89"/>
        </w:trPr>
        <w:tc>
          <w:tcPr>
            <w:tcW w:w="1960" w:type="dxa"/>
            <w:vAlign w:val="bottom"/>
          </w:tcPr>
          <w:p>
            <w:pPr>
              <w:spacing w:after="0"/>
              <w:rPr>
                <w:sz w:val="20"/>
                <w:szCs w:val="20"/>
                <w:color w:val="auto"/>
              </w:rPr>
            </w:pPr>
            <w:r>
              <w:rPr>
                <w:rFonts w:ascii="Arial" w:cs="Arial" w:eastAsia="Arial" w:hAnsi="Arial"/>
                <w:sz w:val="17"/>
                <w:szCs w:val="17"/>
                <w:color w:val="auto"/>
              </w:rPr>
              <w:t>Age-related macular</w:t>
            </w:r>
          </w:p>
        </w:tc>
        <w:tc>
          <w:tcPr>
            <w:tcW w:w="1840" w:type="dxa"/>
            <w:vAlign w:val="bottom"/>
          </w:tcPr>
          <w:p>
            <w:pPr>
              <w:ind w:left="240"/>
              <w:spacing w:after="0"/>
              <w:rPr>
                <w:sz w:val="20"/>
                <w:szCs w:val="20"/>
                <w:color w:val="auto"/>
              </w:rPr>
            </w:pPr>
            <w:r>
              <w:rPr>
                <w:rFonts w:ascii="Arial" w:cs="Arial" w:eastAsia="Arial" w:hAnsi="Arial"/>
                <w:sz w:val="17"/>
                <w:szCs w:val="17"/>
                <w:color w:val="auto"/>
              </w:rPr>
              <w:t>Bausch Health</w:t>
            </w:r>
          </w:p>
        </w:tc>
        <w:tc>
          <w:tcPr>
            <w:tcW w:w="1560" w:type="dxa"/>
            <w:vAlign w:val="bottom"/>
          </w:tcPr>
          <w:p>
            <w:pPr>
              <w:ind w:left="320"/>
              <w:spacing w:after="0"/>
              <w:rPr>
                <w:sz w:val="20"/>
                <w:szCs w:val="20"/>
                <w:color w:val="auto"/>
              </w:rPr>
            </w:pPr>
            <w:r>
              <w:rPr>
                <w:rFonts w:ascii="Arial" w:cs="Arial" w:eastAsia="Arial" w:hAnsi="Arial"/>
                <w:sz w:val="17"/>
                <w:szCs w:val="17"/>
                <w:color w:val="auto"/>
              </w:rPr>
              <w:t>Approved 2004</w:t>
            </w:r>
          </w:p>
        </w:tc>
      </w:tr>
      <w:tr>
        <w:trPr>
          <w:trHeight w:val="168"/>
        </w:trPr>
        <w:tc>
          <w:tcPr>
            <w:tcW w:w="1960" w:type="dxa"/>
            <w:vAlign w:val="bottom"/>
          </w:tcPr>
          <w:p>
            <w:pPr>
              <w:spacing w:after="0" w:line="167" w:lineRule="exact"/>
              <w:rPr>
                <w:sz w:val="20"/>
                <w:szCs w:val="20"/>
                <w:color w:val="auto"/>
              </w:rPr>
            </w:pPr>
            <w:r>
              <w:rPr>
                <w:rFonts w:ascii="Arial" w:cs="Arial" w:eastAsia="Arial" w:hAnsi="Arial"/>
                <w:sz w:val="17"/>
                <w:szCs w:val="17"/>
                <w:color w:val="auto"/>
              </w:rPr>
              <w:t>degeneration</w:t>
            </w:r>
          </w:p>
        </w:tc>
        <w:tc>
          <w:tcPr>
            <w:tcW w:w="1840" w:type="dxa"/>
            <w:vAlign w:val="bottom"/>
          </w:tcPr>
          <w:p>
            <w:pPr>
              <w:ind w:left="240"/>
              <w:spacing w:after="0" w:line="167" w:lineRule="exact"/>
              <w:rPr>
                <w:sz w:val="20"/>
                <w:szCs w:val="20"/>
                <w:color w:val="auto"/>
              </w:rPr>
            </w:pPr>
            <w:r>
              <w:rPr>
                <w:rFonts w:ascii="Arial" w:cs="Arial" w:eastAsia="Arial" w:hAnsi="Arial"/>
                <w:sz w:val="17"/>
                <w:szCs w:val="17"/>
                <w:color w:val="auto"/>
              </w:rPr>
              <w:t>Companies Inc.</w:t>
            </w:r>
          </w:p>
        </w:tc>
        <w:tc>
          <w:tcPr>
            <w:tcW w:w="156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1840" w:type="dxa"/>
            <w:vAlign w:val="bottom"/>
          </w:tcPr>
          <w:p>
            <w:pPr>
              <w:ind w:left="240"/>
              <w:spacing w:after="0" w:line="167" w:lineRule="exact"/>
              <w:rPr>
                <w:sz w:val="20"/>
                <w:szCs w:val="20"/>
                <w:color w:val="auto"/>
              </w:rPr>
            </w:pPr>
            <w:r>
              <w:rPr>
                <w:rFonts w:ascii="Arial" w:cs="Arial" w:eastAsia="Arial" w:hAnsi="Arial"/>
                <w:sz w:val="17"/>
                <w:szCs w:val="17"/>
                <w:color w:val="auto"/>
              </w:rPr>
              <w:t>(formerly, Valeant</w:t>
            </w:r>
          </w:p>
        </w:tc>
        <w:tc>
          <w:tcPr>
            <w:tcW w:w="1560" w:type="dxa"/>
            <w:vAlign w:val="bottom"/>
          </w:tcPr>
          <w:p>
            <w:pPr>
              <w:spacing w:after="0"/>
              <w:rPr>
                <w:sz w:val="14"/>
                <w:szCs w:val="14"/>
                <w:color w:val="auto"/>
              </w:rPr>
            </w:pPr>
          </w:p>
        </w:tc>
      </w:tr>
      <w:tr>
        <w:trPr>
          <w:trHeight w:val="180"/>
        </w:trPr>
        <w:tc>
          <w:tcPr>
            <w:tcW w:w="1960" w:type="dxa"/>
            <w:vAlign w:val="bottom"/>
          </w:tcPr>
          <w:p>
            <w:pPr>
              <w:spacing w:after="0"/>
              <w:rPr>
                <w:sz w:val="15"/>
                <w:szCs w:val="15"/>
                <w:color w:val="auto"/>
              </w:rPr>
            </w:pPr>
          </w:p>
        </w:tc>
        <w:tc>
          <w:tcPr>
            <w:tcW w:w="1840" w:type="dxa"/>
            <w:vAlign w:val="bottom"/>
          </w:tcPr>
          <w:p>
            <w:pPr>
              <w:ind w:left="240"/>
              <w:spacing w:after="0" w:line="180" w:lineRule="exact"/>
              <w:rPr>
                <w:sz w:val="20"/>
                <w:szCs w:val="20"/>
                <w:color w:val="auto"/>
              </w:rPr>
            </w:pPr>
            <w:r>
              <w:rPr>
                <w:rFonts w:ascii="Arial" w:cs="Arial" w:eastAsia="Arial" w:hAnsi="Arial"/>
                <w:sz w:val="17"/>
                <w:szCs w:val="17"/>
                <w:color w:val="auto"/>
              </w:rPr>
              <w:t>Pharmaceuticals</w:t>
            </w:r>
          </w:p>
        </w:tc>
        <w:tc>
          <w:tcPr>
            <w:tcW w:w="1560" w:type="dxa"/>
            <w:vAlign w:val="bottom"/>
          </w:tcPr>
          <w:p>
            <w:pPr>
              <w:spacing w:after="0"/>
              <w:rPr>
                <w:sz w:val="15"/>
                <w:szCs w:val="15"/>
                <w:color w:val="auto"/>
              </w:rPr>
            </w:pPr>
          </w:p>
        </w:tc>
      </w:tr>
      <w:tr>
        <w:trPr>
          <w:trHeight w:val="217"/>
        </w:trPr>
        <w:tc>
          <w:tcPr>
            <w:tcW w:w="1960" w:type="dxa"/>
            <w:vAlign w:val="bottom"/>
          </w:tcPr>
          <w:p>
            <w:pPr>
              <w:spacing w:after="0"/>
              <w:rPr>
                <w:sz w:val="18"/>
                <w:szCs w:val="18"/>
                <w:color w:val="auto"/>
              </w:rPr>
            </w:pPr>
          </w:p>
        </w:tc>
        <w:tc>
          <w:tcPr>
            <w:tcW w:w="1840" w:type="dxa"/>
            <w:vAlign w:val="bottom"/>
          </w:tcPr>
          <w:p>
            <w:pPr>
              <w:ind w:left="240"/>
              <w:spacing w:after="0"/>
              <w:rPr>
                <w:sz w:val="20"/>
                <w:szCs w:val="20"/>
                <w:color w:val="auto"/>
              </w:rPr>
            </w:pPr>
            <w:r>
              <w:rPr>
                <w:rFonts w:ascii="Arial" w:cs="Arial" w:eastAsia="Arial" w:hAnsi="Arial"/>
                <w:sz w:val="17"/>
                <w:szCs w:val="17"/>
                <w:color w:val="auto"/>
              </w:rPr>
              <w:t>International, Inc.)</w:t>
            </w:r>
          </w:p>
        </w:tc>
        <w:tc>
          <w:tcPr>
            <w:tcW w:w="15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3469" w:space="400"/>
            <w:col w:w="6200"/>
          </w:cols>
          <w:pgMar w:left="1191" w:top="1440" w:right="639" w:bottom="1440" w:gutter="0" w:footer="0" w:header="0"/>
          <w:type w:val="continuous"/>
        </w:sectPr>
      </w:pPr>
    </w:p>
    <w:p>
      <w:pPr>
        <w:spacing w:after="0" w:line="8" w:lineRule="exact"/>
        <w:rPr>
          <w:sz w:val="20"/>
          <w:szCs w:val="20"/>
          <w:color w:val="auto"/>
        </w:rPr>
      </w:pPr>
    </w:p>
    <w:tbl>
      <w:tblPr>
        <w:tblLayout w:type="fixed"/>
        <w:tblInd w:w="629" w:type="dxa"/>
        <w:tblCellMar>
          <w:top w:w="0" w:type="dxa"/>
          <w:left w:w="0" w:type="dxa"/>
          <w:bottom w:w="0" w:type="dxa"/>
          <w:right w:w="0" w:type="dxa"/>
        </w:tblCellMar>
      </w:tblPr>
      <w:tr>
        <w:trPr>
          <w:trHeight w:val="310"/>
        </w:trPr>
        <w:tc>
          <w:tcPr>
            <w:tcW w:w="2500" w:type="dxa"/>
            <w:vAlign w:val="bottom"/>
          </w:tcPr>
          <w:p>
            <w:pPr>
              <w:spacing w:after="0"/>
              <w:rPr>
                <w:sz w:val="20"/>
                <w:szCs w:val="20"/>
                <w:color w:val="auto"/>
              </w:rPr>
            </w:pPr>
            <w:r>
              <w:rPr>
                <w:rFonts w:ascii="Arial" w:cs="Arial" w:eastAsia="Arial" w:hAnsi="Arial"/>
                <w:sz w:val="17"/>
                <w:szCs w:val="17"/>
                <w:color w:val="auto"/>
              </w:rPr>
              <w:t>Somavert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(pegvisomant)</w:t>
            </w:r>
          </w:p>
        </w:tc>
        <w:tc>
          <w:tcPr>
            <w:tcW w:w="2380" w:type="dxa"/>
            <w:vAlign w:val="bottom"/>
          </w:tcPr>
          <w:p>
            <w:pPr>
              <w:ind w:left="740"/>
              <w:spacing w:after="0"/>
              <w:rPr>
                <w:sz w:val="20"/>
                <w:szCs w:val="20"/>
                <w:color w:val="auto"/>
              </w:rPr>
            </w:pPr>
            <w:r>
              <w:rPr>
                <w:rFonts w:ascii="Arial" w:cs="Arial" w:eastAsia="Arial" w:hAnsi="Arial"/>
                <w:sz w:val="17"/>
                <w:szCs w:val="17"/>
                <w:color w:val="auto"/>
              </w:rPr>
              <w:t>Acromegaly</w:t>
            </w:r>
          </w:p>
        </w:tc>
        <w:tc>
          <w:tcPr>
            <w:tcW w:w="2300" w:type="dxa"/>
            <w:vAlign w:val="bottom"/>
          </w:tcPr>
          <w:p>
            <w:pPr>
              <w:ind w:left="560"/>
              <w:spacing w:after="0"/>
              <w:rPr>
                <w:sz w:val="20"/>
                <w:szCs w:val="20"/>
                <w:color w:val="auto"/>
              </w:rPr>
            </w:pPr>
            <w:r>
              <w:rPr>
                <w:rFonts w:ascii="Arial" w:cs="Arial" w:eastAsia="Arial" w:hAnsi="Arial"/>
                <w:sz w:val="17"/>
                <w:szCs w:val="17"/>
                <w:color w:val="auto"/>
              </w:rPr>
              <w:t>Pfizer Inc.</w:t>
            </w:r>
          </w:p>
        </w:tc>
        <w:tc>
          <w:tcPr>
            <w:tcW w:w="1240" w:type="dxa"/>
            <w:vAlign w:val="bottom"/>
          </w:tcPr>
          <w:p>
            <w:pPr>
              <w:ind w:left="180"/>
              <w:spacing w:after="0"/>
              <w:rPr>
                <w:sz w:val="20"/>
                <w:szCs w:val="20"/>
                <w:color w:val="auto"/>
              </w:rPr>
            </w:pPr>
            <w:r>
              <w:rPr>
                <w:rFonts w:ascii="Arial" w:cs="Arial" w:eastAsia="Arial" w:hAnsi="Arial"/>
                <w:sz w:val="17"/>
                <w:szCs w:val="17"/>
                <w:color w:val="auto"/>
                <w:w w:val="90"/>
              </w:rPr>
              <w:t>Approved 2003</w:t>
            </w:r>
          </w:p>
        </w:tc>
      </w:tr>
      <w:tr>
        <w:trPr>
          <w:trHeight w:val="335"/>
        </w:trPr>
        <w:tc>
          <w:tcPr>
            <w:tcW w:w="2500" w:type="dxa"/>
            <w:vAlign w:val="bottom"/>
          </w:tcPr>
          <w:p>
            <w:pPr>
              <w:spacing w:after="0"/>
              <w:rPr>
                <w:sz w:val="20"/>
                <w:szCs w:val="20"/>
                <w:color w:val="auto"/>
              </w:rPr>
            </w:pPr>
            <w:r>
              <w:rPr>
                <w:rFonts w:ascii="Arial" w:cs="Arial" w:eastAsia="Arial" w:hAnsi="Arial"/>
                <w:sz w:val="17"/>
                <w:szCs w:val="17"/>
                <w:color w:val="auto"/>
              </w:rPr>
              <w:t>Dapirolizumab Pegol</w:t>
            </w:r>
          </w:p>
        </w:tc>
        <w:tc>
          <w:tcPr>
            <w:tcW w:w="2380" w:type="dxa"/>
            <w:vAlign w:val="bottom"/>
          </w:tcPr>
          <w:p>
            <w:pPr>
              <w:ind w:left="740"/>
              <w:spacing w:after="0"/>
              <w:rPr>
                <w:sz w:val="20"/>
                <w:szCs w:val="20"/>
                <w:color w:val="auto"/>
              </w:rPr>
            </w:pPr>
            <w:r>
              <w:rPr>
                <w:rFonts w:ascii="Arial" w:cs="Arial" w:eastAsia="Arial" w:hAnsi="Arial"/>
                <w:sz w:val="17"/>
                <w:szCs w:val="17"/>
                <w:color w:val="auto"/>
              </w:rPr>
              <w:t>Systemic Lupus</w:t>
            </w:r>
          </w:p>
        </w:tc>
        <w:tc>
          <w:tcPr>
            <w:tcW w:w="2300" w:type="dxa"/>
            <w:vAlign w:val="bottom"/>
          </w:tcPr>
          <w:p>
            <w:pPr>
              <w:ind w:left="560"/>
              <w:spacing w:after="0"/>
              <w:rPr>
                <w:sz w:val="20"/>
                <w:szCs w:val="20"/>
                <w:color w:val="auto"/>
              </w:rPr>
            </w:pPr>
            <w:r>
              <w:rPr>
                <w:rFonts w:ascii="Arial" w:cs="Arial" w:eastAsia="Arial" w:hAnsi="Arial"/>
                <w:sz w:val="17"/>
                <w:szCs w:val="17"/>
                <w:color w:val="auto"/>
              </w:rPr>
              <w:t>UCB Pharma (Biogen)</w:t>
            </w:r>
          </w:p>
        </w:tc>
        <w:tc>
          <w:tcPr>
            <w:tcW w:w="1240" w:type="dxa"/>
            <w:vAlign w:val="bottom"/>
          </w:tcPr>
          <w:p>
            <w:pPr>
              <w:ind w:left="180"/>
              <w:spacing w:after="0"/>
              <w:rPr>
                <w:sz w:val="20"/>
                <w:szCs w:val="20"/>
                <w:color w:val="auto"/>
              </w:rPr>
            </w:pPr>
            <w:r>
              <w:rPr>
                <w:rFonts w:ascii="Arial" w:cs="Arial" w:eastAsia="Arial" w:hAnsi="Arial"/>
                <w:sz w:val="17"/>
                <w:szCs w:val="17"/>
                <w:color w:val="auto"/>
              </w:rPr>
              <w:t>Phase 3</w:t>
            </w:r>
          </w:p>
        </w:tc>
      </w:tr>
      <w:tr>
        <w:trPr>
          <w:trHeight w:val="217"/>
        </w:trPr>
        <w:tc>
          <w:tcPr>
            <w:tcW w:w="2500" w:type="dxa"/>
            <w:vAlign w:val="bottom"/>
          </w:tcPr>
          <w:p>
            <w:pPr>
              <w:spacing w:after="0"/>
              <w:rPr>
                <w:sz w:val="18"/>
                <w:szCs w:val="18"/>
                <w:color w:val="auto"/>
              </w:rPr>
            </w:pPr>
          </w:p>
        </w:tc>
        <w:tc>
          <w:tcPr>
            <w:tcW w:w="2380" w:type="dxa"/>
            <w:vAlign w:val="bottom"/>
          </w:tcPr>
          <w:p>
            <w:pPr>
              <w:ind w:left="740"/>
              <w:spacing w:after="0"/>
              <w:rPr>
                <w:sz w:val="20"/>
                <w:szCs w:val="20"/>
                <w:color w:val="auto"/>
              </w:rPr>
            </w:pPr>
            <w:r>
              <w:rPr>
                <w:rFonts w:ascii="Arial" w:cs="Arial" w:eastAsia="Arial" w:hAnsi="Arial"/>
                <w:sz w:val="17"/>
                <w:szCs w:val="17"/>
                <w:color w:val="auto"/>
              </w:rPr>
              <w:t>Erythematosus</w:t>
            </w:r>
          </w:p>
        </w:tc>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234" w:lineRule="exact"/>
        <w:rPr>
          <w:sz w:val="20"/>
          <w:szCs w:val="20"/>
          <w:color w:val="auto"/>
        </w:rPr>
      </w:pPr>
    </w:p>
    <w:p>
      <w:pPr>
        <w:ind w:left="449" w:hanging="449"/>
        <w:spacing w:after="0"/>
        <w:tabs>
          <w:tab w:leader="none" w:pos="449" w:val="left"/>
        </w:tabs>
        <w:numPr>
          <w:ilvl w:val="0"/>
          <w:numId w:val="7"/>
        </w:numPr>
        <w:rPr>
          <w:rFonts w:ascii="Arial" w:cs="Arial" w:eastAsia="Arial" w:hAnsi="Arial"/>
          <w:sz w:val="17"/>
          <w:szCs w:val="17"/>
          <w:color w:val="auto"/>
        </w:rPr>
      </w:pPr>
      <w:r>
        <w:rPr>
          <w:rFonts w:ascii="Arial" w:cs="Arial" w:eastAsia="Arial" w:hAnsi="Arial"/>
          <w:sz w:val="17"/>
          <w:szCs w:val="17"/>
          <w:color w:val="auto"/>
        </w:rPr>
        <w:t>Status definitions are:</w:t>
      </w:r>
    </w:p>
    <w:p>
      <w:pPr>
        <w:spacing w:after="0" w:line="22" w:lineRule="exact"/>
        <w:rPr>
          <w:sz w:val="20"/>
          <w:szCs w:val="20"/>
          <w:color w:val="auto"/>
        </w:rPr>
      </w:pPr>
    </w:p>
    <w:p>
      <w:pPr>
        <w:ind w:left="469" w:right="1060"/>
        <w:spacing w:after="0" w:line="253" w:lineRule="auto"/>
        <w:rPr>
          <w:sz w:val="20"/>
          <w:szCs w:val="20"/>
          <w:color w:val="auto"/>
        </w:rPr>
      </w:pPr>
      <w:r>
        <w:rPr>
          <w:rFonts w:ascii="Arial" w:cs="Arial" w:eastAsia="Arial" w:hAnsi="Arial"/>
          <w:sz w:val="17"/>
          <w:szCs w:val="17"/>
          <w:i w:val="1"/>
          <w:iCs w:val="1"/>
          <w:color w:val="auto"/>
        </w:rPr>
        <w:t xml:space="preserve">Approved </w:t>
      </w:r>
      <w:r>
        <w:rPr>
          <w:rFonts w:ascii="Arial" w:cs="Arial" w:eastAsia="Arial" w:hAnsi="Arial"/>
          <w:sz w:val="17"/>
          <w:szCs w:val="17"/>
          <w:color w:val="auto"/>
        </w:rPr>
        <w:t>— regulatory approval to market and sell product obtained in one or more of the U.S., EU or other countries. Year</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indicates first regulatory approval.</w:t>
      </w:r>
    </w:p>
    <w:p>
      <w:pPr>
        <w:ind w:left="469" w:right="760"/>
        <w:spacing w:after="0" w:line="253"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 drug candidate in large-scale clinical trials conducted to obtain regulatory approval to market and sell the drug (these</w:t>
      </w:r>
      <w:r>
        <w:rPr>
          <w:rFonts w:ascii="Arial" w:cs="Arial" w:eastAsia="Arial" w:hAnsi="Arial"/>
          <w:sz w:val="17"/>
          <w:szCs w:val="17"/>
          <w:i w:val="1"/>
          <w:iCs w:val="1"/>
          <w:color w:val="auto"/>
        </w:rPr>
        <w:t xml:space="preserve"> </w:t>
      </w:r>
      <w:r>
        <w:rPr>
          <w:rFonts w:ascii="Arial" w:cs="Arial" w:eastAsia="Arial" w:hAnsi="Arial"/>
          <w:sz w:val="17"/>
          <w:szCs w:val="17"/>
          <w:color w:val="auto"/>
        </w:rPr>
        <w:t>trials are typically initiated following encouraging Phase 2 trial results).</w:t>
      </w:r>
    </w:p>
    <w:p>
      <w:pPr>
        <w:ind w:left="249" w:right="620" w:hanging="463"/>
        <w:spacing w:after="0" w:line="245" w:lineRule="auto"/>
        <w:tabs>
          <w:tab w:leader="none" w:pos="228"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In December 2020, pursuant to a purchase and sale agreement (the “2020 Purchase and Sale Agreement”) we sold our rights to receive royalties on future worldwide new sales of ADYNOVATE</w:t>
      </w:r>
      <w:r>
        <w:rPr>
          <w:rFonts w:ascii="Arial" w:cs="Arial" w:eastAsia="Arial" w:hAnsi="Arial"/>
          <w:sz w:val="21"/>
          <w:szCs w:val="21"/>
          <w:color w:val="auto"/>
          <w:vertAlign w:val="superscript"/>
        </w:rPr>
        <w:t>®</w:t>
      </w:r>
      <w:r>
        <w:rPr>
          <w:rFonts w:ascii="Arial" w:cs="Arial" w:eastAsia="Arial" w:hAnsi="Arial"/>
          <w:sz w:val="16"/>
          <w:szCs w:val="16"/>
          <w:color w:val="auto"/>
        </w:rPr>
        <w:t>/ADYNOVI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MOVANTIK</w:t>
      </w:r>
      <w:r>
        <w:rPr>
          <w:rFonts w:ascii="Arial" w:cs="Arial" w:eastAsia="Arial" w:hAnsi="Arial"/>
          <w:sz w:val="21"/>
          <w:szCs w:val="21"/>
          <w:color w:val="auto"/>
          <w:vertAlign w:val="superscript"/>
        </w:rPr>
        <w:t>®</w:t>
      </w:r>
      <w:r>
        <w:rPr>
          <w:rFonts w:ascii="Arial" w:cs="Arial" w:eastAsia="Arial" w:hAnsi="Arial"/>
          <w:sz w:val="16"/>
          <w:szCs w:val="16"/>
          <w:color w:val="auto"/>
        </w:rPr>
        <w:t>/MOVANTIG</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(as well as REBINYN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specified licensed products under a Right to Sublicense Agreement, dated October 27, 2017) from and after October 1, 2020 until the purchaser of these rights has received payments equal to $210.0 million (the “2025 Threshold”), if the 2025 Threshold is achieved on or prior to December 31, 2025, or $240.0 million, if the 2025 Threshold is not achieved on or prior to December 31, 2025 (or, if earlier, the date on which the last royalty payment under the relevant license agreements is made). All rights to receive royalties will return to Nektar once the 2020 Purchase and Sale Agreement expires.</w:t>
      </w:r>
    </w:p>
    <w:p>
      <w:pPr>
        <w:spacing w:after="0" w:line="4" w:lineRule="exact"/>
        <w:rPr>
          <w:sz w:val="20"/>
          <w:szCs w:val="20"/>
          <w:color w:val="auto"/>
        </w:rPr>
      </w:pPr>
    </w:p>
    <w:p>
      <w:pPr>
        <w:ind w:left="469" w:right="600" w:hanging="469"/>
        <w:spacing w:after="0" w:line="224" w:lineRule="auto"/>
        <w:tabs>
          <w:tab w:leader="none" w:pos="391"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February 2012, we sold our rights to receive royalties on future worldwide net sales of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effective as of January 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6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069"/>
          </w:cols>
          <w:pgMar w:left="1191" w:top="1440" w:right="6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559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855916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and Approval Process</w:t>
      </w:r>
    </w:p>
    <w:p>
      <w:pPr>
        <w:spacing w:after="0" w:line="114" w:lineRule="exact"/>
        <w:rPr>
          <w:sz w:val="20"/>
          <w:szCs w:val="20"/>
          <w:color w:val="auto"/>
        </w:rPr>
      </w:pPr>
    </w:p>
    <w:p>
      <w:pPr>
        <w:ind w:right="20" w:firstLine="169"/>
        <w:spacing w:after="0" w:line="307" w:lineRule="auto"/>
        <w:rPr>
          <w:sz w:val="20"/>
          <w:szCs w:val="20"/>
          <w:color w:val="auto"/>
        </w:rPr>
      </w:pPr>
      <w:r>
        <w:rPr>
          <w:rFonts w:ascii="Arial" w:cs="Arial" w:eastAsia="Arial" w:hAnsi="Arial"/>
          <w:sz w:val="15"/>
          <w:szCs w:val="15"/>
          <w:color w:val="auto"/>
        </w:rPr>
        <w:t>The research and development, clinical testing, manufacture and marketing of our drug candidates and products using our technologies are subject to regulation by the FDA and by comparable regulatory agencies in other countries. These national agencies and other federal, state and local entities regulate, among other things, research and development activities and the testing (in vitro, in animals, and in human clinical trials), manufacture, labeling, storage, recordkeeping, approval, marketing, advertising and promotion of our products.</w:t>
      </w:r>
    </w:p>
    <w:p>
      <w:pPr>
        <w:spacing w:after="0" w:line="149" w:lineRule="exact"/>
        <w:rPr>
          <w:sz w:val="20"/>
          <w:szCs w:val="20"/>
          <w:color w:val="auto"/>
        </w:rPr>
      </w:pPr>
    </w:p>
    <w:p>
      <w:pPr>
        <w:jc w:val="both"/>
        <w:ind w:right="320" w:firstLine="169"/>
        <w:spacing w:after="0" w:line="266" w:lineRule="auto"/>
        <w:rPr>
          <w:sz w:val="20"/>
          <w:szCs w:val="20"/>
          <w:color w:val="auto"/>
        </w:rPr>
      </w:pPr>
      <w:r>
        <w:rPr>
          <w:rFonts w:ascii="Arial" w:cs="Arial" w:eastAsia="Arial" w:hAnsi="Arial"/>
          <w:sz w:val="17"/>
          <w:szCs w:val="17"/>
          <w:color w:val="auto"/>
        </w:rPr>
        <w:t>The approval process required by the FDA before a product using any of our technologies may be marketed in the U.S. depends on whether the chemical composition of the product has previously been approved for use in other dosage forms. If the product is a new chemical entity that has not been previously approved, the process includes the following:</w:t>
      </w:r>
    </w:p>
    <w:p>
      <w:pPr>
        <w:spacing w:after="0" w:line="72" w:lineRule="exact"/>
        <w:rPr>
          <w:sz w:val="20"/>
          <w:szCs w:val="20"/>
          <w:color w:val="auto"/>
        </w:rPr>
      </w:pPr>
    </w:p>
    <w:p>
      <w:pPr>
        <w:ind w:left="1060" w:hanging="450"/>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extensive preclinical laboratory and animal testing;</w:t>
      </w:r>
    </w:p>
    <w:p>
      <w:pPr>
        <w:spacing w:after="0" w:line="113" w:lineRule="exact"/>
        <w:rPr>
          <w:rFonts w:ascii="Arial" w:cs="Arial" w:eastAsia="Arial" w:hAnsi="Arial"/>
          <w:sz w:val="17"/>
          <w:szCs w:val="17"/>
          <w:color w:val="auto"/>
        </w:rPr>
      </w:pPr>
    </w:p>
    <w:p>
      <w:pPr>
        <w:ind w:left="1060" w:hanging="450"/>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of an Investigational New Drug (IND) prior to commencing clinical trials;</w:t>
      </w:r>
    </w:p>
    <w:p>
      <w:pPr>
        <w:spacing w:after="0" w:line="113" w:lineRule="exact"/>
        <w:rPr>
          <w:rFonts w:ascii="Arial" w:cs="Arial" w:eastAsia="Arial" w:hAnsi="Arial"/>
          <w:sz w:val="17"/>
          <w:szCs w:val="17"/>
          <w:color w:val="auto"/>
        </w:rPr>
      </w:pPr>
    </w:p>
    <w:p>
      <w:pPr>
        <w:ind w:left="1080" w:right="640" w:hanging="470"/>
        <w:spacing w:after="0" w:line="279" w:lineRule="auto"/>
        <w:tabs>
          <w:tab w:leader="none" w:pos="1076" w:val="left"/>
        </w:tabs>
        <w:numPr>
          <w:ilvl w:val="0"/>
          <w:numId w:val="9"/>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drug for the intended indication;</w:t>
      </w:r>
    </w:p>
    <w:p>
      <w:pPr>
        <w:spacing w:after="0" w:line="61" w:lineRule="exact"/>
        <w:rPr>
          <w:rFonts w:ascii="Arial" w:cs="Arial" w:eastAsia="Arial" w:hAnsi="Arial"/>
          <w:sz w:val="17"/>
          <w:szCs w:val="17"/>
          <w:color w:val="auto"/>
        </w:rPr>
      </w:pPr>
    </w:p>
    <w:p>
      <w:pPr>
        <w:ind w:left="1080" w:right="180" w:hanging="470"/>
        <w:spacing w:after="0" w:line="279" w:lineRule="auto"/>
        <w:tabs>
          <w:tab w:leader="none" w:pos="1076" w:val="left"/>
        </w:tabs>
        <w:numPr>
          <w:ilvl w:val="0"/>
          <w:numId w:val="9"/>
        </w:numPr>
        <w:rPr>
          <w:rFonts w:ascii="Arial" w:cs="Arial" w:eastAsia="Arial" w:hAnsi="Arial"/>
          <w:sz w:val="17"/>
          <w:szCs w:val="17"/>
          <w:color w:val="auto"/>
        </w:rPr>
      </w:pPr>
      <w:r>
        <w:rPr>
          <w:rFonts w:ascii="Arial" w:cs="Arial" w:eastAsia="Arial" w:hAnsi="Arial"/>
          <w:sz w:val="17"/>
          <w:szCs w:val="17"/>
          <w:color w:val="auto"/>
        </w:rPr>
        <w:t>extensive pharmaceutical development for the characterization of the chemistry, manufacturing process and controls for the active ingredient and drug product; and</w:t>
      </w:r>
    </w:p>
    <w:p>
      <w:pPr>
        <w:spacing w:after="0" w:line="61" w:lineRule="exact"/>
        <w:rPr>
          <w:rFonts w:ascii="Arial" w:cs="Arial" w:eastAsia="Arial" w:hAnsi="Arial"/>
          <w:sz w:val="17"/>
          <w:szCs w:val="17"/>
          <w:color w:val="auto"/>
        </w:rPr>
      </w:pPr>
    </w:p>
    <w:p>
      <w:pPr>
        <w:ind w:left="1080" w:right="320" w:hanging="470"/>
        <w:spacing w:after="0" w:line="279" w:lineRule="auto"/>
        <w:tabs>
          <w:tab w:leader="none" w:pos="1076"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 New Drug Application (NDA) for approval of a drug or a Biological License Application (BLA) for approval of a biological product.</w:t>
      </w:r>
    </w:p>
    <w:p>
      <w:pPr>
        <w:spacing w:after="0" w:line="164" w:lineRule="exact"/>
        <w:rPr>
          <w:sz w:val="20"/>
          <w:szCs w:val="20"/>
          <w:color w:val="auto"/>
        </w:rPr>
      </w:pPr>
    </w:p>
    <w:p>
      <w:pPr>
        <w:ind w:firstLine="172"/>
        <w:spacing w:after="0" w:line="259" w:lineRule="auto"/>
        <w:rPr>
          <w:sz w:val="20"/>
          <w:szCs w:val="20"/>
          <w:color w:val="auto"/>
        </w:rPr>
      </w:pPr>
      <w:r>
        <w:rPr>
          <w:rFonts w:ascii="Arial" w:cs="Arial" w:eastAsia="Arial" w:hAnsi="Arial"/>
          <w:sz w:val="17"/>
          <w:szCs w:val="17"/>
          <w:color w:val="auto"/>
        </w:rPr>
        <w:t>If the active chemical ingredient has been previously approved by the FDA, the approval process is similar, except that certain preclinical tests, including those relating to systemic toxicity normally required for the IND and NDA or BLA, and clinical trials, may not be necessary if the company has a right of reference to existing preclinical or clinical data under section 505(j) of the Federal Food, Drug, and Cosmetic Act (FDCA) or is eligible for approval under Section 505(b)(2) of the FDCA or the biosimilars provisions of the Public Health Services Act.</w:t>
      </w:r>
    </w:p>
    <w:p>
      <w:pPr>
        <w:spacing w:after="0" w:line="183" w:lineRule="exact"/>
        <w:rPr>
          <w:sz w:val="20"/>
          <w:szCs w:val="20"/>
          <w:color w:val="auto"/>
        </w:rPr>
      </w:pPr>
    </w:p>
    <w:p>
      <w:pPr>
        <w:ind w:right="40" w:firstLine="172"/>
        <w:spacing w:after="0" w:line="273" w:lineRule="auto"/>
        <w:rPr>
          <w:sz w:val="20"/>
          <w:szCs w:val="20"/>
          <w:color w:val="auto"/>
        </w:rPr>
      </w:pPr>
      <w:r>
        <w:rPr>
          <w:rFonts w:ascii="Arial" w:cs="Arial" w:eastAsia="Arial" w:hAnsi="Arial"/>
          <w:sz w:val="16"/>
          <w:szCs w:val="16"/>
          <w:color w:val="auto"/>
        </w:rPr>
        <w:t>Preclinical tests include laboratory evaluation of product chemistry and animal studies to assess the safety and efficacy of the product and its chosen formulation. Preclinical safety tests must be conducted by laboratories that comply with FDA good laboratory practices (GLP) regulations. The results of the preclinical tests for drugs, biological products and combination products subject to the primary jurisdiction of the FDA’s Center for Drug Evaluation and Research (CDER) or Center for Biologics Evaluation and Research (CBER) are submitted to the FDA as part of the IND and are reviewed by the FDA before clinical trials can begin. Clinical trials may begin 30 days after receipt of the IND by the FDA, unless the FDA raises objections or requires clarification within that period. Clinical trials involve the administration of the drug to healthy volunteers or patients under the supervision of a qualified, identified medical investigator according to a protocol submitted in the IND for FDA review. Drug products to be used in clinical trials must be manufactured according to current good manufacturing practices (cGMP). Clinical trials are conducted in accordance with protocols that detail the objectives of the study and the parameters to be used to monitor participant safety and product efficacy as well as other criteria to be evaluated in the study. Each protocol is submitted to the FDA in the IND.</w:t>
      </w:r>
    </w:p>
    <w:p>
      <w:pPr>
        <w:spacing w:after="0" w:line="173" w:lineRule="exact"/>
        <w:rPr>
          <w:sz w:val="20"/>
          <w:szCs w:val="20"/>
          <w:color w:val="auto"/>
        </w:rPr>
      </w:pPr>
    </w:p>
    <w:p>
      <w:pPr>
        <w:ind w:right="60" w:firstLine="162"/>
        <w:spacing w:after="0" w:line="259" w:lineRule="auto"/>
        <w:rPr>
          <w:sz w:val="20"/>
          <w:szCs w:val="20"/>
          <w:color w:val="auto"/>
        </w:rPr>
      </w:pPr>
      <w:r>
        <w:rPr>
          <w:rFonts w:ascii="Arial" w:cs="Arial" w:eastAsia="Arial" w:hAnsi="Arial"/>
          <w:sz w:val="17"/>
          <w:szCs w:val="17"/>
          <w:color w:val="auto"/>
        </w:rPr>
        <w:t>Apart from the IND process described above, each clinical study must be reviewed by an independent Institutional Review Board (IRB), and the IRB must be kept current with respect to the status of the clinical study. The IRB considers, among other things, ethical factors, the potential risks to subjects participating in the trial and the possible liability to the institution where the trial is conducted. The IRB also reviews and approves the informed consent form to be signed by the trial participants and any significant changes in the clinical trial.</w:t>
      </w:r>
    </w:p>
    <w:p>
      <w:pPr>
        <w:spacing w:after="0" w:line="183" w:lineRule="exact"/>
        <w:rPr>
          <w:sz w:val="20"/>
          <w:szCs w:val="20"/>
          <w:color w:val="auto"/>
        </w:rPr>
      </w:pPr>
    </w:p>
    <w:p>
      <w:pPr>
        <w:ind w:right="460" w:firstLine="172"/>
        <w:spacing w:after="0" w:line="257" w:lineRule="auto"/>
        <w:rPr>
          <w:sz w:val="20"/>
          <w:szCs w:val="20"/>
          <w:color w:val="auto"/>
        </w:rPr>
      </w:pPr>
      <w:r>
        <w:rPr>
          <w:rFonts w:ascii="Arial" w:cs="Arial" w:eastAsia="Arial" w:hAnsi="Arial"/>
          <w:sz w:val="17"/>
          <w:szCs w:val="17"/>
          <w:color w:val="auto"/>
        </w:rPr>
        <w:t>Clinical trials are typically conducted in three sequential phases. Phase 1 involves the initial introduction of the drug into healthy human subjects (in most cases) and the product generally is tested for tolerability, pharmacokinetics, absorption, metabolism and excretion. Phase 2 involves studies in a limited patient population to:</w:t>
      </w:r>
    </w:p>
    <w:p>
      <w:pPr>
        <w:spacing w:after="0" w:line="2" w:lineRule="exact"/>
        <w:rPr>
          <w:sz w:val="20"/>
          <w:szCs w:val="20"/>
          <w:color w:val="auto"/>
        </w:rPr>
      </w:pPr>
    </w:p>
    <w:p>
      <w:pPr>
        <w:ind w:left="1060" w:hanging="450"/>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determine the preliminary efficacy of the product for specific targeted indications;</w:t>
      </w:r>
    </w:p>
    <w:p>
      <w:pPr>
        <w:spacing w:after="0" w:line="10" w:lineRule="exact"/>
        <w:rPr>
          <w:rFonts w:ascii="Arial" w:cs="Arial" w:eastAsia="Arial" w:hAnsi="Arial"/>
          <w:sz w:val="17"/>
          <w:szCs w:val="17"/>
          <w:color w:val="auto"/>
        </w:rPr>
      </w:pPr>
    </w:p>
    <w:p>
      <w:pPr>
        <w:ind w:left="1060" w:hanging="450"/>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determine dosage and regimen of administration; and</w:t>
      </w:r>
    </w:p>
    <w:p>
      <w:pPr>
        <w:spacing w:after="0" w:line="10" w:lineRule="exact"/>
        <w:rPr>
          <w:rFonts w:ascii="Arial" w:cs="Arial" w:eastAsia="Arial" w:hAnsi="Arial"/>
          <w:sz w:val="17"/>
          <w:szCs w:val="17"/>
          <w:color w:val="auto"/>
        </w:rPr>
      </w:pPr>
    </w:p>
    <w:p>
      <w:pPr>
        <w:ind w:left="1060" w:hanging="450"/>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identify possible adverse effects and safety risks.</w:t>
      </w:r>
    </w:p>
    <w:p>
      <w:pPr>
        <w:spacing w:after="0" w:line="206" w:lineRule="exact"/>
        <w:rPr>
          <w:sz w:val="20"/>
          <w:szCs w:val="20"/>
          <w:color w:val="auto"/>
        </w:rPr>
      </w:pPr>
    </w:p>
    <w:p>
      <w:pPr>
        <w:ind w:right="120" w:firstLine="172"/>
        <w:spacing w:after="0" w:line="290" w:lineRule="auto"/>
        <w:rPr>
          <w:sz w:val="20"/>
          <w:szCs w:val="20"/>
          <w:color w:val="auto"/>
        </w:rPr>
      </w:pPr>
      <w:r>
        <w:rPr>
          <w:rFonts w:ascii="Arial" w:cs="Arial" w:eastAsia="Arial" w:hAnsi="Arial"/>
          <w:sz w:val="16"/>
          <w:szCs w:val="16"/>
          <w:color w:val="auto"/>
        </w:rPr>
        <w:t>If Phase 2 trials demonstrate that a product appears to be effective and to have an acceptable safety profile, Phase 3 trials are typically undertaken to evaluate the further clinical efficacy and safety of the drug and formulation within an expanded patient population at geographically dispersed clinical study sites and in large enough trials to provide statistical proof of</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10" w:name="page11"/>
    <w:bookmarkEnd w:id="10"/>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777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7773670"/>
                    </a:xfrm>
                    <a:prstGeom prst="rect">
                      <a:avLst/>
                    </a:prstGeom>
                    <a:noFill/>
                  </pic:spPr>
                </pic:pic>
              </a:graphicData>
            </a:graphic>
          </wp:anchor>
        </w:drawing>
      </w:r>
    </w:p>
    <w:p>
      <w:pPr>
        <w:ind w:right="60"/>
        <w:spacing w:after="0" w:line="290" w:lineRule="auto"/>
        <w:rPr>
          <w:sz w:val="20"/>
          <w:szCs w:val="20"/>
          <w:color w:val="auto"/>
        </w:rPr>
      </w:pPr>
      <w:r>
        <w:rPr>
          <w:rFonts w:ascii="Arial" w:cs="Arial" w:eastAsia="Arial" w:hAnsi="Arial"/>
          <w:sz w:val="16"/>
          <w:szCs w:val="16"/>
          <w:color w:val="auto"/>
        </w:rPr>
        <w:t>efficacy and tolerability. The FDA, the clinical trial sponsor, the investigators or the IRB may suspend clinical trials at any time if, amongst other reasons, any one of them believes that study participants are being subjected to an unacceptable health risk. In some cases, the FDA and the drug sponsor may determine that Phase 2 trials are not needed prior to entering Phase 3 trials.</w:t>
      </w:r>
    </w:p>
    <w:p>
      <w:pPr>
        <w:spacing w:after="0" w:line="158" w:lineRule="exact"/>
        <w:rPr>
          <w:sz w:val="20"/>
          <w:szCs w:val="20"/>
          <w:color w:val="auto"/>
        </w:rPr>
      </w:pPr>
    </w:p>
    <w:p>
      <w:pPr>
        <w:ind w:firstLine="172"/>
        <w:spacing w:after="0" w:line="272" w:lineRule="auto"/>
        <w:rPr>
          <w:sz w:val="20"/>
          <w:szCs w:val="20"/>
          <w:color w:val="auto"/>
        </w:rPr>
      </w:pPr>
      <w:r>
        <w:rPr>
          <w:rFonts w:ascii="Arial" w:cs="Arial" w:eastAsia="Arial" w:hAnsi="Arial"/>
          <w:sz w:val="16"/>
          <w:szCs w:val="16"/>
          <w:color w:val="auto"/>
        </w:rPr>
        <w:t>Following a series of formal meetings and communications between the drug sponsor and the regulatory agencies, the results of product development, preclinical studies and clinical studies are submitted to the FDA as an NDA or BLA for approval of the marketing and commercial shipment of the drug product. The FDA may deny approval if applicable regulatory criteria are not satisfied or may require additional clinical or pharmaceutical testing or requirements. Even if such data are submitted, the FDA may ultimately decide that the NDA or BLA does not satisfy all of the criteria for approval. Additionally, the approved labeling may narrowly limit the conditions of use of the product, including the intended uses, or impose warnings, precautions or contraindications which could significantly limit the potential market for the product. Further, as a condition of approval, the FDA may impose post-market surveillance, or Phase 4, studies or risk evaluation and mitigation strategies. Product approvals, once obtained, may be withdrawn if compliance with regulatory standards is not maintained or if safety concerns arise after the product reaches the market. The FDA may require additional post-marketing clinical testing and pharmacovigilance programs to monitor the effect of drug products that have been commercialized and has the power to prevent or limit future marketing of the product based on the results of such programs. After approval, there are ongoing reporting obligations concerning adverse reactions associated with the product, including expedited reports for serious and unexpected adverse events.</w:t>
      </w:r>
    </w:p>
    <w:p>
      <w:pPr>
        <w:spacing w:after="0" w:line="177" w:lineRule="exact"/>
        <w:rPr>
          <w:sz w:val="20"/>
          <w:szCs w:val="20"/>
          <w:color w:val="auto"/>
        </w:rPr>
      </w:pPr>
    </w:p>
    <w:p>
      <w:pPr>
        <w:ind w:firstLine="172"/>
        <w:spacing w:after="0" w:line="302" w:lineRule="auto"/>
        <w:rPr>
          <w:sz w:val="20"/>
          <w:szCs w:val="20"/>
          <w:color w:val="auto"/>
        </w:rPr>
      </w:pPr>
      <w:r>
        <w:rPr>
          <w:rFonts w:ascii="Arial" w:cs="Arial" w:eastAsia="Arial" w:hAnsi="Arial"/>
          <w:sz w:val="15"/>
          <w:szCs w:val="15"/>
          <w:color w:val="auto"/>
        </w:rPr>
        <w:t>Each manufacturing establishment producing the active pharmaceutical ingredient and finished drug product for the U.S. market must be registered with the FDA and typically is inspected by the FDA prior to NDA or BLA approval of a drug product manufactured by such establishment. Such inspections are also held periodically after commercialization. Manufacturing establishments of U.S. marketed products are subject to inspections by the FDA for compliance with cGMP and other U.S. regulatory requirements. They are also subject to U.S. federal, state, and local regulations regarding workplace safety, environmental protection and hazardous controls, among others.</w:t>
      </w:r>
    </w:p>
    <w:p>
      <w:pPr>
        <w:spacing w:after="0" w:line="152" w:lineRule="exact"/>
        <w:rPr>
          <w:sz w:val="20"/>
          <w:szCs w:val="20"/>
          <w:color w:val="auto"/>
        </w:rPr>
      </w:pPr>
    </w:p>
    <w:p>
      <w:pPr>
        <w:ind w:firstLine="172"/>
        <w:spacing w:after="0" w:line="275" w:lineRule="auto"/>
        <w:rPr>
          <w:sz w:val="20"/>
          <w:szCs w:val="20"/>
          <w:color w:val="auto"/>
        </w:rPr>
      </w:pPr>
      <w:r>
        <w:rPr>
          <w:rFonts w:ascii="Arial" w:cs="Arial" w:eastAsia="Arial" w:hAnsi="Arial"/>
          <w:sz w:val="16"/>
          <w:szCs w:val="16"/>
          <w:color w:val="auto"/>
        </w:rPr>
        <w:t>In situations where our partners are responsible for clinical and regulatory approval procedures, we may still participate in this process by submitting to the FDA a drug master file developed and maintained by us which contains data concerning the manufacturing processes for polymer conjugation materials or drug product. For those products for which we have development responsibility, we prepare and submit an IND and are responsible for additional clinical and regulatory procedures for drug candidates being developed under an IND. The clinical and manufacturing, development and regulatory review and approval process generally takes a number of years and requires the expenditure of substantial resources. Our ability to manufacture and market products, whether developed by us or under collaboration agreements, ultimately depends upon the completion of satisfactory clinical trials and success in obtaining marketing approvals from the FDA and equivalent foreign health authorities.</w:t>
      </w:r>
    </w:p>
    <w:p>
      <w:pPr>
        <w:spacing w:after="0" w:line="170" w:lineRule="exact"/>
        <w:rPr>
          <w:sz w:val="20"/>
          <w:szCs w:val="20"/>
          <w:color w:val="auto"/>
        </w:rPr>
      </w:pPr>
    </w:p>
    <w:p>
      <w:pPr>
        <w:ind w:right="100" w:firstLine="172"/>
        <w:spacing w:after="0" w:line="279" w:lineRule="auto"/>
        <w:rPr>
          <w:sz w:val="20"/>
          <w:szCs w:val="20"/>
          <w:color w:val="auto"/>
        </w:rPr>
      </w:pPr>
      <w:r>
        <w:rPr>
          <w:rFonts w:ascii="Arial" w:cs="Arial" w:eastAsia="Arial" w:hAnsi="Arial"/>
          <w:sz w:val="17"/>
          <w:szCs w:val="17"/>
          <w:color w:val="auto"/>
        </w:rPr>
        <w:t>Sales of our products outside the U.S. are subject to local regulatory requirements governing clinical trials and marketing approval for drugs. Such requirements vary widely from country to country.</w:t>
      </w:r>
    </w:p>
    <w:p>
      <w:pPr>
        <w:spacing w:after="0" w:line="164" w:lineRule="exact"/>
        <w:rPr>
          <w:sz w:val="20"/>
          <w:szCs w:val="20"/>
          <w:color w:val="auto"/>
        </w:rPr>
      </w:pPr>
    </w:p>
    <w:p>
      <w:pPr>
        <w:ind w:right="80" w:firstLine="619"/>
        <w:spacing w:after="0" w:line="307" w:lineRule="auto"/>
        <w:rPr>
          <w:sz w:val="20"/>
          <w:szCs w:val="20"/>
          <w:color w:val="auto"/>
        </w:rPr>
      </w:pPr>
      <w:r>
        <w:rPr>
          <w:rFonts w:ascii="Arial" w:cs="Arial" w:eastAsia="Arial" w:hAnsi="Arial"/>
          <w:sz w:val="15"/>
          <w:szCs w:val="15"/>
          <w:color w:val="auto"/>
        </w:rPr>
        <w:t>In the U.S., the FDA may grant Fast Track or Breakthrough Therapy designation to a drug candidate, which allows the FDA to expedite the review of new drugs that are intended for serious or life-threatening conditions and that demonstrate the potential to address unmet medical needs. Important features of Fast Track or Breakthrough Therapy designation include a potentially expedited clinical review and close, early communication between the FDA and the sponsor company to improve the efficiency of product development.</w:t>
      </w:r>
    </w:p>
    <w:p>
      <w:pPr>
        <w:spacing w:after="0" w:line="149"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In the U.S., under the Orphan Drug Act, the FDA may grant orphan drug designation to drugs intended to treat a rare disease or condition, which is generally a disease or condition that affects fewer than 200,000 individuals in the U.S. The company that obtains the first FDA approval for a designated orphan drug for a rare disease receives marketing exclusivity for use of that drug for the designated condition for a period of seven years. In addition, the Orphan Drug Act provides for protocol assistance, tax credits, research grants, and exclusions from user fees for sponsors of orphan products. Once a product receives orphan drug exclusivity, a second product that is considered to be the same drug for the same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 Similar incentives also are available for orphan drugs in the EU.</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11" w:name="page12"/>
    <w:bookmarkEnd w:id="11"/>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231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82315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Coverage, Reimbursement, and Pricing</w:t>
      </w:r>
    </w:p>
    <w:p>
      <w:pPr>
        <w:spacing w:after="0" w:line="114" w:lineRule="exact"/>
        <w:rPr>
          <w:sz w:val="20"/>
          <w:szCs w:val="20"/>
          <w:color w:val="auto"/>
        </w:rPr>
      </w:pPr>
    </w:p>
    <w:p>
      <w:pPr>
        <w:ind w:right="20" w:firstLine="172"/>
        <w:spacing w:after="0" w:line="279" w:lineRule="auto"/>
        <w:rPr>
          <w:sz w:val="20"/>
          <w:szCs w:val="20"/>
          <w:color w:val="auto"/>
        </w:rPr>
      </w:pPr>
      <w:r>
        <w:rPr>
          <w:rFonts w:ascii="Arial" w:cs="Arial" w:eastAsia="Arial" w:hAnsi="Arial"/>
          <w:sz w:val="16"/>
          <w:szCs w:val="16"/>
          <w:color w:val="auto"/>
        </w:rPr>
        <w:t>Sales of any products for which we may obtain regulatory approval depend, in part, on the coverage and reimbursement status of those products. In the U.S., sales of any products for which we may receive regulatory approval for commercial sale will depend in part on the availability of coverage and reimbursement from third-party payers. Third-party payers include government programs such as Medicare, Medicaid, TRICARE and the Veterans Administration, as well as managed care providers, private health insurers and other organizations. Other countries and jurisdictions will also have their own unique mechanisms for approval and reimbursement.</w:t>
      </w:r>
    </w:p>
    <w:p>
      <w:pPr>
        <w:spacing w:after="0" w:line="168" w:lineRule="exact"/>
        <w:rPr>
          <w:sz w:val="20"/>
          <w:szCs w:val="20"/>
          <w:color w:val="auto"/>
        </w:rPr>
      </w:pPr>
    </w:p>
    <w:p>
      <w:pPr>
        <w:ind w:firstLine="169"/>
        <w:spacing w:after="0" w:line="272" w:lineRule="auto"/>
        <w:rPr>
          <w:sz w:val="20"/>
          <w:szCs w:val="20"/>
          <w:color w:val="auto"/>
        </w:rPr>
      </w:pPr>
      <w:r>
        <w:rPr>
          <w:rFonts w:ascii="Arial" w:cs="Arial" w:eastAsia="Arial" w:hAnsi="Arial"/>
          <w:sz w:val="16"/>
          <w:szCs w:val="16"/>
          <w:color w:val="auto"/>
        </w:rPr>
        <w:t>The process for determining whether a payer will provide coverage for a product is typically separate from the process for setting the reimbursement rate that the payer will pay for the product. Third-party payers may limit coverage to specific products on an approved list or formulary which might not include all of the FDA-approved products for a particular indication. Third-party payers may also refuse to include a particular branded drug on their formularies or otherwise restrict patient access to a branded drug when a less costly generic equivalent or other alternative is available. Further, private payers often follow the coverage and payment policies established by certain government programs, such as Medicare and Medicaid, which require manufacturers to comply with certain rebate, price reporting, and other obligations. For example, the Medicaid Drug Rebate Program, which is part of the Medicaid program (a program for financially needy patients, among others), requires pharmaceutical manufacturers to enter into and have in effect a national rebate agreement with the Secretary of the Department of Health and Human Services under which the manufacturer agrees to report certain prices to the government and pay rebates to state Medicaid programs on outpatient drugs furnished to Medicaid patients, as a condition for receiving federal reimbursement for the manufacturer’s outpatient drugs furnished to Medicaid patients. Further, in order for a pharmaceutical product to receive federal reimbursement under Medicare Part B and Medicaid programs or to be sold directly to U.S. government agencies, the manufacturer must extend discounts to entities eligible to participate in the Public Health Service’s 340B drug pricing program.</w:t>
      </w:r>
    </w:p>
    <w:p>
      <w:pPr>
        <w:spacing w:after="0" w:line="175" w:lineRule="exact"/>
        <w:rPr>
          <w:sz w:val="20"/>
          <w:szCs w:val="20"/>
          <w:color w:val="auto"/>
        </w:rPr>
      </w:pPr>
    </w:p>
    <w:p>
      <w:pPr>
        <w:ind w:firstLine="169"/>
        <w:spacing w:after="0" w:line="294" w:lineRule="auto"/>
        <w:rPr>
          <w:sz w:val="20"/>
          <w:szCs w:val="20"/>
          <w:color w:val="auto"/>
        </w:rPr>
      </w:pPr>
      <w:r>
        <w:rPr>
          <w:rFonts w:ascii="Arial" w:cs="Arial" w:eastAsia="Arial" w:hAnsi="Arial"/>
          <w:sz w:val="15"/>
          <w:szCs w:val="15"/>
          <w:color w:val="auto"/>
        </w:rPr>
        <w:t>Third-party payers are increasingly challenging the prices charged for medical products and services, and examining the medical necessity and cost-effectiveness of medical products and services, in addition to their safety and efficacy. Additionally, the containment of healthcare costs has become a priority of federal and state governments, and the price of therapeutics have been a focus in this effort. The U.S. government and state legislatures have shown significant interest in implementing cost-containment programs, including price controls and restrictions on reimbursement, among other controls. Adoption of price controls or other cost-containment measures could limit coverage for or the amounts that federal and state governments or private payers will pay for health care products and services, which could also result in reduced demand for our drug candidates or additional pricing pressures and affect our ultimate profitability, if approved. If third-party payers do not consider a product to be cost-effective compared to other available therapies, they may not cover an approved product or, if they do, the level of payment may not be sufficient to allow us to sell our products at a profit.</w:t>
      </w:r>
    </w:p>
    <w:p>
      <w:pPr>
        <w:spacing w:after="0" w:line="161" w:lineRule="exact"/>
        <w:rPr>
          <w:sz w:val="20"/>
          <w:szCs w:val="20"/>
          <w:color w:val="auto"/>
        </w:rPr>
      </w:pPr>
    </w:p>
    <w:p>
      <w:pPr>
        <w:ind w:right="360" w:firstLine="169"/>
        <w:spacing w:after="0" w:line="307" w:lineRule="auto"/>
        <w:rPr>
          <w:sz w:val="20"/>
          <w:szCs w:val="20"/>
          <w:color w:val="auto"/>
        </w:rPr>
      </w:pPr>
      <w:r>
        <w:rPr>
          <w:rFonts w:ascii="Arial" w:cs="Arial" w:eastAsia="Arial" w:hAnsi="Arial"/>
          <w:sz w:val="15"/>
          <w:szCs w:val="15"/>
          <w:color w:val="auto"/>
        </w:rPr>
        <w:t>The marketability of any products for which we receive regulatory approval for commercial sale may suffer if the government and third-party payers fail to provide adequate coverage and reimbursement.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Healthcare Laws and Regulations</w:t>
      </w:r>
    </w:p>
    <w:p>
      <w:pPr>
        <w:spacing w:after="0" w:line="114" w:lineRule="exact"/>
        <w:rPr>
          <w:sz w:val="20"/>
          <w:szCs w:val="20"/>
          <w:color w:val="auto"/>
        </w:rPr>
      </w:pPr>
    </w:p>
    <w:p>
      <w:pPr>
        <w:ind w:right="140" w:firstLine="172"/>
        <w:spacing w:after="0" w:line="262" w:lineRule="auto"/>
        <w:rPr>
          <w:sz w:val="20"/>
          <w:szCs w:val="20"/>
          <w:color w:val="auto"/>
        </w:rPr>
      </w:pPr>
      <w:r>
        <w:rPr>
          <w:rFonts w:ascii="Arial" w:cs="Arial" w:eastAsia="Arial" w:hAnsi="Arial"/>
          <w:sz w:val="17"/>
          <w:szCs w:val="17"/>
          <w:color w:val="auto"/>
        </w:rPr>
        <w:t>If we obtain regulatory approval of our products, we may be subject to various federal and state laws targeting fraud and abuse in the healthcare industry. These laws may impact, among other things, our proposed sales and marketing programs. In addition, we may be subject to patient privacy regulation by both the federal government and the states in which we conduct our business. The laws that may affect our ability to operate include:</w:t>
      </w:r>
    </w:p>
    <w:p>
      <w:pPr>
        <w:spacing w:after="0" w:line="75" w:lineRule="exact"/>
        <w:rPr>
          <w:sz w:val="20"/>
          <w:szCs w:val="20"/>
          <w:color w:val="auto"/>
        </w:rPr>
      </w:pPr>
    </w:p>
    <w:p>
      <w:pPr>
        <w:ind w:left="1080" w:right="40" w:hanging="470"/>
        <w:spacing w:after="0" w:line="273" w:lineRule="auto"/>
        <w:tabs>
          <w:tab w:leader="none" w:pos="10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 A person or entity does not need to have actual knowledge of the federal Anti-Kickback Statute or specific intent to violate it to have committed a violation. On December 2, 2020, the Office of Inspector General, or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 Implementation of this change and new safe harbors for point-of-sale reductions in price for prescription</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12" w:name="page13"/>
    <w:bookmarkEnd w:id="12"/>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264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8264525"/>
                    </a:xfrm>
                    <a:prstGeom prst="rect">
                      <a:avLst/>
                    </a:prstGeom>
                    <a:noFill/>
                  </pic:spPr>
                </pic:pic>
              </a:graphicData>
            </a:graphic>
          </wp:anchor>
        </w:drawing>
      </w:r>
    </w:p>
    <w:p>
      <w:pPr>
        <w:ind w:left="1080" w:right="320"/>
        <w:spacing w:after="0" w:line="253" w:lineRule="auto"/>
        <w:rPr>
          <w:sz w:val="20"/>
          <w:szCs w:val="20"/>
          <w:color w:val="auto"/>
        </w:rPr>
      </w:pPr>
      <w:r>
        <w:rPr>
          <w:rFonts w:ascii="Arial" w:cs="Arial" w:eastAsia="Arial" w:hAnsi="Arial"/>
          <w:sz w:val="17"/>
          <w:szCs w:val="17"/>
          <w:color w:val="auto"/>
        </w:rPr>
        <w:t>pharmaceutical products and pharmacy benefit manager service fees are currently under review by the Biden administration and may be amended or repealed. We continue to evaluate what effect, if any, the rule will have on our business;</w:t>
      </w:r>
    </w:p>
    <w:p>
      <w:pPr>
        <w:spacing w:after="0" w:line="2" w:lineRule="exact"/>
        <w:rPr>
          <w:sz w:val="20"/>
          <w:szCs w:val="20"/>
          <w:color w:val="auto"/>
        </w:rPr>
      </w:pPr>
    </w:p>
    <w:p>
      <w:pPr>
        <w:ind w:left="1080" w:hanging="470"/>
        <w:spacing w:after="0" w:line="252" w:lineRule="auto"/>
        <w:tabs>
          <w:tab w:leader="none" w:pos="10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 Manufacturers can be held liable under the federal False Claims Act even when they do not submit claims directly to government payers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 w:lineRule="exact"/>
        <w:rPr>
          <w:rFonts w:ascii="Arial" w:cs="Arial" w:eastAsia="Arial" w:hAnsi="Arial"/>
          <w:sz w:val="16"/>
          <w:szCs w:val="16"/>
          <w:color w:val="auto"/>
        </w:rPr>
      </w:pPr>
    </w:p>
    <w:p>
      <w:pPr>
        <w:ind w:left="1080" w:right="60" w:hanging="470"/>
        <w:spacing w:after="0" w:line="236" w:lineRule="auto"/>
        <w:tabs>
          <w:tab w:leader="none" w:pos="10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provisions of the federal Health Insurance Portability and Accountability Act of 1996, or HIPAA, which created new federal criminal statutes, referred to as the “HIPAA All-payer Fraud Prohibition,” that prohibit knowingly and willfully executing a scheme to defraud any healthcare benefit program and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94" w:lineRule="exact"/>
        <w:rPr>
          <w:rFonts w:ascii="Arial" w:cs="Arial" w:eastAsia="Arial" w:hAnsi="Arial"/>
          <w:sz w:val="17"/>
          <w:szCs w:val="17"/>
          <w:color w:val="auto"/>
        </w:rPr>
      </w:pPr>
    </w:p>
    <w:p>
      <w:pPr>
        <w:ind w:left="1080" w:right="80" w:hanging="470"/>
        <w:spacing w:after="0" w:line="269" w:lineRule="auto"/>
        <w:tabs>
          <w:tab w:leader="none" w:pos="10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other licensed health care practitioners and teaching hospitals as well as physician ownership and investment interests in the manufacturer, and that such information is subsequently made publicly available in a searchable format on a CMS website;</w:t>
      </w:r>
    </w:p>
    <w:p>
      <w:pPr>
        <w:spacing w:after="0" w:line="1" w:lineRule="exact"/>
        <w:rPr>
          <w:rFonts w:ascii="Arial" w:cs="Arial" w:eastAsia="Arial" w:hAnsi="Arial"/>
          <w:sz w:val="16"/>
          <w:szCs w:val="16"/>
          <w:color w:val="auto"/>
        </w:rPr>
      </w:pPr>
    </w:p>
    <w:p>
      <w:pPr>
        <w:ind w:left="1080" w:hanging="470"/>
        <w:spacing w:after="0" w:line="252" w:lineRule="auto"/>
        <w:tabs>
          <w:tab w:leader="none" w:pos="10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 also includes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27" w:lineRule="exact"/>
        <w:rPr>
          <w:rFonts w:ascii="Arial" w:cs="Arial" w:eastAsia="Arial" w:hAnsi="Arial"/>
          <w:sz w:val="16"/>
          <w:szCs w:val="16"/>
          <w:color w:val="auto"/>
        </w:rPr>
      </w:pPr>
    </w:p>
    <w:p>
      <w:pPr>
        <w:ind w:left="1080" w:right="140" w:hanging="470"/>
        <w:spacing w:after="0" w:line="232" w:lineRule="auto"/>
        <w:tabs>
          <w:tab w:leader="none" w:pos="1075" w:val="left"/>
        </w:tabs>
        <w:numPr>
          <w:ilvl w:val="0"/>
          <w:numId w:val="12"/>
        </w:numPr>
        <w:rPr>
          <w:rFonts w:ascii="Arial" w:cs="Arial" w:eastAsia="Arial" w:hAnsi="Arial"/>
          <w:sz w:val="21"/>
          <w:szCs w:val="21"/>
          <w:color w:val="auto"/>
        </w:rPr>
      </w:pPr>
      <w:r>
        <w:rPr>
          <w:rFonts w:ascii="Arial" w:cs="Arial" w:eastAsia="Arial" w:hAnsi="Arial"/>
          <w:sz w:val="17"/>
          <w:szCs w:val="17"/>
          <w:color w:val="auto"/>
        </w:rPr>
        <w:t>federal government price reporting laws, which require us to calculate and report complex pricing metrics in an accurate and timely manner to government programs;</w:t>
      </w:r>
    </w:p>
    <w:p>
      <w:pPr>
        <w:spacing w:after="0" w:line="28" w:lineRule="exact"/>
        <w:rPr>
          <w:rFonts w:ascii="Arial" w:cs="Arial" w:eastAsia="Arial" w:hAnsi="Arial"/>
          <w:sz w:val="21"/>
          <w:szCs w:val="21"/>
          <w:color w:val="auto"/>
        </w:rPr>
      </w:pPr>
    </w:p>
    <w:p>
      <w:pPr>
        <w:ind w:left="1080" w:right="40" w:hanging="470"/>
        <w:spacing w:after="0" w:line="234" w:lineRule="auto"/>
        <w:tabs>
          <w:tab w:leader="none" w:pos="1075" w:val="left"/>
        </w:tabs>
        <w:numPr>
          <w:ilvl w:val="0"/>
          <w:numId w:val="12"/>
        </w:numPr>
        <w:rPr>
          <w:rFonts w:ascii="Arial" w:cs="Arial" w:eastAsia="Arial" w:hAnsi="Arial"/>
          <w:sz w:val="21"/>
          <w:szCs w:val="21"/>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ind w:left="1080" w:right="80" w:hanging="470"/>
        <w:spacing w:after="0" w:line="253" w:lineRule="auto"/>
        <w:tabs>
          <w:tab w:leader="none" w:pos="10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additionally, 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 These state-equivalent laws may also apply to our business practices, including, but not limited to, research, distribution, and sales or marketing arrangements.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186" w:lineRule="exact"/>
        <w:rPr>
          <w:sz w:val="20"/>
          <w:szCs w:val="20"/>
          <w:color w:val="auto"/>
        </w:rPr>
      </w:pPr>
    </w:p>
    <w:p>
      <w:pPr>
        <w:ind w:right="100" w:firstLine="172"/>
        <w:spacing w:after="0" w:line="259" w:lineRule="auto"/>
        <w:rPr>
          <w:sz w:val="20"/>
          <w:szCs w:val="20"/>
          <w:color w:val="auto"/>
        </w:rPr>
      </w:pPr>
      <w:r>
        <w:rPr>
          <w:rFonts w:ascii="Arial" w:cs="Arial" w:eastAsia="Arial" w:hAnsi="Arial"/>
          <w:sz w:val="17"/>
          <w:szCs w:val="17"/>
          <w:color w:val="auto"/>
        </w:rPr>
        <w:t>If our drug candidates become commercialized, it is possible that governmental authorities will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exclusion from government-funded healthcare programs, such as Medicare and</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13" w:name="page14"/>
    <w:bookmarkEnd w:id="13"/>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7887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7887970"/>
                    </a:xfrm>
                    <a:prstGeom prst="rect">
                      <a:avLst/>
                    </a:prstGeom>
                    <a:noFill/>
                  </pic:spPr>
                </pic:pic>
              </a:graphicData>
            </a:graphic>
          </wp:anchor>
        </w:drawing>
      </w:r>
    </w:p>
    <w:p>
      <w:pPr>
        <w:ind w:right="80"/>
        <w:spacing w:after="0" w:line="259" w:lineRule="auto"/>
        <w:rPr>
          <w:sz w:val="20"/>
          <w:szCs w:val="20"/>
          <w:color w:val="auto"/>
        </w:rPr>
      </w:pPr>
      <w:r>
        <w:rPr>
          <w:rFonts w:ascii="Arial" w:cs="Arial" w:eastAsia="Arial" w:hAnsi="Arial"/>
          <w:sz w:val="17"/>
          <w:szCs w:val="17"/>
          <w:color w:val="auto"/>
        </w:rPr>
        <w:t>Medicaid, integrity and oversight agreements to resolve allegations of non-compliance, contractual damages, reputational harm, diminished profits and future earnings, and the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83" w:lineRule="exact"/>
        <w:rPr>
          <w:sz w:val="20"/>
          <w:szCs w:val="20"/>
          <w:color w:val="auto"/>
        </w:rPr>
      </w:pPr>
    </w:p>
    <w:p>
      <w:pPr>
        <w:ind w:right="20" w:firstLine="169"/>
        <w:spacing w:after="0" w:line="256" w:lineRule="auto"/>
        <w:rPr>
          <w:sz w:val="20"/>
          <w:szCs w:val="20"/>
          <w:color w:val="auto"/>
        </w:rPr>
      </w:pPr>
      <w:r>
        <w:rPr>
          <w:rFonts w:ascii="Arial" w:cs="Arial" w:eastAsia="Arial" w:hAnsi="Arial"/>
          <w:sz w:val="17"/>
          <w:szCs w:val="17"/>
          <w:color w:val="auto"/>
        </w:rPr>
        <w:t>The Patient Protection and Affordable Care Act, as amended by the Health Care Education Reconciliation Act (collectively, the Affordable Care Act), enacted in 2010, expanded the reach of the fraud and abuse laws by, among other things, amending the intent requirement of the federal Anti-Kickback Statute and the applicable criminal fraud statutes contained within 42 U.S.C. § 1320a-7b. Pursuant to the Affordable Care Act,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86" w:lineRule="exact"/>
        <w:rPr>
          <w:sz w:val="20"/>
          <w:szCs w:val="20"/>
          <w:color w:val="auto"/>
        </w:rPr>
      </w:pPr>
    </w:p>
    <w:p>
      <w:pPr>
        <w:ind w:firstLine="169"/>
        <w:spacing w:after="0" w:line="291" w:lineRule="auto"/>
        <w:rPr>
          <w:sz w:val="20"/>
          <w:szCs w:val="20"/>
          <w:color w:val="auto"/>
        </w:rPr>
      </w:pPr>
      <w:r>
        <w:rPr>
          <w:rFonts w:ascii="Arial" w:cs="Arial" w:eastAsia="Arial" w:hAnsi="Arial"/>
          <w:sz w:val="15"/>
          <w:szCs w:val="15"/>
          <w:color w:val="auto"/>
        </w:rPr>
        <w:t>The federal False Claims Act prohibits anyone from, among other things, knowingly presenting, or causing to be presented, for payment to federal programs (including Medicare and Medicaid) claims for items or services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Penalties for a False Claims Act violation include three times the actual damages sustained by the government, plus mandatory civil penalties of between $11,463 and $23,331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have the ability to bring actions under the federal False Claims Act and certain states have enacted laws modeled after the federal False Claims Act.</w:t>
      </w:r>
    </w:p>
    <w:p>
      <w:pPr>
        <w:spacing w:after="0" w:line="372" w:lineRule="exact"/>
        <w:rPr>
          <w:sz w:val="20"/>
          <w:szCs w:val="20"/>
          <w:color w:val="auto"/>
        </w:rPr>
      </w:pPr>
    </w:p>
    <w:p>
      <w:pPr>
        <w:ind w:right="40" w:firstLine="172"/>
        <w:spacing w:after="0" w:line="266" w:lineRule="auto"/>
        <w:rPr>
          <w:sz w:val="20"/>
          <w:szCs w:val="20"/>
          <w:color w:val="auto"/>
        </w:rPr>
      </w:pPr>
      <w:r>
        <w:rPr>
          <w:rFonts w:ascii="Arial" w:cs="Arial" w:eastAsia="Arial" w:hAnsi="Arial"/>
          <w:sz w:val="17"/>
          <w:szCs w:val="17"/>
          <w:color w:val="auto"/>
        </w:rPr>
        <w:t>In each country or jurisdiction outside of the U.S. in which we seek and receive regulatory approval to commercialize our products, we will be subject to additional laws and regulations specific to those locations. These regulations and laws will also impact, among other things, our proposed sales and marketing programs in those jurisdictions.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Legislative and Regulatory Landscape</w:t>
      </w:r>
    </w:p>
    <w:p>
      <w:pPr>
        <w:spacing w:after="0" w:line="114" w:lineRule="exact"/>
        <w:rPr>
          <w:sz w:val="20"/>
          <w:szCs w:val="20"/>
          <w:color w:val="auto"/>
        </w:rPr>
      </w:pPr>
    </w:p>
    <w:p>
      <w:pPr>
        <w:ind w:right="200" w:firstLine="172"/>
        <w:spacing w:after="0" w:line="277"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marketing, coverage and reimbursement of products regulated by the FDA or other government agencies. In addition to new legislation, FDA and healthcare fraud and abuse and coverage and reimbursement regulations and policies are often revised or interpreted by the agency in ways that may significantly affect our business and our products. For example, in 2010, the United States Congress enacted the Affordable Care Act, which, among other things, included changes to the coverage and payment for drug products under government health care programs.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Among the provisions of the Affordable Care Act of importance to potential product candidates are:</w:t>
      </w:r>
    </w:p>
    <w:p>
      <w:pPr>
        <w:spacing w:after="0" w:line="49" w:lineRule="exact"/>
        <w:rPr>
          <w:sz w:val="20"/>
          <w:szCs w:val="20"/>
          <w:color w:val="auto"/>
        </w:rPr>
      </w:pPr>
    </w:p>
    <w:p>
      <w:pPr>
        <w:ind w:left="620" w:right="500" w:hanging="319"/>
        <w:spacing w:after="0" w:line="281"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5"/>
          <w:szCs w:val="15"/>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6" w:lineRule="exact"/>
        <w:rPr>
          <w:rFonts w:ascii="Arial" w:cs="Arial" w:eastAsia="Arial" w:hAnsi="Arial"/>
          <w:sz w:val="18"/>
          <w:szCs w:val="18"/>
          <w:color w:val="auto"/>
        </w:rPr>
      </w:pPr>
    </w:p>
    <w:p>
      <w:pPr>
        <w:ind w:left="600" w:hanging="299"/>
        <w:spacing w:after="0"/>
        <w:tabs>
          <w:tab w:leader="none" w:pos="600" w:val="left"/>
        </w:tabs>
        <w:numPr>
          <w:ilvl w:val="0"/>
          <w:numId w:val="13"/>
        </w:numPr>
        <w:rPr>
          <w:rFonts w:ascii="Arial" w:cs="Arial" w:eastAsia="Arial" w:hAnsi="Arial"/>
          <w:sz w:val="20"/>
          <w:szCs w:val="20"/>
          <w:color w:val="auto"/>
        </w:rPr>
      </w:pPr>
      <w:r>
        <w:rPr>
          <w:rFonts w:ascii="Arial" w:cs="Arial" w:eastAsia="Arial" w:hAnsi="Arial"/>
          <w:sz w:val="16"/>
          <w:szCs w:val="16"/>
          <w:color w:val="auto"/>
        </w:rPr>
        <w:t>expansion of eligibility criteria for Medicaid programs, thereby potentially increasing a manufacturer’s Medicaid rebate liability;</w:t>
      </w:r>
    </w:p>
    <w:p>
      <w:pPr>
        <w:spacing w:after="0" w:line="12" w:lineRule="exact"/>
        <w:rPr>
          <w:rFonts w:ascii="Arial" w:cs="Arial" w:eastAsia="Arial" w:hAnsi="Arial"/>
          <w:sz w:val="20"/>
          <w:szCs w:val="20"/>
          <w:color w:val="auto"/>
        </w:rPr>
      </w:pPr>
    </w:p>
    <w:p>
      <w:pPr>
        <w:ind w:left="600" w:hanging="299"/>
        <w:spacing w:after="0" w:line="231" w:lineRule="auto"/>
        <w:tabs>
          <w:tab w:leader="none" w:pos="600" w:val="left"/>
        </w:tabs>
        <w:numPr>
          <w:ilvl w:val="0"/>
          <w:numId w:val="13"/>
        </w:numPr>
        <w:rPr>
          <w:rFonts w:ascii="Arial" w:cs="Arial" w:eastAsia="Arial" w:hAnsi="Arial"/>
          <w:sz w:val="21"/>
          <w:szCs w:val="21"/>
          <w:color w:val="auto"/>
        </w:rPr>
      </w:pPr>
      <w:r>
        <w:rPr>
          <w:rFonts w:ascii="Arial" w:cs="Arial" w:eastAsia="Arial" w:hAnsi="Arial"/>
          <w:sz w:val="17"/>
          <w:szCs w:val="17"/>
          <w:color w:val="auto"/>
        </w:rPr>
        <w:t>expanded manufacturers’ rebate liability under the Medicaid Drug Rebate Program;</w:t>
      </w:r>
    </w:p>
    <w:p>
      <w:pPr>
        <w:spacing w:after="0" w:line="12" w:lineRule="exact"/>
        <w:rPr>
          <w:rFonts w:ascii="Arial" w:cs="Arial" w:eastAsia="Arial" w:hAnsi="Arial"/>
          <w:sz w:val="21"/>
          <w:szCs w:val="21"/>
          <w:color w:val="auto"/>
        </w:rPr>
      </w:pPr>
    </w:p>
    <w:p>
      <w:pPr>
        <w:ind w:left="600" w:hanging="299"/>
        <w:spacing w:after="0" w:line="231" w:lineRule="auto"/>
        <w:tabs>
          <w:tab w:leader="none" w:pos="600" w:val="left"/>
        </w:tabs>
        <w:numPr>
          <w:ilvl w:val="0"/>
          <w:numId w:val="13"/>
        </w:numPr>
        <w:rPr>
          <w:rFonts w:ascii="Arial" w:cs="Arial" w:eastAsia="Arial" w:hAnsi="Arial"/>
          <w:sz w:val="21"/>
          <w:szCs w:val="21"/>
          <w:color w:val="auto"/>
        </w:rPr>
      </w:pPr>
      <w:r>
        <w:rPr>
          <w:rFonts w:ascii="Arial" w:cs="Arial" w:eastAsia="Arial" w:hAnsi="Arial"/>
          <w:sz w:val="17"/>
          <w:szCs w:val="17"/>
          <w:color w:val="auto"/>
        </w:rPr>
        <w:t>expanded the types of entities eligible for the 340B drug discount program;</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14" w:name="page15"/>
    <w:bookmarkEnd w:id="14"/>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15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8150225"/>
                    </a:xfrm>
                    <a:prstGeom prst="rect">
                      <a:avLst/>
                    </a:prstGeom>
                    <a:noFill/>
                  </pic:spPr>
                </pic:pic>
              </a:graphicData>
            </a:graphic>
          </wp:anchor>
        </w:drawing>
      </w:r>
    </w:p>
    <w:p>
      <w:pPr>
        <w:ind w:left="620" w:right="360" w:hanging="319"/>
        <w:spacing w:after="0" w:line="261" w:lineRule="auto"/>
        <w:tabs>
          <w:tab w:leader="none" w:pos="615" w:val="left"/>
        </w:tabs>
        <w:numPr>
          <w:ilvl w:val="0"/>
          <w:numId w:val="14"/>
        </w:numPr>
        <w:rPr>
          <w:rFonts w:ascii="Arial" w:cs="Arial" w:eastAsia="Arial" w:hAnsi="Arial"/>
          <w:sz w:val="20"/>
          <w:szCs w:val="20"/>
          <w:color w:val="auto"/>
        </w:rPr>
      </w:pPr>
      <w:r>
        <w:rPr>
          <w:rFonts w:ascii="Arial" w:cs="Arial" w:eastAsia="Arial" w:hAnsi="Arial"/>
          <w:sz w:val="16"/>
          <w:szCs w:val="16"/>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20" w:lineRule="exact"/>
        <w:rPr>
          <w:rFonts w:ascii="Arial" w:cs="Arial" w:eastAsia="Arial" w:hAnsi="Arial"/>
          <w:sz w:val="20"/>
          <w:szCs w:val="20"/>
          <w:color w:val="auto"/>
        </w:rPr>
      </w:pPr>
    </w:p>
    <w:p>
      <w:pPr>
        <w:ind w:left="620" w:right="680" w:hanging="319"/>
        <w:spacing w:after="0" w:line="232"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222"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2030. The American Taxpayer Relief Act of 2012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08"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98" w:lineRule="exact"/>
        <w:rPr>
          <w:sz w:val="20"/>
          <w:szCs w:val="20"/>
          <w:color w:val="auto"/>
        </w:rPr>
      </w:pPr>
    </w:p>
    <w:p>
      <w:pPr>
        <w:ind w:right="80" w:firstLine="619"/>
        <w:spacing w:after="0" w:line="294" w:lineRule="auto"/>
        <w:rPr>
          <w:sz w:val="20"/>
          <w:szCs w:val="20"/>
          <w:color w:val="auto"/>
        </w:rPr>
      </w:pPr>
      <w:r>
        <w:rPr>
          <w:rFonts w:ascii="Arial" w:cs="Arial" w:eastAsia="Arial" w:hAnsi="Arial"/>
          <w:sz w:val="15"/>
          <w:szCs w:val="15"/>
          <w:color w:val="auto"/>
        </w:rPr>
        <w:t>Furthermore, federal agencies, Congress, state legislatures, and the private sector have shown significant interest in implementing cost containment programs to limit the growth of health care costs, including price controls, restrictions on reimbursement and other fundamental changes to the healthcare delivery system.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7"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These measures could reduce the ultimate demand for our products, once approved, or put pressure on our product pricing. Any proposed or actual changes could limit coverage for or the amounts that federal and state governments will pay for health care products and services, which could also result in reduced demand for our products or additional pricing pressures and affect our ultimate profitability.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Rights</w:t>
      </w:r>
    </w:p>
    <w:p>
      <w:pPr>
        <w:spacing w:after="0" w:line="120" w:lineRule="exact"/>
        <w:rPr>
          <w:sz w:val="20"/>
          <w:szCs w:val="20"/>
          <w:color w:val="auto"/>
        </w:rPr>
      </w:pPr>
    </w:p>
    <w:p>
      <w:pPr>
        <w:ind w:firstLine="169"/>
        <w:spacing w:after="0" w:line="256" w:lineRule="auto"/>
        <w:rPr>
          <w:sz w:val="20"/>
          <w:szCs w:val="20"/>
          <w:color w:val="auto"/>
        </w:rPr>
      </w:pPr>
      <w:r>
        <w:rPr>
          <w:rFonts w:ascii="Arial" w:cs="Arial" w:eastAsia="Arial" w:hAnsi="Arial"/>
          <w:sz w:val="17"/>
          <w:szCs w:val="17"/>
          <w:color w:val="auto"/>
        </w:rPr>
        <w:t>We own more than 300 U.S. and 1,500 foreign patents and a number of pending patent applications that cover various aspects of our technologies. We have filed patent applications, and plan to file additional patent applications, covering various aspects of our advanced polymer conjugate technologies and our drug candidates. More specifically, our patents and patent applications cover polymer architecture, drug conjugates, formulations, methods of making polymers and polymer conjugates, methods of administering polymer conjugates, and methods of manufacturing polymers and polymer conjugates. Our patent portfolio contains patents and patent applications that encompass our advanced polymer conjugate technology platforms. Our patent strategy is to file patent applications on innovations and improvements to cover a significant majority of the major pharmaceutical markets in the world. Generally, patents have a term of twenty years from the earliest non-provisional patent application filing priority date (assuming all maintenance fees are paid). In some instances, patent terms can be increased or decreased, depending on the laws and regulations of the country or jurisdiction that issued the patent.</w:t>
      </w:r>
    </w:p>
    <w:p>
      <w:pPr>
        <w:sectPr>
          <w:pgSz w:w="11900" w:h="16838" w:orient="portrait"/>
          <w:cols w:equalWidth="0" w:num="1">
            <w:col w:w="9480"/>
          </w:cols>
          <w:pgMar w:left="120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80"/>
          </w:cols>
          <w:pgMar w:left="1200" w:top="1440" w:right="1219" w:bottom="1440" w:gutter="0" w:footer="0" w:header="0"/>
          <w:type w:val="continuous"/>
        </w:sectPr>
      </w:pPr>
    </w:p>
    <w:bookmarkStart w:id="15" w:name="page16"/>
    <w:bookmarkEnd w:id="15"/>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395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8395335"/>
                    </a:xfrm>
                    <a:prstGeom prst="rect">
                      <a:avLst/>
                    </a:prstGeom>
                    <a:noFill/>
                  </pic:spPr>
                </pic:pic>
              </a:graphicData>
            </a:graphic>
          </wp:anchor>
        </w:drawing>
      </w:r>
    </w:p>
    <w:p>
      <w:pPr>
        <w:ind w:right="120" w:firstLine="169"/>
        <w:spacing w:after="0" w:line="256" w:lineRule="auto"/>
        <w:rPr>
          <w:sz w:val="20"/>
          <w:szCs w:val="20"/>
          <w:color w:val="auto"/>
        </w:rPr>
      </w:pPr>
      <w:r>
        <w:rPr>
          <w:rFonts w:ascii="Arial" w:cs="Arial" w:eastAsia="Arial" w:hAnsi="Arial"/>
          <w:sz w:val="17"/>
          <w:szCs w:val="17"/>
          <w:color w:val="auto"/>
        </w:rPr>
        <w:t>We also rely on trade secret protection for our confidential and proprietary information. No assurance can be given that we can meaningfully protect our trade secrets. Others may independently develop substantially equivalent confidential and proprietary information or otherwise gain access to, or disclose, our trade secrets. Please refer to Item 1A. Risk Factors, including but not limited to “We rely on trade secret protection and other unpatented proprietary rights for important proprietary technologies, and any loss of such rights could harm our business, results of operations and financial condition.” In certain situations in which we work with drugs covered by one or more patents, our ability to develop and commercialize our technologies may be affected by limitations in our access to these proprietary drugs. Even if we believe we are free to work with a proprietary drug, we cannot guarantee that we will not be accused of, or determined to be, infringing a third party’s rights and be prohibited from working with the drug or found liable for damages. Any such restriction on access or liability for damages would have a material adverse effect on our business, results of operations and financial condition.</w:t>
      </w:r>
    </w:p>
    <w:p>
      <w:pPr>
        <w:spacing w:after="0" w:line="184" w:lineRule="exact"/>
        <w:rPr>
          <w:sz w:val="20"/>
          <w:szCs w:val="20"/>
          <w:color w:val="auto"/>
        </w:rPr>
      </w:pPr>
    </w:p>
    <w:p>
      <w:pPr>
        <w:ind w:firstLine="169"/>
        <w:spacing w:after="0" w:line="293" w:lineRule="auto"/>
        <w:rPr>
          <w:sz w:val="20"/>
          <w:szCs w:val="20"/>
          <w:color w:val="auto"/>
        </w:rPr>
      </w:pPr>
      <w:r>
        <w:rPr>
          <w:rFonts w:ascii="Arial" w:cs="Arial" w:eastAsia="Arial" w:hAnsi="Arial"/>
          <w:sz w:val="15"/>
          <w:szCs w:val="15"/>
          <w:color w:val="auto"/>
        </w:rPr>
        <w:t xml:space="preserve">The patent positions of pharmaceutical and biotechnology companies, such as ours, are uncertain and involve complex legal and factual issues.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opposition, reexamination or other proceedings that can result in the revocation of the patent or maintenance of the patent but in an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 We may have to participate in post-grant proceedings before the U.S. Patent and Trademark Office, which could result in a loss of the patent and/or substantial cost to us. Please refer to Item 1A. Risk Factors, including without limitation, “If any of our pending patent applications do not issue, or are deemed invalid following issuance, we may lose valuable intellectual property protection.”</w:t>
      </w:r>
    </w:p>
    <w:p>
      <w:pPr>
        <w:spacing w:after="0" w:line="159" w:lineRule="exact"/>
        <w:rPr>
          <w:sz w:val="20"/>
          <w:szCs w:val="20"/>
          <w:color w:val="auto"/>
        </w:rPr>
      </w:pPr>
    </w:p>
    <w:p>
      <w:pPr>
        <w:ind w:right="120" w:firstLine="172"/>
        <w:spacing w:after="0" w:line="292" w:lineRule="auto"/>
        <w:rPr>
          <w:sz w:val="20"/>
          <w:szCs w:val="20"/>
          <w:color w:val="auto"/>
        </w:rPr>
      </w:pPr>
      <w:r>
        <w:rPr>
          <w:rFonts w:ascii="Arial" w:cs="Arial" w:eastAsia="Arial" w:hAnsi="Arial"/>
          <w:sz w:val="15"/>
          <w:szCs w:val="15"/>
          <w:color w:val="auto"/>
        </w:rPr>
        <w:t>U.S. and foreign patent rights and other proprietary rights exist that are owned by third parties and relate to pharmaceutical compositions and reagents, and equipment and methods for preparation, packaging and delivery of pharmaceutical compositions. We cannot predict with any certainty which, if any, of these rights will be considered relevant to our technology by authorities in the various jurisdictions where such rights exist, nor can we predict with certainty which, if any, of these rights will or may be asserted against us by third parties. We could incur substantial costs in defending ourselves and our partners against any such claims.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third parties. There can be no assurance that we can obtain a license to any technology that we determine we need on reasonable terms, if at all, or that we could develop or otherwise obtain alternative technology. The failure to obtain licenses if needed may have a material adverse effect on our business, results of operations and financial condition. Please refer to Item 1A. Risk Factors, including without limitation, “We may not be able to obtain intellectual property licenses related to the development of our drug candidates on a commercially reasonable basis, if at all.”</w:t>
      </w:r>
    </w:p>
    <w:p>
      <w:pPr>
        <w:spacing w:after="0" w:line="163" w:lineRule="exact"/>
        <w:rPr>
          <w:sz w:val="20"/>
          <w:szCs w:val="20"/>
          <w:color w:val="auto"/>
        </w:rPr>
      </w:pPr>
    </w:p>
    <w:p>
      <w:pPr>
        <w:ind w:right="40" w:firstLine="172"/>
        <w:spacing w:after="0" w:line="257" w:lineRule="auto"/>
        <w:rPr>
          <w:sz w:val="20"/>
          <w:szCs w:val="20"/>
          <w:color w:val="auto"/>
        </w:rPr>
      </w:pPr>
      <w:r>
        <w:rPr>
          <w:rFonts w:ascii="Arial" w:cs="Arial" w:eastAsia="Arial" w:hAnsi="Arial"/>
          <w:sz w:val="17"/>
          <w:szCs w:val="17"/>
          <w:color w:val="auto"/>
        </w:rPr>
        <w:t>It is our policy to require our employees and consultants, outside scientific collaborators, sponsored researchers and other advisors who receive confidential information from us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The agreements provide that all inventions conceived by an employee shall be our property. There can be no assurance, however, that these agreements will provide meaningful protection or adequate remedies for our trade secrets in the event of unauthorized use or disclosure of such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Concentrations</w:t>
      </w:r>
    </w:p>
    <w:p>
      <w:pPr>
        <w:spacing w:after="0" w:line="18" w:lineRule="exact"/>
        <w:rPr>
          <w:sz w:val="20"/>
          <w:szCs w:val="20"/>
          <w:color w:val="auto"/>
        </w:rPr>
      </w:pPr>
    </w:p>
    <w:p>
      <w:pPr>
        <w:ind w:right="20" w:firstLine="172"/>
        <w:spacing w:after="0" w:line="239" w:lineRule="auto"/>
        <w:rPr>
          <w:sz w:val="20"/>
          <w:szCs w:val="20"/>
          <w:color w:val="auto"/>
        </w:rPr>
      </w:pPr>
      <w:r>
        <w:rPr>
          <w:rFonts w:ascii="Arial" w:cs="Arial" w:eastAsia="Arial" w:hAnsi="Arial"/>
          <w:sz w:val="16"/>
          <w:szCs w:val="16"/>
          <w:color w:val="auto"/>
        </w:rPr>
        <w:t>Our revenue is derived from our collaboration agreements with partners, under which we may receive a combination of revenue elements including up-front payments for licensing agreements, clinical research reimbursement or co-funding, milestone payments based on clinical progress, regulatory progress or net sales achievements, royalties and/or product sales revenue. Our revenues are concentrated among a limited number of collaboration partners under long-term arrangements. We derive the substantial majority of our PEGylation reagent product sales from UCB and Pfizer. Following the 2020 Purchase and Sale Agreement (wherein under a capped return sale arrangement we sold our rights to receive royalties on future worldwide new sales of MOVANTIK</w:t>
      </w:r>
      <w:r>
        <w:rPr>
          <w:rFonts w:ascii="Arial" w:cs="Arial" w:eastAsia="Arial" w:hAnsi="Arial"/>
          <w:sz w:val="21"/>
          <w:szCs w:val="21"/>
          <w:color w:val="auto"/>
          <w:vertAlign w:val="superscript"/>
        </w:rPr>
        <w:t>®</w:t>
      </w:r>
      <w:r>
        <w:rPr>
          <w:rFonts w:ascii="Arial" w:cs="Arial" w:eastAsia="Arial" w:hAnsi="Arial"/>
          <w:sz w:val="16"/>
          <w:szCs w:val="16"/>
          <w:color w:val="auto"/>
        </w:rPr>
        <w:t>/MOVANTIG</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ADYNOVATE</w:t>
      </w:r>
      <w:r>
        <w:rPr>
          <w:rFonts w:ascii="Arial" w:cs="Arial" w:eastAsia="Arial" w:hAnsi="Arial"/>
          <w:sz w:val="21"/>
          <w:szCs w:val="21"/>
          <w:color w:val="auto"/>
          <w:vertAlign w:val="superscript"/>
        </w:rPr>
        <w:t>®</w:t>
      </w:r>
      <w:r>
        <w:rPr>
          <w:rFonts w:ascii="Arial" w:cs="Arial" w:eastAsia="Arial" w:hAnsi="Arial"/>
          <w:sz w:val="16"/>
          <w:szCs w:val="16"/>
          <w:color w:val="auto"/>
        </w:rPr>
        <w:t>/ADYNOVI</w:t>
      </w:r>
      <w:r>
        <w:rPr>
          <w:rFonts w:ascii="Arial" w:cs="Arial" w:eastAsia="Arial" w:hAnsi="Arial"/>
          <w:sz w:val="21"/>
          <w:szCs w:val="21"/>
          <w:color w:val="auto"/>
          <w:vertAlign w:val="superscript"/>
        </w:rPr>
        <w:t>®</w:t>
      </w:r>
      <w:r>
        <w:rPr>
          <w:rFonts w:ascii="Arial" w:cs="Arial" w:eastAsia="Arial" w:hAnsi="Arial"/>
          <w:sz w:val="16"/>
          <w:szCs w:val="16"/>
          <w:color w:val="auto"/>
        </w:rPr>
        <w:t>, as well as REBINYN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specified licensed products), other than our product sales, substantially all of our revenues are non-cash royalty revenues. However, our collaboration with Lilly for the development of rezpegaldesleukin provides for the most significant portion of our potential future development and regulatory milestone payments, as well as royalties from net sales of rezpegaldesleukin, if approved. Additionally, these collaboration partners can provide significant financial support for the development and commercialization</w:t>
      </w:r>
    </w:p>
    <w:p>
      <w:pPr>
        <w:sectPr>
          <w:pgSz w:w="11900" w:h="16838" w:orient="portrait"/>
          <w:cols w:equalWidth="0" w:num="1">
            <w:col w:w="9500"/>
          </w:cols>
          <w:pgMar w:left="120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00"/>
          </w:cols>
          <w:pgMar w:left="1200" w:top="1440" w:right="1199" w:bottom="1440" w:gutter="0" w:footer="0" w:header="0"/>
          <w:type w:val="continuous"/>
        </w:sectPr>
      </w:pPr>
    </w:p>
    <w:bookmarkStart w:id="16" w:name="page17"/>
    <w:bookmarkEnd w:id="16"/>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7707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115" cy="7707630"/>
                    </a:xfrm>
                    <a:prstGeom prst="rect">
                      <a:avLst/>
                    </a:prstGeom>
                    <a:noFill/>
                  </pic:spPr>
                </pic:pic>
              </a:graphicData>
            </a:graphic>
          </wp:anchor>
        </w:drawing>
      </w:r>
    </w:p>
    <w:p>
      <w:pPr>
        <w:ind w:right="80"/>
        <w:spacing w:after="0" w:line="244" w:lineRule="auto"/>
        <w:rPr>
          <w:sz w:val="20"/>
          <w:szCs w:val="20"/>
          <w:color w:val="auto"/>
        </w:rPr>
      </w:pPr>
      <w:r>
        <w:rPr>
          <w:rFonts w:ascii="Arial" w:cs="Arial" w:eastAsia="Arial" w:hAnsi="Arial"/>
          <w:sz w:val="17"/>
          <w:szCs w:val="17"/>
          <w:color w:val="auto"/>
        </w:rPr>
        <w:t>of these programs. For example, Lilly bears 75% of the Phase 2 development costs of rezpegaldesleukin, will bear 100% of the Phase 3 development costs, subject to our right to contribute up to 25% of Phase 3 development costs on an indication-by-indication basis, which we have announced our intention to exercise our option to fully fund Nektar's 25% share of the Phase 3 development costs, in exchange for higher royalties, if approved. Lilly will also be responsible for all costs of global commercialization, subject to our option to co-promote in the U.S. under certain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ind w:right="220" w:firstLine="172"/>
        <w:spacing w:after="0" w:line="257" w:lineRule="auto"/>
        <w:rPr>
          <w:sz w:val="20"/>
          <w:szCs w:val="20"/>
          <w:color w:val="auto"/>
        </w:rPr>
      </w:pPr>
      <w:r>
        <w:rPr>
          <w:rFonts w:ascii="Arial" w:cs="Arial" w:eastAsia="Arial" w:hAnsi="Arial"/>
          <w:sz w:val="17"/>
          <w:szCs w:val="17"/>
          <w:color w:val="auto"/>
        </w:rPr>
        <w:t>Competition in the pharmaceutical and biotechnology industry is intense and characterized by aggressive research and development and rapidly-evolving science, technology, and standards of medical care throughout the world. We frequently compete with pharmaceutical companies and other institutions with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Science and Technology Competition</w:t>
      </w:r>
    </w:p>
    <w:p>
      <w:pPr>
        <w:spacing w:after="0" w:line="114" w:lineRule="exact"/>
        <w:rPr>
          <w:sz w:val="20"/>
          <w:szCs w:val="20"/>
          <w:color w:val="auto"/>
        </w:rPr>
      </w:pPr>
    </w:p>
    <w:p>
      <w:pPr>
        <w:ind w:firstLine="169"/>
        <w:spacing w:after="0" w:line="277" w:lineRule="auto"/>
        <w:rPr>
          <w:sz w:val="20"/>
          <w:szCs w:val="20"/>
          <w:color w:val="auto"/>
        </w:rPr>
      </w:pPr>
      <w:r>
        <w:rPr>
          <w:rFonts w:ascii="Arial" w:cs="Arial" w:eastAsia="Arial" w:hAnsi="Arial"/>
          <w:sz w:val="16"/>
          <w:szCs w:val="16"/>
          <w:color w:val="auto"/>
        </w:rPr>
        <w:t>We face intense science and technology competition from a multitude of technologies seeking to enhance the efficacy, safety and ease of use of approved drugs and new drug molecule candidates. A number of the drug candidates in our pipeline have direct and indirect competition from large pharmaceutical and biopharmaceutical companies. With our advanced polymer conjugate technologies, we believe we have competitive advantages relating to factors such as efficacy, safety, ease of use and cost for certain applications and molecules. We constantly monitor scientific and medical developments in order to improve our current technologies, seek licensing opportunities where appropriate, and determine the best applications for our technology platforms.</w:t>
      </w:r>
    </w:p>
    <w:p>
      <w:pPr>
        <w:spacing w:after="0" w:line="170" w:lineRule="exact"/>
        <w:rPr>
          <w:sz w:val="20"/>
          <w:szCs w:val="20"/>
          <w:color w:val="auto"/>
        </w:rPr>
      </w:pPr>
    </w:p>
    <w:p>
      <w:pPr>
        <w:ind w:firstLine="172"/>
        <w:spacing w:after="0" w:line="258" w:lineRule="auto"/>
        <w:rPr>
          <w:sz w:val="20"/>
          <w:szCs w:val="20"/>
          <w:color w:val="auto"/>
        </w:rPr>
      </w:pPr>
      <w:r>
        <w:rPr>
          <w:rFonts w:ascii="Arial" w:cs="Arial" w:eastAsia="Arial" w:hAnsi="Arial"/>
          <w:sz w:val="17"/>
          <w:szCs w:val="17"/>
          <w:color w:val="auto"/>
        </w:rPr>
        <w:t>In the fields of advanced polymer conjugate technologies, our competitors include Biogen Idec Inc., Horizon Pharma, Dr. Reddy’s Laboratories, Ltd., Mountain View Pharmaceuticals, Inc., SunBio Corporation, NOF Corporation, and Novo Nordisk A/S (assets formerly held by Neose Technologies, Inc.). Several other chemical, biotechnology and pharmaceutical companies may also be developing advanced polymer conjugate technology or technologies intended to deliver similar scientific and medical benefits. Some of these companies license intellectual property or PEGylation materials to other companies, while others apply the technology to create their own drug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and Program Specific Competition</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Rezpegaldesleukin</w:t>
      </w:r>
    </w:p>
    <w:p>
      <w:pPr>
        <w:spacing w:after="0" w:line="243"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Janssen Pharmaceuticals, AstraZeneca and Tizona Therapeutics), regulatory T cell therapies (Sangamo Therapeutics, Inc., Quell Therapeutics, Ltd., TxCell, Inc., Sonoma Biotherapeutics, Inc. GentiBio, Inc., Kyvema Therapeutics, Inc. and Tract Therapeutics, Inc.), or IL-2 based therapies (Amgen, Inc., BMS (through its acquisition of Delnia, Inc.), Novartis, Inc., ILTOO Pharma, Xencor, inc., Merck &amp; Co (through its acquisition of Pandion Therapeutics), and Sanofi SA (through its acquisition of Synthorx, Inc.)).</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NKTR-255</w:t>
      </w:r>
    </w:p>
    <w:p>
      <w:pPr>
        <w:spacing w:after="0" w:line="114"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There are numerous companies engaged in developing immunotherapies with different approaches to enhancing NK cell populations which are a key component of the innate immune system. The approaches include engineered biologics targeting the IL-15 pathway as well as autologous and allogenic cell therapy approaches. For NKTR-255, we believe companies that are currently researching and developing engineered IL-15 biologics and cell therapies that could compete with this drug candidate include SOTIO Biotech, Inc., Artiva Biotherapeutics, Fate Therapeutics, ImmunityBio, Inc., nkarta therapeutics, NKMax America, and Roche/Genentech (through its partnership with Xencor, Inc.).</w:t>
      </w:r>
    </w:p>
    <w:p>
      <w:pPr>
        <w:sectPr>
          <w:pgSz w:w="11900" w:h="16838" w:orient="portrait"/>
          <w:cols w:equalWidth="0" w:num="1">
            <w:col w:w="9500"/>
          </w:cols>
          <w:pgMar w:left="120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89535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00"/>
          </w:cols>
          <w:pgMar w:left="1200" w:top="1440" w:right="11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518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8518525"/>
                    </a:xfrm>
                    <a:prstGeom prst="rect">
                      <a:avLst/>
                    </a:prstGeom>
                    <a:noFill/>
                  </pic:spPr>
                </pic:pic>
              </a:graphicData>
            </a:graphic>
          </wp:anchor>
        </w:drawing>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Research and Development</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total research and development expenditures can be disaggregated into the following significant types of expenses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w w:val="95"/>
              </w:rPr>
              <w:t>Year Ended December 31,</w:t>
            </w:r>
          </w:p>
        </w:tc>
      </w:tr>
      <w:tr>
        <w:trPr>
          <w:trHeight w:val="24"/>
        </w:trPr>
        <w:tc>
          <w:tcPr>
            <w:tcW w:w="7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9"/>
        </w:trPr>
        <w:tc>
          <w:tcPr>
            <w:tcW w:w="7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party and direct materials costs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w:t>
            </w:r>
          </w:p>
        </w:tc>
      </w:tr>
      <w:tr>
        <w:trPr>
          <w:trHeight w:val="218"/>
        </w:trPr>
        <w:tc>
          <w:tcPr>
            <w:tcW w:w="7220" w:type="dxa"/>
            <w:vAlign w:val="bottom"/>
          </w:tcPr>
          <w:p>
            <w:pPr>
              <w:ind w:left="20"/>
              <w:spacing w:after="0"/>
              <w:rPr>
                <w:sz w:val="20"/>
                <w:szCs w:val="20"/>
                <w:color w:val="auto"/>
              </w:rPr>
            </w:pPr>
            <w:r>
              <w:rPr>
                <w:rFonts w:ascii="Arial" w:cs="Arial" w:eastAsia="Arial" w:hAnsi="Arial"/>
                <w:sz w:val="17"/>
                <w:szCs w:val="17"/>
                <w:color w:val="auto"/>
              </w:rPr>
              <w:t>Personnel, overhead and other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158.7</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and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3"/>
        </w:trPr>
        <w:tc>
          <w:tcPr>
            <w:tcW w:w="7220" w:type="dxa"/>
            <w:vAlign w:val="bottom"/>
          </w:tcPr>
          <w:p>
            <w:pPr>
              <w:ind w:left="240"/>
              <w:spacing w:after="0"/>
              <w:rPr>
                <w:sz w:val="20"/>
                <w:szCs w:val="20"/>
                <w:color w:val="auto"/>
              </w:rPr>
            </w:pPr>
            <w:r>
              <w:rPr>
                <w:rFonts w:ascii="Arial" w:cs="Arial" w:eastAsia="Arial" w:hAnsi="Arial"/>
                <w:sz w:val="17"/>
                <w:szCs w:val="17"/>
                <w:color w:val="auto"/>
              </w:rPr>
              <w:t>Research and development expense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400.3</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Manufacturing and Supply</w:t>
      </w:r>
    </w:p>
    <w:p>
      <w:pPr>
        <w:spacing w:after="0" w:line="120" w:lineRule="exact"/>
        <w:rPr>
          <w:sz w:val="20"/>
          <w:szCs w:val="20"/>
          <w:color w:val="auto"/>
        </w:rPr>
      </w:pPr>
    </w:p>
    <w:p>
      <w:pPr>
        <w:ind w:left="20" w:right="60" w:firstLine="169"/>
        <w:spacing w:after="0" w:line="275" w:lineRule="auto"/>
        <w:rPr>
          <w:sz w:val="20"/>
          <w:szCs w:val="20"/>
          <w:color w:val="auto"/>
        </w:rPr>
      </w:pPr>
      <w:r>
        <w:rPr>
          <w:rFonts w:ascii="Arial" w:cs="Arial" w:eastAsia="Arial" w:hAnsi="Arial"/>
          <w:sz w:val="16"/>
          <w:szCs w:val="16"/>
          <w:color w:val="auto"/>
        </w:rPr>
        <w:t>We have a manufacturing facility located in Huntsville, Alabama that manufactures our proprietary PEG reagents for subsequent conjugation to active pharmaceutical ingredients (APIs). The facility is also used to produce APIs themselves, as well as PEG conjugates of those APIs, to support the early phases of clinical development of our drug candidates. The facility and associated equipment are designed and operated to be consistent with all applicable laws and regulations. As we do not maintain the capability to manufacture biologics nor finished drug products for our development programs, we primarily utilize contract manufacturers to manufacture biologics and finished drug product for us. We also utilize the services of contract manufacturers to manufacture APIs and finished drug products required for later phases of clinical development and eventual commercialization. Our contract manufacturers have contractual obligations to comply with all applicable laws and regulations.</w:t>
      </w:r>
    </w:p>
    <w:p>
      <w:pPr>
        <w:spacing w:after="0" w:line="170" w:lineRule="exact"/>
        <w:rPr>
          <w:sz w:val="20"/>
          <w:szCs w:val="20"/>
          <w:color w:val="auto"/>
        </w:rPr>
      </w:pPr>
    </w:p>
    <w:p>
      <w:pPr>
        <w:ind w:left="20" w:right="20" w:firstLine="169"/>
        <w:spacing w:after="0" w:line="257" w:lineRule="auto"/>
        <w:rPr>
          <w:sz w:val="20"/>
          <w:szCs w:val="20"/>
          <w:color w:val="auto"/>
        </w:rPr>
      </w:pPr>
      <w:r>
        <w:rPr>
          <w:rFonts w:ascii="Arial" w:cs="Arial" w:eastAsia="Arial" w:hAnsi="Arial"/>
          <w:sz w:val="17"/>
          <w:szCs w:val="17"/>
          <w:color w:val="auto"/>
        </w:rPr>
        <w:t>We source drug starting materials for our manufacturing activities from one or more suppliers. For the drug starting materials necessary for our drug candidate development, we have agreements for the supply of such drug components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could materially harm our business. In addition, we typically order raw materials and services on a purchase order basis for early phase clinical development products and enter into long-term supply arrangements only for late-stage products nearing regulatory approval for marketing authorization.</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Environment</w:t>
      </w:r>
    </w:p>
    <w:p>
      <w:pPr>
        <w:spacing w:after="0" w:line="120" w:lineRule="exact"/>
        <w:rPr>
          <w:sz w:val="20"/>
          <w:szCs w:val="20"/>
          <w:color w:val="auto"/>
        </w:rPr>
      </w:pPr>
    </w:p>
    <w:p>
      <w:pPr>
        <w:ind w:left="20" w:right="100" w:firstLine="162"/>
        <w:spacing w:after="0" w:line="257" w:lineRule="auto"/>
        <w:rPr>
          <w:sz w:val="20"/>
          <w:szCs w:val="20"/>
          <w:color w:val="auto"/>
        </w:rPr>
      </w:pPr>
      <w:r>
        <w:rPr>
          <w:rFonts w:ascii="Arial" w:cs="Arial" w:eastAsia="Arial" w:hAnsi="Arial"/>
          <w:sz w:val="17"/>
          <w:szCs w:val="17"/>
          <w:color w:val="auto"/>
        </w:rPr>
        <w:t>As a manufacturer of PEG reagents for the U.S. market, we are subject to inspections by the FDA and the U.S. Environmental Protection Agency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To our knowledge, we comply with all material governmental regulations applicable to our business. We would be subject to significant penalties for failure to comply with these laws and regulations.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Human Capital</w:t>
      </w:r>
    </w:p>
    <w:p>
      <w:pPr>
        <w:spacing w:after="0" w:line="236" w:lineRule="exact"/>
        <w:rPr>
          <w:sz w:val="20"/>
          <w:szCs w:val="20"/>
          <w:color w:val="auto"/>
        </w:rPr>
      </w:pPr>
    </w:p>
    <w:p>
      <w:pPr>
        <w:ind w:left="20" w:firstLine="619"/>
        <w:spacing w:after="0" w:line="275" w:lineRule="auto"/>
        <w:rPr>
          <w:sz w:val="20"/>
          <w:szCs w:val="20"/>
          <w:color w:val="auto"/>
        </w:rPr>
      </w:pPr>
      <w:r>
        <w:rPr>
          <w:rFonts w:ascii="Arial" w:cs="Arial" w:eastAsia="Arial" w:hAnsi="Arial"/>
          <w:sz w:val="15"/>
          <w:szCs w:val="15"/>
          <w:color w:val="auto"/>
        </w:rPr>
        <w:t>As of December 31, 2022, we had 216 employees, of which 140 employees were engaged in research and development, manufacturing, and quality activities. Of the 216 employees, 213 were located in the U.S. We have a number of employees who hold advanced degrees, such as a Ph.D. None of our employees are covered by a collective bargaining agreement, and we have experienced no work stoppages. We are committed to attracting, developing, advancing and retaining a diverse and talented workforce. As part of our measures to attract and retain personnel, we offer a total rewards package to our full-time employees consisting of base salary, cash bonuses based on individual and company performance, equity compensation and comprehensive benefits, including health insurance, life insurance, retirement plans, and paid holiday and vacation time. We support our employee’s further development by providing professional development opportunities. We believe that we maintain good relations with our employees.</w:t>
      </w:r>
    </w:p>
    <w:p>
      <w:pPr>
        <w:spacing w:after="0" w:line="172" w:lineRule="exact"/>
        <w:rPr>
          <w:sz w:val="20"/>
          <w:szCs w:val="20"/>
          <w:color w:val="auto"/>
        </w:rPr>
      </w:pPr>
    </w:p>
    <w:p>
      <w:pPr>
        <w:ind w:left="20" w:right="80" w:firstLine="169"/>
        <w:spacing w:after="0" w:line="266" w:lineRule="auto"/>
        <w:rPr>
          <w:sz w:val="20"/>
          <w:szCs w:val="20"/>
          <w:color w:val="auto"/>
        </w:rPr>
      </w:pPr>
      <w:r>
        <w:rPr>
          <w:rFonts w:ascii="Arial" w:cs="Arial" w:eastAsia="Arial" w:hAnsi="Arial"/>
          <w:sz w:val="17"/>
          <w:szCs w:val="17"/>
          <w:color w:val="auto"/>
        </w:rPr>
        <w:t>To complement our own expert professional staff, we utilize specialists in clinical development, regulatory affairs, pharmacovigilance, process engineering, manufacturing and quality assurance. These individuals include scientific advisors as well as independent consultants.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Available Information</w:t>
      </w:r>
    </w:p>
    <w:p>
      <w:pPr>
        <w:sectPr>
          <w:pgSz w:w="11900" w:h="16838" w:orient="portrait"/>
          <w:cols w:equalWidth="0" w:num="1">
            <w:col w:w="9520"/>
          </w:cols>
          <w:pgMar w:left="118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89535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20"/>
          </w:cols>
          <w:pgMar w:left="1180" w:top="1440" w:right="1199" w:bottom="1440" w:gutter="0" w:footer="0" w:header="0"/>
          <w:type w:val="continuous"/>
        </w:sectPr>
      </w:pPr>
    </w:p>
    <w:bookmarkStart w:id="18" w:name="page19"/>
    <w:bookmarkEnd w:id="18"/>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553085</wp:posOffset>
            </wp:positionV>
            <wp:extent cx="7143115" cy="8182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115" cy="8182610"/>
                    </a:xfrm>
                    <a:prstGeom prst="rect">
                      <a:avLst/>
                    </a:prstGeom>
                    <a:noFill/>
                  </pic:spPr>
                </pic:pic>
              </a:graphicData>
            </a:graphic>
          </wp:anchor>
        </w:drawing>
      </w:r>
    </w:p>
    <w:p>
      <w:pPr>
        <w:ind w:left="20" w:firstLine="172"/>
        <w:spacing w:after="0" w:line="279"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http://www.nektar.com</w:t>
      </w:r>
      <w:r>
        <w:rPr>
          <w:rFonts w:ascii="Arial" w:cs="Arial" w:eastAsia="Arial" w:hAnsi="Arial"/>
          <w:sz w:val="16"/>
          <w:szCs w:val="16"/>
          <w:color w:val="auto"/>
        </w:rPr>
        <w:t xml:space="preserve">.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Securities Exchange Commission (SEC). The SEC maintains an Internet site that contains reports, proxy and information statements and other information regarding our filings at </w:t>
      </w:r>
      <w:r>
        <w:rPr>
          <w:rFonts w:ascii="Arial" w:cs="Arial" w:eastAsia="Arial" w:hAnsi="Arial"/>
          <w:sz w:val="16"/>
          <w:szCs w:val="16"/>
          <w:i w:val="1"/>
          <w:iCs w:val="1"/>
          <w:color w:val="auto"/>
        </w:rPr>
        <w:t>www.sec.gov.</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the names, ages and positions of our executive officers as of February 28,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Age</w:t>
            </w:r>
          </w:p>
        </w:tc>
        <w:tc>
          <w:tcPr>
            <w:tcW w:w="5860" w:type="dxa"/>
            <w:vAlign w:val="bottom"/>
          </w:tcPr>
          <w:p>
            <w:pPr>
              <w:ind w:left="2700"/>
              <w:spacing w:after="0"/>
              <w:rPr>
                <w:sz w:val="20"/>
                <w:szCs w:val="20"/>
                <w:color w:val="auto"/>
              </w:rPr>
            </w:pPr>
            <w:r>
              <w:rPr>
                <w:rFonts w:ascii="Arial" w:cs="Arial" w:eastAsia="Arial" w:hAnsi="Arial"/>
                <w:sz w:val="14"/>
                <w:szCs w:val="14"/>
                <w:b w:val="1"/>
                <w:bCs w:val="1"/>
                <w:color w:val="auto"/>
              </w:rPr>
              <w:t>Position</w:t>
            </w:r>
          </w:p>
        </w:tc>
      </w:tr>
      <w:tr>
        <w:trPr>
          <w:trHeight w:val="37"/>
        </w:trPr>
        <w:tc>
          <w:tcPr>
            <w:tcW w:w="2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r>
      <w:tr>
        <w:trPr>
          <w:trHeight w:val="249"/>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Howard W. Robin</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70</w:t>
            </w:r>
          </w:p>
        </w:tc>
        <w:tc>
          <w:tcPr>
            <w:tcW w:w="80" w:type="dxa"/>
            <w:vAlign w:val="bottom"/>
          </w:tcPr>
          <w:p>
            <w:pPr>
              <w:spacing w:after="0"/>
              <w:rPr>
                <w:sz w:val="21"/>
                <w:szCs w:val="21"/>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Director, President and Chief Executive Officer</w:t>
            </w:r>
          </w:p>
        </w:tc>
      </w:tr>
      <w:tr>
        <w:trPr>
          <w:trHeight w:val="258"/>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Jillian B. Thomsen</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80" w:type="dxa"/>
            <w:vAlign w:val="bottom"/>
          </w:tcPr>
          <w:p>
            <w:pPr>
              <w:spacing w:after="0"/>
              <w:rPr>
                <w:sz w:val="22"/>
                <w:szCs w:val="22"/>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Senior Vice President, Chief Financial Officer and Chief Accounting Officer</w:t>
            </w:r>
          </w:p>
        </w:tc>
      </w:tr>
      <w:tr>
        <w:trPr>
          <w:trHeight w:val="219"/>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Mark A. Wilson, J.D.</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8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Senior Vice President and Chief Legal Officer</w:t>
            </w:r>
          </w:p>
        </w:tc>
      </w:tr>
      <w:tr>
        <w:trPr>
          <w:trHeight w:val="258"/>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Jonathan Zalevsky, Ph.D.</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80" w:type="dxa"/>
            <w:vAlign w:val="bottom"/>
          </w:tcPr>
          <w:p>
            <w:pPr>
              <w:spacing w:after="0"/>
              <w:rPr>
                <w:sz w:val="22"/>
                <w:szCs w:val="22"/>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Chief Research and Development Officer</w:t>
            </w:r>
          </w:p>
        </w:tc>
      </w:tr>
    </w:tbl>
    <w:p>
      <w:pPr>
        <w:spacing w:after="0" w:line="286" w:lineRule="exact"/>
        <w:rPr>
          <w:sz w:val="20"/>
          <w:szCs w:val="20"/>
          <w:color w:val="auto"/>
        </w:rPr>
      </w:pPr>
    </w:p>
    <w:p>
      <w:pPr>
        <w:ind w:left="20" w:firstLine="172"/>
        <w:spacing w:after="0" w:line="273" w:lineRule="auto"/>
        <w:rPr>
          <w:sz w:val="20"/>
          <w:szCs w:val="20"/>
          <w:color w:val="auto"/>
        </w:rPr>
      </w:pPr>
      <w:r>
        <w:rPr>
          <w:rFonts w:ascii="Arial" w:cs="Arial" w:eastAsia="Arial" w:hAnsi="Arial"/>
          <w:sz w:val="16"/>
          <w:szCs w:val="16"/>
          <w:i w:val="1"/>
          <w:iCs w:val="1"/>
          <w:color w:val="auto"/>
        </w:rPr>
        <w:t xml:space="preserve">Howard W. Robin </w:t>
      </w:r>
      <w:r>
        <w:rPr>
          <w:rFonts w:ascii="Arial" w:cs="Arial" w:eastAsia="Arial" w:hAnsi="Arial"/>
          <w:sz w:val="16"/>
          <w:szCs w:val="16"/>
          <w:color w:val="auto"/>
        </w:rPr>
        <w:t>has served as our President and Chief Executive Officer since January 2007 and has served as a member of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since February 2007. Mr. Robin served as Chief Executive Officer, President and a director of Sirna Therapeutics, Inc., a biotechnology company, from July 2001 to November 2006 and from January 2001 to June 2001, served as their Chief Operating Officer, President and as a director. From 1991 to 2001, Mr. Robin was Corporate Vice President and General Manager at Berlex Laboratories, Inc. (Berlex), a pharmaceutical products company that is a subsidiary of Schering, AG, and from 1987 to 1991 he served as Vice President of Finance and Business Development and Chief Financial Officer of Berlex. From 1984 to 1987, Mr. Robin was Director of Business Planning and Development at Berlex. He was a Senior Associate with Arthur Andersen &amp; Co. prior to joining Berlex. Mr. Robin serves as a director of the Biotechnology Industry Organization, the world’s largest biotechnology industry trade organization, and also serves as a director of BayBio, a non-profit trade association serving the Northern California life sciences community. He received his B.S. in Accounting and Finance from Fairleigh Dickinson University in 1974.</w:t>
      </w:r>
    </w:p>
    <w:p>
      <w:pPr>
        <w:spacing w:after="0" w:line="176" w:lineRule="exact"/>
        <w:rPr>
          <w:sz w:val="20"/>
          <w:szCs w:val="20"/>
          <w:color w:val="auto"/>
        </w:rPr>
      </w:pPr>
    </w:p>
    <w:p>
      <w:pPr>
        <w:ind w:left="20" w:right="20" w:firstLine="619"/>
        <w:spacing w:after="0" w:line="275" w:lineRule="auto"/>
        <w:rPr>
          <w:sz w:val="20"/>
          <w:szCs w:val="20"/>
          <w:color w:val="auto"/>
        </w:rPr>
      </w:pPr>
      <w:r>
        <w:rPr>
          <w:rFonts w:ascii="Arial" w:cs="Arial" w:eastAsia="Arial" w:hAnsi="Arial"/>
          <w:sz w:val="16"/>
          <w:szCs w:val="16"/>
          <w:i w:val="1"/>
          <w:iCs w:val="1"/>
          <w:color w:val="auto"/>
        </w:rPr>
        <w:t xml:space="preserve">Jillian B. Thomsen </w:t>
      </w:r>
      <w:r>
        <w:rPr>
          <w:rFonts w:ascii="Arial" w:cs="Arial" w:eastAsia="Arial" w:hAnsi="Arial"/>
          <w:sz w:val="16"/>
          <w:szCs w:val="16"/>
          <w:color w:val="auto"/>
        </w:rPr>
        <w:t>has served as our Senior Vice President, Chief Financial Officer and Chief Accounting Officer since July</w:t>
      </w:r>
      <w:r>
        <w:rPr>
          <w:rFonts w:ascii="Arial" w:cs="Arial" w:eastAsia="Arial" w:hAnsi="Arial"/>
          <w:sz w:val="16"/>
          <w:szCs w:val="16"/>
          <w:i w:val="1"/>
          <w:iCs w:val="1"/>
          <w:color w:val="auto"/>
        </w:rPr>
        <w:t xml:space="preserve"> </w:t>
      </w:r>
      <w:r>
        <w:rPr>
          <w:rFonts w:ascii="Arial" w:cs="Arial" w:eastAsia="Arial" w:hAnsi="Arial"/>
          <w:sz w:val="16"/>
          <w:szCs w:val="16"/>
          <w:color w:val="auto"/>
        </w:rPr>
        <w:t>2022. From February 2010 to July 2022, Ms. Thomsen served as our Senior Vice President, Finance and Chief Accounting Officer. From April 2008 through January 2010 she served as our Vice President Finance and Chief Accounting Officer and from March 2006 through March 2008, Ms. Thomsen served as our Vice President Finance and Corporate Controller. Before joining Nektar, Ms. Thomsen was Vice President Finance and Deputy Corporate Controller of Calpine Corporation from September 2002 to February 2006. Ms. Thomsen began her career as a certified public accountant at Arthur Andersen LLP, where she worked from 1990 to 2002, and specialized in audits of multinational consumer products, life sciences, manufacturing and energy companies. Ms. Thomsen holds a Masters of Accountancy from the University of Denver and a B.A. in Business Economics from Colorado College.</w:t>
      </w:r>
    </w:p>
    <w:p>
      <w:pPr>
        <w:spacing w:after="0" w:line="170" w:lineRule="exact"/>
        <w:rPr>
          <w:sz w:val="20"/>
          <w:szCs w:val="20"/>
          <w:color w:val="auto"/>
        </w:rPr>
      </w:pPr>
    </w:p>
    <w:p>
      <w:pPr>
        <w:ind w:left="20" w:right="40" w:firstLine="619"/>
        <w:spacing w:after="0" w:line="257" w:lineRule="auto"/>
        <w:rPr>
          <w:sz w:val="20"/>
          <w:szCs w:val="20"/>
          <w:color w:val="auto"/>
        </w:rPr>
      </w:pPr>
      <w:r>
        <w:rPr>
          <w:rFonts w:ascii="Arial" w:cs="Arial" w:eastAsia="Arial" w:hAnsi="Arial"/>
          <w:sz w:val="17"/>
          <w:szCs w:val="17"/>
          <w:i w:val="1"/>
          <w:iCs w:val="1"/>
          <w:color w:val="auto"/>
        </w:rPr>
        <w:t xml:space="preserve">Mark A. Wilson </w:t>
      </w:r>
      <w:r>
        <w:rPr>
          <w:rFonts w:ascii="Arial" w:cs="Arial" w:eastAsia="Arial" w:hAnsi="Arial"/>
          <w:sz w:val="17"/>
          <w:szCs w:val="17"/>
          <w:color w:val="auto"/>
        </w:rPr>
        <w:t>has served as our Senior Vice President and Chief Legal Officer since July 2022. Previously, Mr. Wilson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General Counsel since June 2016. Mr. Wilson joined Nektar in May 2002 and initially served as Patent Counsel and then as Senior Patent Counsel to the company prior to 2008 when he was promoted to Vice President, Intellectual Property. Before joining Nektar in 2002, Mr. Wilson was an associate at Reed &amp; Associates, a patent law firm in Menlo Park, California, where he represented both start-up and Fortune 500 companies. Mr. Wilson received his J.D. from Seton Hall University, School of Law, and his B.S. in Pharmacy from Rutgers University, College of Pharmacy. He is registered to practice before the U.S. Patent and Trademark Office and is a member of the California Bar.</w:t>
      </w:r>
    </w:p>
    <w:p>
      <w:pPr>
        <w:spacing w:after="0" w:line="301" w:lineRule="exact"/>
        <w:rPr>
          <w:sz w:val="20"/>
          <w:szCs w:val="20"/>
          <w:color w:val="auto"/>
        </w:rPr>
      </w:pPr>
    </w:p>
    <w:p>
      <w:pPr>
        <w:ind w:left="20" w:right="120" w:firstLine="172"/>
        <w:spacing w:after="0" w:line="257" w:lineRule="auto"/>
        <w:rPr>
          <w:sz w:val="20"/>
          <w:szCs w:val="20"/>
          <w:color w:val="auto"/>
        </w:rPr>
      </w:pPr>
      <w:r>
        <w:rPr>
          <w:rFonts w:ascii="Arial" w:cs="Arial" w:eastAsia="Arial" w:hAnsi="Arial"/>
          <w:sz w:val="17"/>
          <w:szCs w:val="17"/>
          <w:i w:val="1"/>
          <w:iCs w:val="1"/>
          <w:color w:val="auto"/>
        </w:rPr>
        <w:t xml:space="preserve">Jonathan Zalevsky </w:t>
      </w:r>
      <w:r>
        <w:rPr>
          <w:rFonts w:ascii="Arial" w:cs="Arial" w:eastAsia="Arial" w:hAnsi="Arial"/>
          <w:sz w:val="17"/>
          <w:szCs w:val="17"/>
          <w:color w:val="auto"/>
        </w:rPr>
        <w:t>has served as our Chief Research &amp; Development Officer since October 2019. Dr. Zalevsky served as our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Biology and Preclinical Development from April 2017 through November 2017 and served as our Senior Vice President, Research and Chief Science Officer from November 2017 to October 2019. From July 2015 through April 2017, Dr. Zalevsky served as our Vice President, Biology and Preclinical Development. Prior to joining Nektar, Dr. Zalevsky was Global Vice President and Head of the Inflammation Drug Discovery Unit at Takeda Pharmaceuticals. Prior to working at Takeda, Dr. Zalevsky held a number of research and development positions at Xencor, Inc. Dr. Zalevsky received his Ph.D. in Biochemistry from the Tetrad Program at the University of California, San Francisco. He received dual bachelor degrees in Biochemistry and Molecular, Cellular and Developmental Biology from the University of Colorado at Boulder.</w:t>
      </w:r>
    </w:p>
    <w:p>
      <w:pPr>
        <w:sectPr>
          <w:pgSz w:w="11900" w:h="16838" w:orient="portrait"/>
          <w:cols w:equalWidth="0" w:num="1">
            <w:col w:w="9520"/>
          </w:cols>
          <w:pgMar w:left="118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89535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520"/>
          </w:cols>
          <w:pgMar w:left="1180" w:top="1440" w:right="11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firstLine="169"/>
        <w:spacing w:after="0" w:line="276" w:lineRule="auto"/>
        <w:rPr>
          <w:sz w:val="20"/>
          <w:szCs w:val="20"/>
          <w:color w:val="auto"/>
        </w:rPr>
      </w:pPr>
      <w:r>
        <w:rPr>
          <w:rFonts w:ascii="Arial" w:cs="Arial" w:eastAsia="Arial" w:hAnsi="Arial"/>
          <w:sz w:val="16"/>
          <w:szCs w:val="16"/>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71" w:lineRule="exact"/>
        <w:rPr>
          <w:sz w:val="20"/>
          <w:szCs w:val="20"/>
          <w:color w:val="auto"/>
        </w:rPr>
      </w:pPr>
    </w:p>
    <w:p>
      <w:pPr>
        <w:ind w:left="320" w:right="260"/>
        <w:spacing w:after="0" w:line="279" w:lineRule="auto"/>
        <w:rPr>
          <w:sz w:val="20"/>
          <w:szCs w:val="20"/>
          <w:color w:val="auto"/>
        </w:rPr>
      </w:pPr>
      <w:r>
        <w:rPr>
          <w:rFonts w:ascii="Arial" w:cs="Arial" w:eastAsia="Arial" w:hAnsi="Arial"/>
          <w:sz w:val="17"/>
          <w:szCs w:val="17"/>
          <w:b w:val="1"/>
          <w:bCs w:val="1"/>
          <w:i w:val="1"/>
          <w:iCs w:val="1"/>
          <w:color w:val="auto"/>
        </w:rPr>
        <w:t>We are highly dependent on the success of drug candidates, including rezpegaldesleukin (previously referred to as NKTR-358) and NKTR-255. If these drug candidates fail in clinical development our business will be significantly harmed.</w:t>
      </w:r>
    </w:p>
    <w:p>
      <w:pPr>
        <w:spacing w:after="0" w:line="190" w:lineRule="exact"/>
        <w:rPr>
          <w:sz w:val="20"/>
          <w:szCs w:val="20"/>
          <w:color w:val="auto"/>
        </w:rPr>
      </w:pPr>
    </w:p>
    <w:p>
      <w:pPr>
        <w:ind w:right="160" w:firstLine="619"/>
        <w:spacing w:after="0" w:line="293" w:lineRule="auto"/>
        <w:rPr>
          <w:sz w:val="20"/>
          <w:szCs w:val="20"/>
          <w:color w:val="auto"/>
        </w:rPr>
      </w:pPr>
      <w:r>
        <w:rPr>
          <w:rFonts w:ascii="Arial" w:cs="Arial" w:eastAsia="Arial" w:hAnsi="Arial"/>
          <w:sz w:val="15"/>
          <w:szCs w:val="15"/>
          <w:color w:val="auto"/>
        </w:rPr>
        <w:t>Our future success is highly dependent on the clinical success of our drug candidates, including rezpegaldesleukin and NKTR-255. In general, most investigational drugs, including drug candidates designed to treat patients suffering from autoimmune disorders and cancers, such as rezpegaldesleukin and NKTR-255, respectively, do not become approved drugs. Accordingly, there is a very meaningful risk that our drug candidates will not succeed in one or more clinical trials sufficient to support one or more regulatory approvals. Further, if Lilly, our collaboration partner for rezpegaldesleukin, delays the initiation or completion of one or more clinical trials for reasons outside of our control, or discontinues development of rezpegaldesleukin for scientific or other reasons, or is not successful, it would materially harm our market valuation, prospects, financial condition and results of operations. Under our collaboration agreement with Lilly, we are eligible for up to $250.0 million in additional development and regulatory milestones, and a royalty rate up to the low twenties percent based upon our Phase 3 development cost contribution and the level of annual global product sales. In February 2023, we announced that the Phase 2 Lupus Study of rezpegaldesleukin in SLE conducted by Lilly did not meet the study's primary endpoint and that Lilly does not intend to advance rezpegaldesleukin to Phase 3 development in SLE. One or more clinical failures of our drug candidates would jeopardize and could result in reduced, delayed or eliminated revenue.</w:t>
      </w:r>
    </w:p>
    <w:p>
      <w:pPr>
        <w:spacing w:after="0" w:line="60" w:lineRule="exact"/>
        <w:rPr>
          <w:sz w:val="20"/>
          <w:szCs w:val="20"/>
          <w:color w:val="auto"/>
        </w:rPr>
      </w:pPr>
    </w:p>
    <w:p>
      <w:pPr>
        <w:ind w:right="140" w:firstLine="619"/>
        <w:spacing w:after="0" w:line="273" w:lineRule="auto"/>
        <w:rPr>
          <w:sz w:val="20"/>
          <w:szCs w:val="20"/>
          <w:color w:val="auto"/>
        </w:rPr>
      </w:pPr>
      <w:r>
        <w:rPr>
          <w:rFonts w:ascii="Arial" w:cs="Arial" w:eastAsia="Arial" w:hAnsi="Arial"/>
          <w:sz w:val="16"/>
          <w:szCs w:val="16"/>
          <w:color w:val="auto"/>
        </w:rPr>
        <w:t>Additionally, promising results from earlier trials may not predict similarly favorable outcomes in subsequent trials. For example, several of our past, planned and ongoing clinical trials utilize an “open-label” trial design. An “open-label” clinical trial is one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w:t>
      </w:r>
    </w:p>
    <w:p>
      <w:pPr>
        <w:spacing w:after="0" w:line="125" w:lineRule="exact"/>
        <w:rPr>
          <w:sz w:val="20"/>
          <w:szCs w:val="20"/>
          <w:color w:val="auto"/>
        </w:rPr>
      </w:pPr>
    </w:p>
    <w:p>
      <w:pPr>
        <w:ind w:left="320" w:right="280"/>
        <w:spacing w:after="0" w:line="279" w:lineRule="auto"/>
        <w:rPr>
          <w:sz w:val="20"/>
          <w:szCs w:val="20"/>
          <w:color w:val="auto"/>
        </w:rPr>
      </w:pPr>
      <w:r>
        <w:rPr>
          <w:rFonts w:ascii="Arial" w:cs="Arial" w:eastAsia="Arial" w:hAnsi="Arial"/>
          <w:sz w:val="17"/>
          <w:szCs w:val="17"/>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345" w:lineRule="exact"/>
        <w:rPr>
          <w:sz w:val="20"/>
          <w:szCs w:val="20"/>
          <w:color w:val="auto"/>
        </w:rPr>
      </w:pPr>
    </w:p>
    <w:p>
      <w:pPr>
        <w:ind w:right="200" w:firstLine="619"/>
        <w:spacing w:after="0" w:line="349" w:lineRule="auto"/>
        <w:rPr>
          <w:sz w:val="20"/>
          <w:szCs w:val="20"/>
          <w:color w:val="auto"/>
        </w:rPr>
      </w:pPr>
      <w:r>
        <w:rPr>
          <w:rFonts w:ascii="Arial" w:cs="Arial" w:eastAsia="Arial" w:hAnsi="Arial"/>
          <w:sz w:val="15"/>
          <w:szCs w:val="15"/>
          <w:color w:val="auto"/>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spacing w:after="0" w:line="66" w:lineRule="exact"/>
        <w:rPr>
          <w:sz w:val="20"/>
          <w:szCs w:val="20"/>
          <w:color w:val="auto"/>
        </w:rPr>
      </w:pPr>
    </w:p>
    <w:p>
      <w:pPr>
        <w:ind w:left="1240" w:hanging="618"/>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obtaining regulatory authorization to commence a clinical study;</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reaching agreement with applicable regulatory authorities on a clinical study design;</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color w:val="auto"/>
        </w:rPr>
        <w:t>for drug candidates (such as rezpegaldesleukin) partnered with other companies, delays caused by our partner;</w:t>
      </w:r>
    </w:p>
    <w:p>
      <w:pPr>
        <w:spacing w:after="0" w:line="165" w:lineRule="exact"/>
        <w:rPr>
          <w:rFonts w:ascii="Arial" w:cs="Arial" w:eastAsia="Arial" w:hAnsi="Arial"/>
          <w:sz w:val="17"/>
          <w:szCs w:val="17"/>
          <w:b w:val="1"/>
          <w:bCs w:val="1"/>
          <w:i w:val="1"/>
          <w:iCs w:val="1"/>
          <w:color w:val="auto"/>
        </w:rPr>
      </w:pPr>
    </w:p>
    <w:p>
      <w:pPr>
        <w:ind w:left="1240" w:right="60" w:hanging="618"/>
        <w:spacing w:after="0" w:line="279" w:lineRule="auto"/>
        <w:tabs>
          <w:tab w:leader="none" w:pos="1236"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color w:val="auto"/>
        </w:rPr>
        <w:t>delays caused by the COVID-19 pandemic (see also the risk factor in this Item 1A titled “</w:t>
      </w:r>
      <w:r>
        <w:rPr>
          <w:rFonts w:ascii="Arial" w:cs="Arial" w:eastAsia="Arial" w:hAnsi="Arial"/>
          <w:sz w:val="17"/>
          <w:szCs w:val="17"/>
          <w:i w:val="1"/>
          <w:iCs w:val="1"/>
          <w:color w:val="auto"/>
        </w:rPr>
        <w:t>Our business could be adversely affected by the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of health epidemics, including the recent COVID-19 pandemic</w:t>
      </w:r>
      <w:r>
        <w:rPr>
          <w:rFonts w:ascii="Arial" w:cs="Arial" w:eastAsia="Arial" w:hAnsi="Arial"/>
          <w:sz w:val="17"/>
          <w:szCs w:val="17"/>
          <w:color w:val="auto"/>
        </w:rPr>
        <w: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0" w:name="page21"/>
    <w:bookmarkEnd w:id="20"/>
    <w:p>
      <w:pPr>
        <w:ind w:left="1240" w:right="180" w:hanging="618"/>
        <w:spacing w:after="0" w:line="279" w:lineRule="auto"/>
        <w:tabs>
          <w:tab w:leader="none" w:pos="12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imposition of a clinical hold by the FDA or other health authorities, which may occur at any time including after any inspection of clinical trial operations or trial sites;</w:t>
      </w:r>
    </w:p>
    <w:p>
      <w:pPr>
        <w:spacing w:after="0" w:line="112" w:lineRule="exact"/>
        <w:rPr>
          <w:rFonts w:ascii="Arial" w:cs="Arial" w:eastAsia="Arial" w:hAnsi="Arial"/>
          <w:sz w:val="17"/>
          <w:szCs w:val="17"/>
          <w:color w:val="auto"/>
        </w:rPr>
      </w:pPr>
    </w:p>
    <w:p>
      <w:pPr>
        <w:ind w:left="1240" w:right="200" w:hanging="618"/>
        <w:spacing w:after="0" w:line="279" w:lineRule="auto"/>
        <w:tabs>
          <w:tab w:leader="none" w:pos="12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suspension or termination of a clinical study by us, our partners, the FDA or foreign regulatory authorities due to adverse side effects of a drug on subjects in the trial;</w:t>
      </w:r>
    </w:p>
    <w:p>
      <w:pPr>
        <w:spacing w:after="0" w:line="112" w:lineRule="exact"/>
        <w:rPr>
          <w:rFonts w:ascii="Arial" w:cs="Arial" w:eastAsia="Arial" w:hAnsi="Arial"/>
          <w:sz w:val="17"/>
          <w:szCs w:val="17"/>
          <w:color w:val="auto"/>
        </w:rPr>
      </w:pPr>
    </w:p>
    <w:p>
      <w:pPr>
        <w:ind w:left="1240" w:hanging="618"/>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a trial;</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having patients complete participation in a trial or return for post-treatment follow-up;</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sites dropping out of a trial due to the detriment of enrollment rates;</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manufacturing and delivery of sufficient supply of clinical trial materials;</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regulatory authorities policies or guidance applicable to our drug candidates; and</w:t>
      </w:r>
    </w:p>
    <w:p>
      <w:pPr>
        <w:spacing w:after="0" w:line="165" w:lineRule="exact"/>
        <w:rPr>
          <w:rFonts w:ascii="Arial" w:cs="Arial" w:eastAsia="Arial" w:hAnsi="Arial"/>
          <w:sz w:val="17"/>
          <w:szCs w:val="17"/>
          <w:color w:val="auto"/>
        </w:rPr>
      </w:pPr>
    </w:p>
    <w:p>
      <w:pPr>
        <w:ind w:left="1240" w:hanging="618"/>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caused by changing standards of care or new treatment options.</w:t>
      </w:r>
    </w:p>
    <w:p>
      <w:pPr>
        <w:spacing w:after="0" w:line="114"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65" w:lineRule="exact"/>
        <w:rPr>
          <w:sz w:val="20"/>
          <w:szCs w:val="20"/>
          <w:color w:val="auto"/>
        </w:rPr>
      </w:pPr>
    </w:p>
    <w:p>
      <w:pPr>
        <w:ind w:right="420" w:firstLine="619"/>
        <w:spacing w:after="0" w:line="290" w:lineRule="auto"/>
        <w:rPr>
          <w:sz w:val="20"/>
          <w:szCs w:val="20"/>
          <w:color w:val="auto"/>
        </w:rPr>
      </w:pPr>
      <w:r>
        <w:rPr>
          <w:rFonts w:ascii="Arial" w:cs="Arial" w:eastAsia="Arial" w:hAnsi="Arial"/>
          <w:sz w:val="16"/>
          <w:szCs w:val="16"/>
          <w:b w:val="1"/>
          <w:bCs w:val="1"/>
          <w:i w:val="1"/>
          <w:iCs w:val="1"/>
          <w:color w:val="auto"/>
        </w:rPr>
        <w:t>We currently rely on academic and private non-academic institutions to conduct investigator-sponsored clinical studies or trials of our product candidates. Any failure by the investigator-sponsor to meet its obligations with respect to the clinical development of our product candidates may delay or impair our ability to obtain regulatory approval or commercialize for other product candidates.</w:t>
      </w:r>
    </w:p>
    <w:p>
      <w:pPr>
        <w:spacing w:after="0" w:line="287"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We currently rely on academic and private non-academic institutions to conduct and sponsor clinical studies or trials relating to our product candidates.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w:t>
      </w:r>
    </w:p>
    <w:p>
      <w:pPr>
        <w:spacing w:after="0" w:line="189"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 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w:t>
      </w:r>
    </w:p>
    <w:p>
      <w:pPr>
        <w:spacing w:after="0" w:line="196" w:lineRule="exact"/>
        <w:rPr>
          <w:sz w:val="20"/>
          <w:szCs w:val="20"/>
          <w:color w:val="auto"/>
        </w:rPr>
      </w:pPr>
    </w:p>
    <w:p>
      <w:pPr>
        <w:ind w:right="160" w:firstLine="619"/>
        <w:spacing w:after="0" w:line="307" w:lineRule="auto"/>
        <w:rPr>
          <w:sz w:val="20"/>
          <w:szCs w:val="20"/>
          <w:color w:val="auto"/>
        </w:rPr>
      </w:pPr>
      <w:r>
        <w:rPr>
          <w:rFonts w:ascii="Arial" w:cs="Arial" w:eastAsia="Arial" w:hAnsi="Arial"/>
          <w:sz w:val="15"/>
          <w:szCs w:val="15"/>
          <w:color w:val="auto"/>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spacing w:after="0" w:line="175" w:lineRule="exact"/>
        <w:rPr>
          <w:sz w:val="20"/>
          <w:szCs w:val="20"/>
          <w:color w:val="auto"/>
        </w:rPr>
      </w:pPr>
    </w:p>
    <w:p>
      <w:pPr>
        <w:ind w:right="240" w:firstLine="309"/>
        <w:spacing w:after="0" w:line="349" w:lineRule="auto"/>
        <w:rPr>
          <w:sz w:val="20"/>
          <w:szCs w:val="20"/>
          <w:color w:val="auto"/>
        </w:rPr>
      </w:pPr>
      <w:r>
        <w:rPr>
          <w:rFonts w:ascii="Arial" w:cs="Arial" w:eastAsia="Arial" w:hAnsi="Arial"/>
          <w:sz w:val="15"/>
          <w:szCs w:val="15"/>
          <w:b w:val="1"/>
          <w:bCs w:val="1"/>
          <w:i w:val="1"/>
          <w:iCs w:val="1"/>
          <w:color w:val="auto"/>
        </w:rPr>
        <w:t>The outcomes from the clinical trials of drug candidates from others, and the discovery and development of new potential therapies in immunology and oncology, could have a material and adverse impact on the value of the drug candidates in our research and development pipeline.</w:t>
      </w:r>
    </w:p>
    <w:p>
      <w:pPr>
        <w:spacing w:after="0" w:line="143" w:lineRule="exact"/>
        <w:rPr>
          <w:sz w:val="20"/>
          <w:szCs w:val="20"/>
          <w:color w:val="auto"/>
        </w:rPr>
      </w:pPr>
    </w:p>
    <w:p>
      <w:pPr>
        <w:jc w:val="both"/>
        <w:ind w:right="280" w:firstLine="619"/>
        <w:spacing w:after="0" w:line="266" w:lineRule="auto"/>
        <w:rPr>
          <w:sz w:val="20"/>
          <w:szCs w:val="20"/>
          <w:color w:val="auto"/>
        </w:rPr>
      </w:pPr>
      <w:r>
        <w:rPr>
          <w:rFonts w:ascii="Arial" w:cs="Arial" w:eastAsia="Arial" w:hAnsi="Arial"/>
          <w:sz w:val="17"/>
          <w:szCs w:val="17"/>
          <w:color w:val="auto"/>
        </w:rPr>
        <w:t>The research and development of immune-modulatory agents is a very competitive global segment in the biopharmaceutical industry attracting tens of billions of dollars of investment each year. Our clinical trial plans for rezpegaldesleukin, NKTR-255 and other immunomodulatory agents drug candidates face substantial competition from other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1" w:name="page22"/>
    <w:bookmarkEnd w:id="21"/>
    <w:p>
      <w:pPr>
        <w:ind w:right="20"/>
        <w:spacing w:after="0" w:line="302" w:lineRule="auto"/>
        <w:rPr>
          <w:sz w:val="20"/>
          <w:szCs w:val="20"/>
          <w:color w:val="auto"/>
        </w:rPr>
      </w:pPr>
      <w:r>
        <w:rPr>
          <w:rFonts w:ascii="Arial" w:cs="Arial" w:eastAsia="Arial" w:hAnsi="Arial"/>
          <w:sz w:val="15"/>
          <w:szCs w:val="15"/>
          <w:color w:val="auto"/>
        </w:rPr>
        <w:t>regimens already approved, and many more that are either ahead of or in parallel development in patient populations where we are studying our drug candidates. As immunotherapy represent a relatively new approach to treatment of autoimmune disorders and cancer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spacing w:after="0" w:line="101" w:lineRule="exact"/>
        <w:rPr>
          <w:sz w:val="20"/>
          <w:szCs w:val="20"/>
          <w:color w:val="auto"/>
        </w:rPr>
      </w:pPr>
    </w:p>
    <w:p>
      <w:pPr>
        <w:ind w:left="320" w:right="200"/>
        <w:spacing w:after="0" w:line="279" w:lineRule="auto"/>
        <w:rPr>
          <w:sz w:val="20"/>
          <w:szCs w:val="20"/>
          <w:color w:val="auto"/>
        </w:rPr>
      </w:pPr>
      <w:r>
        <w:rPr>
          <w:rFonts w:ascii="Arial" w:cs="Arial" w:eastAsia="Arial" w:hAnsi="Arial"/>
          <w:sz w:val="17"/>
          <w:szCs w:val="17"/>
          <w:b w:val="1"/>
          <w:bCs w:val="1"/>
          <w:i w:val="1"/>
          <w:iCs w:val="1"/>
          <w:color w:val="auto"/>
        </w:rPr>
        <w:t>The risk of clinical failure for any drug candidate remains high prior to regulatory approval and there can be no assurance that our product candidates will obtain regulatory approval for any particular indications.</w:t>
      </w:r>
    </w:p>
    <w:p>
      <w:pPr>
        <w:spacing w:after="0" w:line="113"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35" w:lineRule="exact"/>
        <w:rPr>
          <w:sz w:val="20"/>
          <w:szCs w:val="20"/>
          <w:color w:val="auto"/>
        </w:rPr>
      </w:pPr>
    </w:p>
    <w:p>
      <w:pPr>
        <w:ind w:left="320" w:right="260"/>
        <w:spacing w:after="0" w:line="266" w:lineRule="auto"/>
        <w:rPr>
          <w:sz w:val="20"/>
          <w:szCs w:val="20"/>
          <w:color w:val="auto"/>
        </w:rPr>
      </w:pPr>
      <w:r>
        <w:rPr>
          <w:rFonts w:ascii="Arial" w:cs="Arial" w:eastAsia="Arial" w:hAnsi="Arial"/>
          <w:sz w:val="17"/>
          <w:szCs w:val="17"/>
          <w:b w:val="1"/>
          <w:bCs w:val="1"/>
          <w:i w:val="1"/>
          <w:iCs w:val="1"/>
          <w:color w:val="auto"/>
        </w:rPr>
        <w:t>Significant competition for our polymer conjugate chemistry technology platforms and our partnered and proprietary drugs and drug candidates could make our technologies, drugs or drug candidates obsolete or noncompetitive, which would negatively impact our business, results of operations and financial condition.</w:t>
      </w:r>
    </w:p>
    <w:p>
      <w:pPr>
        <w:spacing w:after="0" w:line="124"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Our advanced polymer conjugate chemistry platforms and our partnered and proprietary products and drug candidates compete with various pharmaceutical and biotechnology companies. Competitors of our polymer conjugate chemistry technologies include Biogen Inc., Horizon Pharma, Dr. Reddy’s Laboratories Ltd., SunBio Corporation, Laysan Bio, Inc., Mountain View Pharmaceuticals, Inc., Novo Nordisk A/S (formerly assets held by Neose Technologies, Inc.), NOF Corporation and Aurigene Pharmaceutical Services. Several other chemical, biotechnology and pharmaceutical companies may also be developing polymer conjugation technologies or technologies that have similar impact on target drug molecules. Some of these companies license or provide the technology to other companies, while others are developing the technology for internal use.</w:t>
      </w:r>
    </w:p>
    <w:p>
      <w:pPr>
        <w:spacing w:after="0" w:line="132"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There are many competitors for our drug candidates currently in development.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Janssen, AstraZeneca, and Tizona Therapeutics), regulatory T cell therapies (Sangamo Therapeutics, Inc., Quell Therapeutics, Ltd, TxCell, Inc., Sonoma Biotherapeutics, Inc., GentiBio, Inc. Kyvema Therapeutics, Inc. and and Tract Therapeutics, Inc.), or IL-2-based-therapies (Amgen Inc., BMS, Novartis, Inc., ILTOO Pharma, Xencor, Inc. Merck &amp; Co, through its acquisition of Pandion Therapeutics, and Sanofi SA, through its acquisition of Synthorx, Inc.).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spacing w:after="0" w:line="121" w:lineRule="exact"/>
        <w:rPr>
          <w:sz w:val="20"/>
          <w:szCs w:val="20"/>
          <w:color w:val="auto"/>
        </w:rPr>
      </w:pPr>
    </w:p>
    <w:p>
      <w:pPr>
        <w:ind w:left="320" w:right="60"/>
        <w:spacing w:after="0" w:line="279" w:lineRule="auto"/>
        <w:rPr>
          <w:sz w:val="20"/>
          <w:szCs w:val="20"/>
          <w:color w:val="auto"/>
        </w:rPr>
      </w:pPr>
      <w:r>
        <w:rPr>
          <w:rFonts w:ascii="Arial" w:cs="Arial" w:eastAsia="Arial" w:hAnsi="Arial"/>
          <w:sz w:val="17"/>
          <w:szCs w:val="17"/>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ind w:right="20" w:firstLine="619"/>
        <w:spacing w:after="0" w:line="259" w:lineRule="auto"/>
        <w:rPr>
          <w:sz w:val="20"/>
          <w:szCs w:val="20"/>
          <w:color w:val="auto"/>
        </w:rPr>
      </w:pPr>
      <w:r>
        <w:rPr>
          <w:rFonts w:ascii="Arial" w:cs="Arial" w:eastAsia="Arial" w:hAnsi="Arial"/>
          <w:sz w:val="17"/>
          <w:szCs w:val="17"/>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Collaboration Partners</w:t>
      </w:r>
    </w:p>
    <w:p>
      <w:pPr>
        <w:spacing w:after="0" w:line="326"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b w:val="1"/>
          <w:bCs w:val="1"/>
          <w:i w:val="1"/>
          <w:iCs w:val="1"/>
          <w:color w:val="auto"/>
        </w:rPr>
        <w:t>We are highly dependent on our collaboration partner to initiate, properly conduct and prioritize clinical trials for rezpegaldesleukin and to perform important additional development and commercialization activities, and our business will be significantly harmed if they deprioritize or discontinue clinical trials or otherwise harm the prospects of our drug candidates.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rely on Lilly (through the Lilly Agreement) to initiate, properly conduct, and prioritize clinical trials and other development-related activities for</w:t>
      </w:r>
    </w:p>
    <w:p>
      <w:pPr>
        <w:spacing w:after="0" w:line="61" w:lineRule="exact"/>
        <w:rPr>
          <w:sz w:val="20"/>
          <w:szCs w:val="20"/>
          <w:color w:val="auto"/>
        </w:rPr>
      </w:pPr>
    </w:p>
    <w:p>
      <w:pPr>
        <w:ind w:right="520"/>
        <w:spacing w:after="0" w:line="313" w:lineRule="auto"/>
        <w:rPr>
          <w:sz w:val="20"/>
          <w:szCs w:val="20"/>
          <w:color w:val="auto"/>
        </w:rPr>
      </w:pPr>
      <w:r>
        <w:rPr>
          <w:rFonts w:ascii="Arial" w:cs="Arial" w:eastAsia="Arial" w:hAnsi="Arial"/>
          <w:sz w:val="15"/>
          <w:szCs w:val="15"/>
          <w:color w:val="auto"/>
        </w:rPr>
        <w:t>rezpegaldesleukin. Furthermore, we will rely on Lilly to perform specified commercialization activities for rezpegaldesleukin, pursuant to our collaboration agreement. In the event Lilly fails to initiate, properly conduct and prioritize their obligations under their applicable agreement with us, our business will be</w:t>
      </w:r>
    </w:p>
    <w:p>
      <w:pPr>
        <w:spacing w:after="0" w:line="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significantly harmed. Even if our agreement with Lilly provides us with enforcement or other curative rights to address the harm caused by Lilly’s action (or failure to act), our efforts in pursuing a remedy would be costly and time-consuming, and there is no guarantee that these efforts would succeed or be sufficient to fully address the harm.</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Capital Requirement</w:t>
      </w:r>
    </w:p>
    <w:p>
      <w:pPr>
        <w:spacing w:after="0" w:line="352"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b w:val="1"/>
          <w:bCs w:val="1"/>
          <w:i w:val="1"/>
          <w:iCs w:val="1"/>
          <w:color w:val="auto"/>
        </w:rPr>
        <w:t>Our 2022 strategic reorganization plan and cost restructuring plan may not be successful and we may undertake additional restructuring activities in the future.</w:t>
      </w:r>
    </w:p>
    <w:p>
      <w:pPr>
        <w:spacing w:after="0" w:line="190" w:lineRule="exact"/>
        <w:rPr>
          <w:sz w:val="20"/>
          <w:szCs w:val="20"/>
          <w:color w:val="auto"/>
        </w:rPr>
      </w:pPr>
    </w:p>
    <w:p>
      <w:pPr>
        <w:ind w:firstLine="619"/>
        <w:spacing w:after="0" w:line="288" w:lineRule="auto"/>
        <w:rPr>
          <w:sz w:val="20"/>
          <w:szCs w:val="20"/>
          <w:color w:val="auto"/>
        </w:rPr>
      </w:pPr>
      <w:r>
        <w:rPr>
          <w:rFonts w:ascii="Arial" w:cs="Arial" w:eastAsia="Arial" w:hAnsi="Arial"/>
          <w:sz w:val="15"/>
          <w:szCs w:val="15"/>
          <w:color w:val="auto"/>
        </w:rPr>
        <w:t>On April 25, 2022, we announced our strategic reorganization and cost restructuring plans (together, the 2022 Restructuring Plan) to prioritize key research and development efforts that will impact the Company’s future business activities, including activities involving rezpegaldesleukin, NKTR-255 and several core research programs. In connection with the 2022 Restructuring Plan, we also announced cost restructuring measures aimed at ensuring we will have significant capital to fund key programs over a multi-year time horizon. There is no guarantee that the 2022 Restructuring Plan will achieve its intended benefits or that our post-restructuring focus will be sufficient for us to achieve success. In addition, in view of the outcome of the Phase 2 Lupus Study and Lilly’s decision not to initiate Phase 3 clinical testing of rezpegaldesleukin in SLE, we may undertake additional restructuring and cost-saving activities in 2023 to further prioritize our key research and development efforts. There is no guarantee these new efforts will be successful and may further harm our business. For example, our cost restructuring efforts may not result in the anticipated savings or other economic benefits, may prioritize the wrong drug candidates or wrong indications to study for those drug candidates, or could result in total costs and expenses that are greater than expected, which would require us to seek potentially dilutive financing alternatives, disrupt or restrain the scope of our business activities, and would make it more difficult to attract and retain qualified personnel, each of which could</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have a material adverse effect on our business, financial condition and prospects</w:t>
      </w:r>
      <w:r>
        <w:rPr>
          <w:rFonts w:ascii="Arial" w:cs="Arial" w:eastAsia="Arial" w:hAnsi="Arial"/>
          <w:sz w:val="20"/>
          <w:szCs w:val="20"/>
          <w:color w:val="008080"/>
        </w:rPr>
        <w:t>.</w:t>
      </w:r>
    </w:p>
    <w:p>
      <w:pPr>
        <w:spacing w:after="0" w:line="172" w:lineRule="exact"/>
        <w:rPr>
          <w:sz w:val="20"/>
          <w:szCs w:val="20"/>
          <w:color w:val="auto"/>
        </w:rPr>
      </w:pPr>
    </w:p>
    <w:p>
      <w:pPr>
        <w:ind w:left="320" w:right="420"/>
        <w:spacing w:after="0" w:line="279" w:lineRule="auto"/>
        <w:rPr>
          <w:sz w:val="20"/>
          <w:szCs w:val="20"/>
          <w:color w:val="auto"/>
        </w:rPr>
      </w:pPr>
      <w:r>
        <w:rPr>
          <w:rFonts w:ascii="Arial" w:cs="Arial" w:eastAsia="Arial" w:hAnsi="Arial"/>
          <w:sz w:val="17"/>
          <w:szCs w:val="17"/>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Under our collaboration agreements with various pharmaceutical or biotechnology companies, our collaboration partner is generally solely responsible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103" w:lineRule="exact"/>
        <w:rPr>
          <w:sz w:val="20"/>
          <w:szCs w:val="20"/>
          <w:color w:val="auto"/>
        </w:rPr>
      </w:pPr>
    </w:p>
    <w:p>
      <w:pPr>
        <w:ind w:left="1240" w:hanging="618"/>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designing and conducting large scale clinical studies;</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preparing and filing documents necessary to obtain government approvals to sell a given drug candidate; and/or</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marketing and selling the drugs when and if they are approved.</w:t>
      </w:r>
    </w:p>
    <w:p>
      <w:pPr>
        <w:spacing w:after="0" w:line="200" w:lineRule="exact"/>
        <w:rPr>
          <w:sz w:val="20"/>
          <w:szCs w:val="20"/>
          <w:color w:val="auto"/>
        </w:rPr>
      </w:pPr>
    </w:p>
    <w:p>
      <w:pPr>
        <w:spacing w:after="0" w:line="223" w:lineRule="exact"/>
        <w:rPr>
          <w:sz w:val="20"/>
          <w:szCs w:val="20"/>
          <w:color w:val="auto"/>
        </w:rPr>
      </w:pPr>
    </w:p>
    <w:p>
      <w:pPr>
        <w:ind w:left="1240" w:right="20" w:hanging="618"/>
        <w:spacing w:after="0" w:line="279" w:lineRule="auto"/>
        <w:tabs>
          <w:tab w:leader="none" w:pos="12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very little control over the timing and level of resources that our collaboration partners dedicate to commercial marketing efforts such as the amount of investment in sales and marketing personnel, general</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3" w:name="page24"/>
    <w:bookmarkEnd w:id="23"/>
    <w:p>
      <w:pPr>
        <w:jc w:val="both"/>
        <w:ind w:left="1240" w:right="140"/>
        <w:spacing w:after="0" w:line="266" w:lineRule="auto"/>
        <w:rPr>
          <w:sz w:val="20"/>
          <w:szCs w:val="20"/>
          <w:color w:val="auto"/>
        </w:rPr>
      </w:pPr>
      <w:r>
        <w:rPr>
          <w:rFonts w:ascii="Arial" w:cs="Arial" w:eastAsia="Arial" w:hAnsi="Arial"/>
          <w:sz w:val="17"/>
          <w:szCs w:val="17"/>
          <w:color w:val="auto"/>
        </w:rPr>
        <w:t>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72" w:lineRule="exact"/>
        <w:rPr>
          <w:sz w:val="20"/>
          <w:szCs w:val="20"/>
          <w:color w:val="auto"/>
        </w:rPr>
      </w:pPr>
    </w:p>
    <w:p>
      <w:pPr>
        <w:ind w:left="1240" w:hanging="618"/>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collaboration partners with commercial rights may choose to devote fewer resources to the development or marketing of our partnered drugs than they devote to their own drugs or other drugs that they have in-licensed;</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have very little control over the timing and amount of resources our partners devote to development programs in one or more major markets;</w:t>
      </w:r>
    </w:p>
    <w:p>
      <w:pPr>
        <w:spacing w:after="0" w:line="136" w:lineRule="exact"/>
        <w:rPr>
          <w:rFonts w:ascii="Arial" w:cs="Arial" w:eastAsia="Arial" w:hAnsi="Arial"/>
          <w:sz w:val="15"/>
          <w:szCs w:val="15"/>
          <w:color w:val="auto"/>
        </w:rPr>
      </w:pPr>
    </w:p>
    <w:p>
      <w:pPr>
        <w:ind w:left="1240" w:right="160" w:hanging="618"/>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disagreements with partners could lead to delays in, or termination of, the research, development or commercialization of drug candidates or to litigation or arbitration proceedings;</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disputes may arise or escalate in the future with respect to the ownership of rights to technology or intellectual property developed with partners;</w:t>
      </w:r>
    </w:p>
    <w:p>
      <w:pPr>
        <w:spacing w:after="0" w:line="136" w:lineRule="exact"/>
        <w:rPr>
          <w:rFonts w:ascii="Arial" w:cs="Arial" w:eastAsia="Arial" w:hAnsi="Arial"/>
          <w:sz w:val="15"/>
          <w:szCs w:val="15"/>
          <w:color w:val="auto"/>
        </w:rPr>
      </w:pPr>
    </w:p>
    <w:p>
      <w:pPr>
        <w:ind w:left="1240" w:right="380" w:hanging="618"/>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do not have the ability to unilaterally terminate agreements (or partners may have extension or renewal rights) that we believe are not on commercially reasonable terms or consistent with our current business strategy;</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partners may be unable to pay us as expected;</w:t>
      </w:r>
    </w:p>
    <w:p>
      <w:pPr>
        <w:spacing w:after="0" w:line="113" w:lineRule="exact"/>
        <w:rPr>
          <w:rFonts w:ascii="Arial" w:cs="Arial" w:eastAsia="Arial" w:hAnsi="Arial"/>
          <w:sz w:val="17"/>
          <w:szCs w:val="17"/>
          <w:color w:val="auto"/>
        </w:rPr>
      </w:pPr>
    </w:p>
    <w:p>
      <w:pPr>
        <w:ind w:left="1240" w:right="240" w:hanging="618"/>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partners may terminate their agreements with us unilaterally for any or no reason, in some cases with the payment of a termination fee penalty and in other cases with no termination fee penalty; and</w:t>
      </w:r>
    </w:p>
    <w:p>
      <w:pPr>
        <w:spacing w:after="0" w:line="61" w:lineRule="exact"/>
        <w:rPr>
          <w:rFonts w:ascii="Arial" w:cs="Arial" w:eastAsia="Arial" w:hAnsi="Arial"/>
          <w:sz w:val="17"/>
          <w:szCs w:val="17"/>
          <w:color w:val="auto"/>
        </w:rPr>
      </w:pPr>
    </w:p>
    <w:p>
      <w:pPr>
        <w:ind w:left="1240" w:right="340" w:hanging="618"/>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partners may respond to natural disasters or health epidemics, such as the COVID-19 pandemic, by ceasing all or some of their development responsibilities (including the responsibility to clinical develop our drug candidates).</w:t>
      </w:r>
    </w:p>
    <w:p>
      <w:pPr>
        <w:spacing w:after="0" w:line="61"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Given these risks, the success of our current and future collaboration partnerships is highly unpredictable and can have a substantial negative impact on our business. If the approved drugs fail to achieve commercial success or the drugs in development fail to have positive late stage clinical outcomes sufficient to support regulatory approval in major markets, it could significantly impair our access to capital necessary to fund our research and development efforts for our drug candidates. If we are unable to obtain sufficient capital resources to advance our drug candidate pipeline, it would negatively impact the value of our business, results of operations and financial condition.</w:t>
      </w:r>
    </w:p>
    <w:p>
      <w:pPr>
        <w:spacing w:after="0" w:line="131" w:lineRule="exact"/>
        <w:rPr>
          <w:sz w:val="20"/>
          <w:szCs w:val="20"/>
          <w:color w:val="auto"/>
        </w:rPr>
      </w:pPr>
    </w:p>
    <w:p>
      <w:pPr>
        <w:ind w:left="320" w:right="160"/>
        <w:spacing w:after="0" w:line="262" w:lineRule="auto"/>
        <w:rPr>
          <w:sz w:val="20"/>
          <w:szCs w:val="20"/>
          <w:color w:val="auto"/>
        </w:rPr>
      </w:pPr>
      <w:r>
        <w:rPr>
          <w:rFonts w:ascii="Arial" w:cs="Arial" w:eastAsia="Arial" w:hAnsi="Arial"/>
          <w:sz w:val="17"/>
          <w:szCs w:val="17"/>
          <w:b w:val="1"/>
          <w:bCs w:val="1"/>
          <w:i w:val="1"/>
          <w:iCs w:val="1"/>
          <w:color w:val="auto"/>
        </w:rPr>
        <w:t>We have substantial future capital requirements and there is a risk that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spacing w:after="0" w:line="126"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As of December 31, 2022, we had cash and investments in marketable securities valued at approximately $505.0 million. While we believe that our cash position will be sufficient to meet our liquidity requirements through at least the next 12 months, our future capital requirements will depend upon numerous unpredictable factors, including:</w:t>
      </w:r>
    </w:p>
    <w:p>
      <w:pPr>
        <w:spacing w:after="0" w:line="72" w:lineRule="exact"/>
        <w:rPr>
          <w:sz w:val="20"/>
          <w:szCs w:val="20"/>
          <w:color w:val="auto"/>
        </w:rPr>
      </w:pPr>
    </w:p>
    <w:p>
      <w:pPr>
        <w:ind w:left="1240" w:hanging="618"/>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timing and outcomes of clinical studies and regulatory reviews of our drug candidates, particularly rezpegaldesleukin;</w:t>
      </w:r>
    </w:p>
    <w:p>
      <w:pPr>
        <w:spacing w:after="0" w:line="113" w:lineRule="exact"/>
        <w:rPr>
          <w:rFonts w:ascii="Arial" w:cs="Arial" w:eastAsia="Arial" w:hAnsi="Arial"/>
          <w:sz w:val="17"/>
          <w:szCs w:val="17"/>
          <w:color w:val="auto"/>
        </w:rPr>
      </w:pPr>
    </w:p>
    <w:p>
      <w:pPr>
        <w:ind w:left="1240" w:right="540" w:hanging="618"/>
        <w:spacing w:after="0" w:line="27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and when we receive potential milestone payments and royalties from our existing collaborations if the drug candidates subject to those collaborations achieve clinical, regulatory or commercial success;</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progress, timing, cost and results of our clinical development programs;</w:t>
      </w:r>
    </w:p>
    <w:p>
      <w:pPr>
        <w:spacing w:after="0" w:line="113" w:lineRule="exact"/>
        <w:rPr>
          <w:rFonts w:ascii="Arial" w:cs="Arial" w:eastAsia="Arial" w:hAnsi="Arial"/>
          <w:sz w:val="17"/>
          <w:szCs w:val="17"/>
          <w:color w:val="auto"/>
        </w:rPr>
      </w:pPr>
    </w:p>
    <w:p>
      <w:pPr>
        <w:ind w:left="1240" w:right="220" w:hanging="618"/>
        <w:spacing w:after="0" w:line="349" w:lineRule="auto"/>
        <w:tabs>
          <w:tab w:leader="none" w:pos="12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14" w:lineRule="exact"/>
        <w:rPr>
          <w:rFonts w:ascii="Arial" w:cs="Arial" w:eastAsia="Arial" w:hAnsi="Arial"/>
          <w:sz w:val="15"/>
          <w:szCs w:val="15"/>
          <w:color w:val="auto"/>
        </w:rPr>
      </w:pPr>
    </w:p>
    <w:p>
      <w:pPr>
        <w:ind w:left="1240" w:right="480" w:hanging="618"/>
        <w:spacing w:after="0" w:line="27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general and administrative expenses, capital expenditures and other uses of cash;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4" w:name="page25"/>
    <w:bookmarkEnd w:id="24"/>
    <w:p>
      <w:pPr>
        <w:jc w:val="both"/>
        <w:ind w:left="1240" w:right="340" w:hanging="618"/>
        <w:spacing w:after="0" w:line="349" w:lineRule="auto"/>
        <w:tabs>
          <w:tab w:leader="none" w:pos="12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14"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118" w:lineRule="exact"/>
        <w:rPr>
          <w:sz w:val="20"/>
          <w:szCs w:val="20"/>
          <w:color w:val="auto"/>
        </w:rPr>
      </w:pPr>
    </w:p>
    <w:p>
      <w:pPr>
        <w:ind w:left="320" w:right="460"/>
        <w:spacing w:after="0" w:line="312" w:lineRule="auto"/>
        <w:rPr>
          <w:sz w:val="20"/>
          <w:szCs w:val="20"/>
          <w:color w:val="auto"/>
        </w:rPr>
      </w:pPr>
      <w:r>
        <w:rPr>
          <w:rFonts w:ascii="Arial" w:cs="Arial" w:eastAsia="Arial" w:hAnsi="Arial"/>
          <w:sz w:val="16"/>
          <w:szCs w:val="16"/>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89"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25" w:lineRule="exact"/>
        <w:rPr>
          <w:sz w:val="20"/>
          <w:szCs w:val="20"/>
          <w:color w:val="auto"/>
        </w:rPr>
      </w:pPr>
    </w:p>
    <w:p>
      <w:pPr>
        <w:ind w:left="320"/>
        <w:spacing w:after="0" w:line="312" w:lineRule="auto"/>
        <w:rPr>
          <w:sz w:val="20"/>
          <w:szCs w:val="20"/>
          <w:color w:val="auto"/>
        </w:rPr>
      </w:pPr>
      <w:r>
        <w:rPr>
          <w:rFonts w:ascii="Arial" w:cs="Arial" w:eastAsia="Arial" w:hAnsi="Arial"/>
          <w:sz w:val="16"/>
          <w:szCs w:val="16"/>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308" w:lineRule="exact"/>
        <w:rPr>
          <w:sz w:val="20"/>
          <w:szCs w:val="20"/>
          <w:color w:val="auto"/>
        </w:rPr>
      </w:pPr>
    </w:p>
    <w:p>
      <w:pPr>
        <w:ind w:firstLine="619"/>
        <w:spacing w:after="0" w:line="275" w:lineRule="auto"/>
        <w:rPr>
          <w:sz w:val="20"/>
          <w:szCs w:val="20"/>
          <w:color w:val="auto"/>
        </w:rPr>
      </w:pPr>
      <w:r>
        <w:rPr>
          <w:rFonts w:ascii="Arial" w:cs="Arial" w:eastAsia="Arial" w:hAnsi="Arial"/>
          <w:sz w:val="15"/>
          <w:szCs w:val="15"/>
          <w:color w:val="auto"/>
        </w:rPr>
        <w:t>In the United States and markets in other countries, patients generally rely on third-party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in the U.S., managed care providers, private health insurers and other organizations. However, eligibility for coverage does not necessarily signify that a biologic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w:t>
      </w:r>
    </w:p>
    <w:p>
      <w:pPr>
        <w:spacing w:after="0" w:line="69" w:lineRule="exact"/>
        <w:rPr>
          <w:sz w:val="20"/>
          <w:szCs w:val="20"/>
          <w:color w:val="auto"/>
        </w:rPr>
      </w:pPr>
    </w:p>
    <w:p>
      <w:pPr>
        <w:jc w:val="both"/>
        <w:ind w:right="80" w:firstLine="619"/>
        <w:spacing w:after="0" w:line="259" w:lineRule="auto"/>
        <w:rPr>
          <w:sz w:val="20"/>
          <w:szCs w:val="20"/>
          <w:color w:val="auto"/>
        </w:rPr>
      </w:pPr>
      <w:r>
        <w:rPr>
          <w:rFonts w:ascii="Arial" w:cs="Arial" w:eastAsia="Arial" w:hAnsi="Arial"/>
          <w:sz w:val="17"/>
          <w:szCs w:val="17"/>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80"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5" w:name="page26"/>
    <w:bookmarkEnd w:id="25"/>
    <w:p>
      <w:pPr>
        <w:ind w:right="60" w:firstLine="619"/>
        <w:spacing w:after="0" w:line="312" w:lineRule="auto"/>
        <w:rPr>
          <w:sz w:val="20"/>
          <w:szCs w:val="20"/>
          <w:color w:val="auto"/>
        </w:rPr>
      </w:pPr>
      <w:r>
        <w:rPr>
          <w:rFonts w:ascii="Arial" w:cs="Arial" w:eastAsia="Arial" w:hAnsi="Arial"/>
          <w:sz w:val="16"/>
          <w:szCs w:val="16"/>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3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Increasingly, third-party payers are requiring that drug companies provide them with predetermined discounts from list prices and are challenging the prices charged for medical products. We cannot be sure that reimbursement will be available for any of our drug product candidates that are commercialized and, if reimbursement is available, the level of reimbursement.</w:t>
      </w:r>
    </w:p>
    <w:p>
      <w:pPr>
        <w:spacing w:after="0" w:line="72"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72"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67"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109" w:lineRule="exact"/>
        <w:rPr>
          <w:sz w:val="20"/>
          <w:szCs w:val="20"/>
          <w:color w:val="auto"/>
        </w:rPr>
      </w:pPr>
    </w:p>
    <w:p>
      <w:pPr>
        <w:ind w:left="320" w:right="260"/>
        <w:spacing w:after="0" w:line="279" w:lineRule="auto"/>
        <w:rPr>
          <w:sz w:val="20"/>
          <w:szCs w:val="20"/>
          <w:color w:val="auto"/>
        </w:rPr>
      </w:pPr>
      <w:r>
        <w:rPr>
          <w:rFonts w:ascii="Arial" w:cs="Arial" w:eastAsia="Arial" w:hAnsi="Arial"/>
          <w:sz w:val="17"/>
          <w:szCs w:val="17"/>
          <w:b w:val="1"/>
          <w:bCs w:val="1"/>
          <w:i w:val="1"/>
          <w:iCs w:val="1"/>
          <w:color w:val="auto"/>
        </w:rPr>
        <w:t>If we are unable to establish and maintain collaboration partnerships on attractive commercial terms, our business, results of operations and financial condition could suffer.</w:t>
      </w:r>
    </w:p>
    <w:p>
      <w:pPr>
        <w:spacing w:after="0" w:line="113" w:lineRule="exact"/>
        <w:rPr>
          <w:sz w:val="20"/>
          <w:szCs w:val="20"/>
          <w:color w:val="auto"/>
        </w:rPr>
      </w:pPr>
    </w:p>
    <w:p>
      <w:pPr>
        <w:ind w:right="40" w:firstLine="619"/>
        <w:spacing w:after="0" w:line="299" w:lineRule="auto"/>
        <w:rPr>
          <w:sz w:val="20"/>
          <w:szCs w:val="20"/>
          <w:color w:val="auto"/>
        </w:rPr>
      </w:pPr>
      <w:r>
        <w:rPr>
          <w:rFonts w:ascii="Arial" w:cs="Arial" w:eastAsia="Arial" w:hAnsi="Arial"/>
          <w:sz w:val="15"/>
          <w:szCs w:val="15"/>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biologic candidates or the licensing of our intellectual property, or if any arrangements we negotiate, or have negotiated, are terminated, it could have a material adverse effect on our business, financial condition and results of operations.</w:t>
      </w:r>
    </w:p>
    <w:p>
      <w:pPr>
        <w:spacing w:after="0" w:line="103" w:lineRule="exact"/>
        <w:rPr>
          <w:sz w:val="20"/>
          <w:szCs w:val="20"/>
          <w:color w:val="auto"/>
        </w:rPr>
      </w:pPr>
    </w:p>
    <w:p>
      <w:pPr>
        <w:ind w:left="320" w:right="220"/>
        <w:spacing w:after="0" w:line="279" w:lineRule="auto"/>
        <w:rPr>
          <w:sz w:val="20"/>
          <w:szCs w:val="20"/>
          <w:color w:val="auto"/>
        </w:rPr>
      </w:pPr>
      <w:r>
        <w:rPr>
          <w:rFonts w:ascii="Arial" w:cs="Arial" w:eastAsia="Arial" w:hAnsi="Arial"/>
          <w:sz w:val="17"/>
          <w:szCs w:val="17"/>
          <w:b w:val="1"/>
          <w:bCs w:val="1"/>
          <w:i w:val="1"/>
          <w:iCs w:val="1"/>
          <w:color w:val="auto"/>
        </w:rPr>
        <w:t>Our revenue is exclusively derived from our collaboration agreements, which can result in significant fluctuation in our revenue from period to period, and our past revenue is therefore not necessarily indicative of our future revenue.</w:t>
      </w:r>
    </w:p>
    <w:p>
      <w:pPr>
        <w:spacing w:after="0" w:line="113" w:lineRule="exact"/>
        <w:rPr>
          <w:sz w:val="20"/>
          <w:szCs w:val="20"/>
          <w:color w:val="auto"/>
        </w:rPr>
      </w:pPr>
    </w:p>
    <w:p>
      <w:pPr>
        <w:ind w:right="40" w:firstLine="619"/>
        <w:spacing w:after="0" w:line="274" w:lineRule="auto"/>
        <w:rPr>
          <w:sz w:val="20"/>
          <w:szCs w:val="20"/>
          <w:color w:val="auto"/>
        </w:rPr>
      </w:pPr>
      <w:r>
        <w:rPr>
          <w:rFonts w:ascii="Arial" w:cs="Arial" w:eastAsia="Arial" w:hAnsi="Arial"/>
          <w:sz w:val="16"/>
          <w:szCs w:val="16"/>
          <w:color w:val="auto"/>
        </w:rPr>
        <w:t>Our revenue is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5" w:right="359" w:bottom="1440" w:gutter="0" w:footer="0" w:header="0"/>
        </w:sectPr>
      </w:pPr>
    </w:p>
    <w:bookmarkStart w:id="26" w:name="page27"/>
    <w:bookmarkEnd w:id="26"/>
    <w:p>
      <w:pPr>
        <w:ind w:right="300"/>
        <w:spacing w:after="0" w:line="279" w:lineRule="auto"/>
        <w:rPr>
          <w:sz w:val="20"/>
          <w:szCs w:val="20"/>
          <w:color w:val="auto"/>
        </w:rPr>
      </w:pPr>
      <w:r>
        <w:rPr>
          <w:rFonts w:ascii="Arial" w:cs="Arial" w:eastAsia="Arial" w:hAnsi="Arial"/>
          <w:sz w:val="17"/>
          <w:szCs w:val="17"/>
          <w:color w:val="auto"/>
        </w:rPr>
        <w:t>manufacture or ultimately commercialize any biologic candidate under our collaboration agreement, our business, financial condition, and results of operations could be materially and adversely affected.</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expect to continue to incur substantial losses and negative cash flow from operations and may not achieve or sustain profitability in the future.</w:t>
      </w:r>
    </w:p>
    <w:p>
      <w:pPr>
        <w:spacing w:after="0" w:line="188"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For the year ended December 31, 2022, we reported a net loss of $368.2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biologic candidates and the regulatory approval and market success of our biologic candidates. We may not be able to achieve and sustain profitability.</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factors that will affect whether we achieve and sustain profitability include our ability, alone or together with our partners, to:</w:t>
      </w:r>
    </w:p>
    <w:p>
      <w:pPr>
        <w:spacing w:after="0" w:line="114" w:lineRule="exact"/>
        <w:rPr>
          <w:sz w:val="20"/>
          <w:szCs w:val="20"/>
          <w:color w:val="auto"/>
        </w:rPr>
      </w:pPr>
    </w:p>
    <w:p>
      <w:pPr>
        <w:ind w:left="1080" w:hanging="458"/>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 drugs utilizing our technologies, either independently or in collaboration with other pharmaceutical or biotechnology companies;</w:t>
      </w:r>
    </w:p>
    <w:p>
      <w:pPr>
        <w:spacing w:after="0" w:line="125" w:lineRule="exact"/>
        <w:rPr>
          <w:rFonts w:ascii="Arial" w:cs="Arial" w:eastAsia="Arial" w:hAnsi="Arial"/>
          <w:sz w:val="16"/>
          <w:szCs w:val="16"/>
          <w:color w:val="auto"/>
        </w:rPr>
      </w:pPr>
    </w:p>
    <w:p>
      <w:pPr>
        <w:ind w:left="1080" w:hanging="458"/>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effectively estimate and manage clinical development costs, particularly the cost of the clinical studies for rezpegaldesleukin and NKTR-255;</w:t>
      </w:r>
    </w:p>
    <w:p>
      <w:pPr>
        <w:spacing w:after="0" w:line="125" w:lineRule="exact"/>
        <w:rPr>
          <w:rFonts w:ascii="Arial" w:cs="Arial" w:eastAsia="Arial" w:hAnsi="Arial"/>
          <w:sz w:val="16"/>
          <w:szCs w:val="16"/>
          <w:color w:val="auto"/>
        </w:rPr>
      </w:pPr>
    </w:p>
    <w:p>
      <w:pPr>
        <w:ind w:left="1080" w:hanging="45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receive necessary regulatory and marketing approvals;</w:t>
      </w:r>
    </w:p>
    <w:p>
      <w:pPr>
        <w:spacing w:after="0" w:line="113" w:lineRule="exact"/>
        <w:rPr>
          <w:rFonts w:ascii="Arial" w:cs="Arial" w:eastAsia="Arial" w:hAnsi="Arial"/>
          <w:sz w:val="17"/>
          <w:szCs w:val="17"/>
          <w:color w:val="auto"/>
        </w:rPr>
      </w:pPr>
    </w:p>
    <w:p>
      <w:pPr>
        <w:ind w:left="1080" w:hanging="45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 or expand manufacturing at necessary levels;</w:t>
      </w:r>
    </w:p>
    <w:p>
      <w:pPr>
        <w:spacing w:after="0" w:line="113" w:lineRule="exact"/>
        <w:rPr>
          <w:rFonts w:ascii="Arial" w:cs="Arial" w:eastAsia="Arial" w:hAnsi="Arial"/>
          <w:sz w:val="17"/>
          <w:szCs w:val="17"/>
          <w:color w:val="auto"/>
        </w:rPr>
      </w:pPr>
    </w:p>
    <w:p>
      <w:pPr>
        <w:ind w:left="1080" w:hanging="45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achieve market acceptance of our partnered products;</w:t>
      </w:r>
    </w:p>
    <w:p>
      <w:pPr>
        <w:spacing w:after="0" w:line="113" w:lineRule="exact"/>
        <w:rPr>
          <w:rFonts w:ascii="Arial" w:cs="Arial" w:eastAsia="Arial" w:hAnsi="Arial"/>
          <w:sz w:val="17"/>
          <w:szCs w:val="17"/>
          <w:color w:val="auto"/>
        </w:rPr>
      </w:pPr>
    </w:p>
    <w:p>
      <w:pPr>
        <w:ind w:left="1080" w:hanging="458"/>
        <w:spacing w:after="0"/>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receive revenue or royalties on products that have been approved, marketed or submitted for marketing approval with regulatory authorities; and</w:t>
      </w:r>
    </w:p>
    <w:p>
      <w:pPr>
        <w:spacing w:after="0" w:line="136" w:lineRule="exact"/>
        <w:rPr>
          <w:rFonts w:ascii="Arial" w:cs="Arial" w:eastAsia="Arial" w:hAnsi="Arial"/>
          <w:sz w:val="15"/>
          <w:szCs w:val="15"/>
          <w:color w:val="auto"/>
        </w:rPr>
      </w:pPr>
    </w:p>
    <w:p>
      <w:pPr>
        <w:ind w:left="1080" w:hanging="458"/>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 sufficient funds to finance our activities.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Supply and Manufacturing</w:t>
      </w:r>
    </w:p>
    <w:p>
      <w:pPr>
        <w:spacing w:after="0" w:line="159" w:lineRule="exact"/>
        <w:rPr>
          <w:sz w:val="20"/>
          <w:szCs w:val="20"/>
          <w:color w:val="auto"/>
        </w:rPr>
      </w:pPr>
    </w:p>
    <w:p>
      <w:pPr>
        <w:jc w:val="both"/>
        <w:ind w:left="320" w:right="340"/>
        <w:spacing w:after="0" w:line="266" w:lineRule="auto"/>
        <w:rPr>
          <w:sz w:val="20"/>
          <w:szCs w:val="20"/>
          <w:color w:val="auto"/>
        </w:rPr>
      </w:pPr>
      <w:r>
        <w:rPr>
          <w:rFonts w:ascii="Arial" w:cs="Arial" w:eastAsia="Arial" w:hAnsi="Arial"/>
          <w:sz w:val="17"/>
          <w:szCs w:val="17"/>
          <w:b w:val="1"/>
          <w:bCs w:val="1"/>
          <w:i w:val="1"/>
          <w:iCs w:val="1"/>
          <w:color w:val="auto"/>
        </w:rPr>
        <w:t>If we or our contract manufacturers are not able to manufacture biologic substance or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spacing w:after="0" w:line="124" w:lineRule="exact"/>
        <w:rPr>
          <w:sz w:val="20"/>
          <w:szCs w:val="20"/>
          <w:color w:val="auto"/>
        </w:rPr>
      </w:pPr>
    </w:p>
    <w:p>
      <w:pPr>
        <w:ind w:firstLine="619"/>
        <w:spacing w:after="0" w:line="292" w:lineRule="auto"/>
        <w:rPr>
          <w:sz w:val="20"/>
          <w:szCs w:val="20"/>
          <w:color w:val="auto"/>
        </w:rPr>
      </w:pPr>
      <w:r>
        <w:rPr>
          <w:rFonts w:ascii="Arial" w:cs="Arial" w:eastAsia="Arial" w:hAnsi="Arial"/>
          <w:sz w:val="15"/>
          <w:szCs w:val="15"/>
          <w:color w:val="auto"/>
        </w:rPr>
        <w:t>If we or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CMOs to manufacture and supply drug product for our clinical studies and those of our collaboration partners.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60"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biologic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7" w:name="page28"/>
    <w:bookmarkEnd w:id="27"/>
    <w:p>
      <w:pPr>
        <w:spacing w:after="0" w:line="275" w:lineRule="auto"/>
        <w:rPr>
          <w:sz w:val="20"/>
          <w:szCs w:val="20"/>
          <w:color w:val="auto"/>
        </w:rPr>
      </w:pPr>
      <w:r>
        <w:rPr>
          <w:rFonts w:ascii="Arial" w:cs="Arial" w:eastAsia="Arial" w:hAnsi="Arial"/>
          <w:sz w:val="16"/>
          <w:szCs w:val="16"/>
          <w:color w:val="auto"/>
        </w:rPr>
        <w:t>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biologic candidates or commercialize our products in a timely manner or within budget. Furthermore, a CMO may possess technology related to the manufacture of our biologic candidate that such CMO owns independently. This would increase our reliance on such a CMO or require us to obtain a license from such CMO in order to have another CMO manufacture our products or biologic candidates. In addition, in the case of the CMOs that supply our biologic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67" w:lineRule="exact"/>
        <w:rPr>
          <w:sz w:val="20"/>
          <w:szCs w:val="20"/>
          <w:color w:val="auto"/>
        </w:rPr>
      </w:pPr>
    </w:p>
    <w:p>
      <w:pPr>
        <w:ind w:right="160" w:firstLine="619"/>
        <w:spacing w:after="0" w:line="259" w:lineRule="auto"/>
        <w:rPr>
          <w:sz w:val="20"/>
          <w:szCs w:val="20"/>
          <w:color w:val="auto"/>
        </w:rPr>
      </w:pPr>
      <w:r>
        <w:rPr>
          <w:rFonts w:ascii="Arial" w:cs="Arial" w:eastAsia="Arial" w:hAnsi="Arial"/>
          <w:sz w:val="17"/>
          <w:szCs w:val="17"/>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spacing w:after="0" w:line="131" w:lineRule="exact"/>
        <w:rPr>
          <w:sz w:val="20"/>
          <w:szCs w:val="20"/>
          <w:color w:val="auto"/>
        </w:rPr>
      </w:pPr>
    </w:p>
    <w:p>
      <w:pPr>
        <w:ind w:left="320" w:right="20"/>
        <w:spacing w:after="0" w:line="391" w:lineRule="auto"/>
        <w:rPr>
          <w:sz w:val="20"/>
          <w:szCs w:val="20"/>
          <w:color w:val="auto"/>
        </w:rPr>
      </w:pPr>
      <w:r>
        <w:rPr>
          <w:rFonts w:ascii="Arial" w:cs="Arial" w:eastAsia="Arial" w:hAnsi="Arial"/>
          <w:sz w:val="14"/>
          <w:szCs w:val="14"/>
          <w:b w:val="1"/>
          <w:bCs w:val="1"/>
          <w:i w:val="1"/>
          <w:iCs w:val="1"/>
          <w:color w:val="auto"/>
        </w:rPr>
        <w:t>We purchase some of the starting material for biologics and biologic candidates from a single source or a limited number of suppliers, and the partial or complete loss of one of these suppliers could cause production delays, clinical trial delays, substantial loss of revenue and contract liability to third parties.</w:t>
      </w:r>
    </w:p>
    <w:p>
      <w:pPr>
        <w:spacing w:after="0" w:line="43" w:lineRule="exact"/>
        <w:rPr>
          <w:sz w:val="20"/>
          <w:szCs w:val="20"/>
          <w:color w:val="auto"/>
        </w:rPr>
      </w:pPr>
    </w:p>
    <w:p>
      <w:pPr>
        <w:ind w:right="80" w:firstLine="619"/>
        <w:spacing w:after="0" w:line="279" w:lineRule="auto"/>
        <w:rPr>
          <w:sz w:val="20"/>
          <w:szCs w:val="20"/>
          <w:color w:val="auto"/>
        </w:rPr>
      </w:pPr>
      <w:r>
        <w:rPr>
          <w:rFonts w:ascii="Arial" w:cs="Arial" w:eastAsia="Arial" w:hAnsi="Arial"/>
          <w:sz w:val="16"/>
          <w:szCs w:val="16"/>
          <w:color w:val="auto"/>
        </w:rPr>
        <w:t>We often face very limited supply of a critical raw material that can only be obtained from a single, or a limited number of, suppliers, which could cause production delays, clinical trial delays, substantial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diminution in quality of raw materials supplied to us or failure to procure such raw materials on commercially feasible terms could harm our business by delaying our clinical trials, impeding commercialization of approved drugs or increasing our costs.</w:t>
      </w:r>
    </w:p>
    <w:p>
      <w:pPr>
        <w:spacing w:after="0" w:line="117" w:lineRule="exact"/>
        <w:rPr>
          <w:sz w:val="20"/>
          <w:szCs w:val="20"/>
          <w:color w:val="auto"/>
        </w:rPr>
      </w:pPr>
    </w:p>
    <w:p>
      <w:pPr>
        <w:ind w:left="320"/>
        <w:spacing w:after="0" w:line="279" w:lineRule="auto"/>
        <w:rPr>
          <w:sz w:val="20"/>
          <w:szCs w:val="20"/>
          <w:color w:val="auto"/>
        </w:rPr>
      </w:pPr>
      <w:r>
        <w:rPr>
          <w:rFonts w:ascii="Arial" w:cs="Arial" w:eastAsia="Arial" w:hAnsi="Arial"/>
          <w:sz w:val="17"/>
          <w:szCs w:val="17"/>
          <w:b w:val="1"/>
          <w:bCs w:val="1"/>
          <w:i w:val="1"/>
          <w:iCs w:val="1"/>
          <w:color w:val="auto"/>
        </w:rPr>
        <w:t>Our manufacturing operations and those of our contract manufacturers are subject to laws and other governmental regulatory requirements, which, if not met, would have a material adverse effect on our business, results of operations and financial condition.</w:t>
      </w:r>
    </w:p>
    <w:p>
      <w:pPr>
        <w:spacing w:after="0" w:line="113"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We and 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our drug manufacturing facilities and the manufacturing facilities of our CMOs for compliance with applicable regulatory requirements. Any failure to follow and document our or our CMOs’ adherence to such cGMP and other laws and governmental regulations or satisfy other manufacturing and product release regulatory requirements may disrupt our ability to meet our manufacturing obligations to our customers,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us or our CMOs, pending resolution of regulatory deficiencies or suspensions could have a material adverse effect on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Business Operations</w:t>
      </w:r>
    </w:p>
    <w:p>
      <w:pPr>
        <w:spacing w:after="0" w:line="159" w:lineRule="exact"/>
        <w:rPr>
          <w:sz w:val="20"/>
          <w:szCs w:val="20"/>
          <w:color w:val="auto"/>
        </w:rPr>
      </w:pPr>
    </w:p>
    <w:p>
      <w:pPr>
        <w:ind w:left="320" w:right="240" w:firstLine="309"/>
        <w:spacing w:after="0" w:line="279" w:lineRule="auto"/>
        <w:rPr>
          <w:sz w:val="20"/>
          <w:szCs w:val="20"/>
          <w:color w:val="auto"/>
        </w:rPr>
      </w:pPr>
      <w:r>
        <w:rPr>
          <w:rFonts w:ascii="Arial" w:cs="Arial" w:eastAsia="Arial" w:hAnsi="Arial"/>
          <w:sz w:val="17"/>
          <w:szCs w:val="17"/>
          <w:b w:val="1"/>
          <w:bCs w:val="1"/>
          <w:i w:val="1"/>
          <w:iCs w:val="1"/>
          <w:color w:val="auto"/>
        </w:rPr>
        <w:t>We depend on third parties to conduct the clinical trials for our biologic candidates and any failure of those parties to fulfill their obligations could harm our development and commercialization plans.</w:t>
      </w:r>
    </w:p>
    <w:p>
      <w:pPr>
        <w:spacing w:after="0" w:line="113"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We depend on independent clinical investigators, contract research organizations and other third-party service providers to conduct clinical trials for our biologic candidates. We rely heavily on these parties for the successful execution of our clinical trials. Though we are ultimately responsible for the results of their activities, many aspects of their activities are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8" w:name="page29"/>
    <w:bookmarkEnd w:id="28"/>
    <w:p>
      <w:pPr>
        <w:ind w:right="100"/>
        <w:spacing w:after="0" w:line="299" w:lineRule="auto"/>
        <w:rPr>
          <w:sz w:val="20"/>
          <w:szCs w:val="20"/>
          <w:color w:val="auto"/>
        </w:rPr>
      </w:pPr>
      <w:r>
        <w:rPr>
          <w:rFonts w:ascii="Arial" w:cs="Arial" w:eastAsia="Arial" w:hAnsi="Arial"/>
          <w:sz w:val="15"/>
          <w:szCs w:val="15"/>
          <w:color w:val="auto"/>
        </w:rPr>
        <w:t>beyond our control.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biologic candidates to us in an untimely manner. Third parties may not complete activities on schedule or may not conduct our clinical trials in accordance with regulatory requirements or our stated protocols. The early termination of any of our clinical trial arrangements, the failure of third parties to comply with the regulations and requirements governing clinical trials or the failure of third parties to properly conduct our clinical trials could hinder or delay the development, approval and commercialization of our product candidates and would adversely affect our business, results of operations and financial condition.</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future depends on the proper management of our current and future business operations and their associated expenses.</w:t>
      </w:r>
    </w:p>
    <w:p>
      <w:pPr>
        <w:spacing w:after="0" w:line="165"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Our business strategy requires us to manage our business to provide for the continued development of our proprietary and partnered biologic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18" w:lineRule="exact"/>
        <w:rPr>
          <w:sz w:val="20"/>
          <w:szCs w:val="20"/>
          <w:color w:val="auto"/>
        </w:rPr>
      </w:pPr>
    </w:p>
    <w:p>
      <w:pPr>
        <w:ind w:left="320" w:right="340"/>
        <w:spacing w:after="0" w:line="279" w:lineRule="auto"/>
        <w:rPr>
          <w:sz w:val="20"/>
          <w:szCs w:val="20"/>
          <w:color w:val="auto"/>
        </w:rPr>
      </w:pPr>
      <w:r>
        <w:rPr>
          <w:rFonts w:ascii="Arial" w:cs="Arial" w:eastAsia="Arial" w:hAnsi="Arial"/>
          <w:sz w:val="17"/>
          <w:szCs w:val="17"/>
          <w:b w:val="1"/>
          <w:bCs w:val="1"/>
          <w:i w:val="1"/>
          <w:iCs w:val="1"/>
          <w:color w:val="auto"/>
        </w:rPr>
        <w:t>Because competition for highly qualified technical personnel is intense, we may not be able to attract and retain the personnel we need to support our operations and growth.</w:t>
      </w:r>
    </w:p>
    <w:p>
      <w:pPr>
        <w:spacing w:after="0" w:line="113" w:lineRule="exact"/>
        <w:rPr>
          <w:sz w:val="20"/>
          <w:szCs w:val="20"/>
          <w:color w:val="auto"/>
        </w:rPr>
      </w:pPr>
    </w:p>
    <w:p>
      <w:pPr>
        <w:ind w:right="40" w:firstLine="619"/>
        <w:spacing w:after="0" w:line="293" w:lineRule="auto"/>
        <w:rPr>
          <w:sz w:val="20"/>
          <w:szCs w:val="20"/>
          <w:color w:val="auto"/>
        </w:rPr>
      </w:pPr>
      <w:r>
        <w:rPr>
          <w:rFonts w:ascii="Arial" w:cs="Arial" w:eastAsia="Arial" w:hAnsi="Arial"/>
          <w:sz w:val="15"/>
          <w:szCs w:val="15"/>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Furthermore, as a result of our 2022 Restructuring Plan, our employees may experience distractions or decreases in employee morale and we may experience increased levels of employee attrition and turnover, which would adversely affect our business. If we fail to attract new personnel or to retain and motivate our current personnel, our business and future growth prospects could be severely harmed.</w:t>
      </w:r>
    </w:p>
    <w:p>
      <w:pPr>
        <w:spacing w:after="0" w:line="112" w:lineRule="exact"/>
        <w:rPr>
          <w:sz w:val="20"/>
          <w:szCs w:val="20"/>
          <w:color w:val="auto"/>
        </w:rPr>
      </w:pPr>
    </w:p>
    <w:p>
      <w:pPr>
        <w:ind w:left="320" w:right="120"/>
        <w:spacing w:after="0" w:line="279" w:lineRule="auto"/>
        <w:rPr>
          <w:sz w:val="20"/>
          <w:szCs w:val="20"/>
          <w:color w:val="auto"/>
        </w:rPr>
      </w:pPr>
      <w:r>
        <w:rPr>
          <w:rFonts w:ascii="Arial" w:cs="Arial" w:eastAsia="Arial" w:hAnsi="Arial"/>
          <w:sz w:val="17"/>
          <w:szCs w:val="17"/>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13"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Rising inflation rates have increased our operating costs and could negatively impact our operations.</w:t>
      </w:r>
    </w:p>
    <w:p>
      <w:pPr>
        <w:spacing w:after="0" w:line="230" w:lineRule="exact"/>
        <w:rPr>
          <w:sz w:val="20"/>
          <w:szCs w:val="20"/>
          <w:color w:val="auto"/>
        </w:rPr>
      </w:pPr>
    </w:p>
    <w:p>
      <w:pPr>
        <w:ind w:firstLine="619"/>
        <w:spacing w:after="0" w:line="244" w:lineRule="auto"/>
        <w:rPr>
          <w:sz w:val="20"/>
          <w:szCs w:val="20"/>
          <w:color w:val="auto"/>
        </w:rPr>
      </w:pPr>
      <w:r>
        <w:rPr>
          <w:rFonts w:ascii="Arial" w:cs="Arial" w:eastAsia="Arial" w:hAnsi="Arial"/>
          <w:sz w:val="17"/>
          <w:szCs w:val="17"/>
          <w:color w:val="auto"/>
        </w:rPr>
        <w:t>Inflation rates, particularly in the United States, have increased recently to levels not seen in decades. Increased inflation has resulted in increased operating costs. In addition, the United States Federal Reserve has raised, and is expected to continue to raise, interest rates in response to concerns about inflation. Increases in interest rates, especially if coupled with reduced government spending and volatility in financial markets, may further increase economic uncertainty and heighten these risks.</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business could be adversely affected by the effects of health epidemics, including the recent COVID-19 pandemic.</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29" w:name="page30"/>
    <w:bookmarkEnd w:id="29"/>
    <w:p>
      <w:pPr>
        <w:ind w:left="620"/>
        <w:spacing w:after="0"/>
        <w:rPr>
          <w:sz w:val="20"/>
          <w:szCs w:val="20"/>
          <w:color w:val="auto"/>
        </w:rPr>
      </w:pPr>
      <w:r>
        <w:rPr>
          <w:rFonts w:ascii="Arial" w:cs="Arial" w:eastAsia="Arial" w:hAnsi="Arial"/>
          <w:sz w:val="15"/>
          <w:szCs w:val="15"/>
          <w:color w:val="auto"/>
        </w:rPr>
        <w:t>Our business could be adversely affected, directly or indirectly, by health epidemics in regions where we have concentrations of clinical trial sites or other</w:t>
      </w:r>
    </w:p>
    <w:p>
      <w:pPr>
        <w:spacing w:after="0" w:line="6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business operations, including both our own manufacturing operations as well as the manufacturing operations of third parties upon whom we rely. To date, the ongoing COVID-19 pandemic has not had a significant, long-term impact on our business. However, any prolonged or worsening effects in the progression of the COVID-19 pandemic could cause a negative impact on our clinical trial timelines, operations, financial condition and prospects. Our clinical trials and those run by our collaborators or other third parties may be affected by delays in investigator recruitment, clinical site initiation, patient screening, or patient enrollment due to challenges associated with the COVID-19 pandemic. Supply chain disruptions or shortages in raw materials and equipment caused by the COVID-19 pandemic may affect our ability to manufacture our products and to supply drug candidates for clinical trials. Throughout the pandemic we have modified our policies to allow our employees to safely work, including remotely when possible, and we may experience unpredictability in our expenses, employee productivity and availability and employee work culture. The COVID-19 pandemic has had a broad impact on global financial markets and could reduce our ability to access capital, which could in the future negatively affect our liquidity. In addition, a recession or market correction resulting from a health epidemic, including the COVID-19 pandemic, could materially affect our business and the value of our common stock.</w:t>
      </w:r>
    </w:p>
    <w:p>
      <w:pPr>
        <w:spacing w:after="0" w:line="3" w:lineRule="exact"/>
        <w:rPr>
          <w:sz w:val="20"/>
          <w:szCs w:val="20"/>
          <w:color w:val="auto"/>
        </w:rPr>
      </w:pPr>
    </w:p>
    <w:p>
      <w:pPr>
        <w:ind w:right="80" w:firstLine="619"/>
        <w:spacing w:after="0" w:line="246" w:lineRule="auto"/>
        <w:rPr>
          <w:sz w:val="20"/>
          <w:szCs w:val="20"/>
          <w:color w:val="auto"/>
        </w:rPr>
      </w:pPr>
      <w:r>
        <w:rPr>
          <w:rFonts w:ascii="Arial" w:cs="Arial" w:eastAsia="Arial" w:hAnsi="Arial"/>
          <w:sz w:val="17"/>
          <w:szCs w:val="17"/>
          <w:color w:val="auto"/>
        </w:rPr>
        <w:t>We continue to actively monitor the ongoing COVID-19 pandemic and applicable government recommendations in light of new developments, including the recently announced intention to end the national emergency and public health emergency declarations in May 2023.</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 Litigation and Regulatory Concerns</w:t>
      </w:r>
    </w:p>
    <w:p>
      <w:pPr>
        <w:spacing w:after="0" w:line="159" w:lineRule="exact"/>
        <w:rPr>
          <w:sz w:val="20"/>
          <w:szCs w:val="20"/>
          <w:color w:val="auto"/>
        </w:rPr>
      </w:pPr>
    </w:p>
    <w:p>
      <w:pPr>
        <w:ind w:left="320" w:right="440"/>
        <w:spacing w:after="0" w:line="349" w:lineRule="auto"/>
        <w:rPr>
          <w:sz w:val="20"/>
          <w:szCs w:val="20"/>
          <w:color w:val="auto"/>
        </w:rPr>
      </w:pPr>
      <w:r>
        <w:rPr>
          <w:rFonts w:ascii="Arial" w:cs="Arial" w:eastAsia="Arial" w:hAnsi="Arial"/>
          <w:sz w:val="15"/>
          <w:szCs w:val="15"/>
          <w:b w:val="1"/>
          <w:bCs w:val="1"/>
          <w:i w:val="1"/>
          <w:iCs w:val="1"/>
          <w:color w:val="auto"/>
        </w:rPr>
        <w:t>If we or our partners do not obtain regulatory approval for our biologic candidates on a timely basis, or at all, or if the terms of any approval impose significant restrictions or limitations on use, our business, results of operations and financial condition will be negatively affected.</w:t>
      </w:r>
    </w:p>
    <w:p>
      <w:pPr>
        <w:spacing w:after="0" w:line="66"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We or our partners may not obtain regulatory approval for biologic candidates on a timely basis, or at all, or the terms of any approval (which in some countries includes pricing approval) may impose significant restrictions or limitations on use. Biologic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biologic candidates could cause us or regulatory authorities to interrupt, delay or halt clinical trials and could result in a more restricted label or the delay or denial of regulatory approval by regulatory authorities.</w:t>
      </w:r>
    </w:p>
    <w:p>
      <w:pPr>
        <w:spacing w:after="0" w:line="69"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32" w:lineRule="exact"/>
        <w:rPr>
          <w:sz w:val="20"/>
          <w:szCs w:val="20"/>
          <w:color w:val="auto"/>
        </w:rPr>
      </w:pPr>
    </w:p>
    <w:p>
      <w:pPr>
        <w:ind w:left="320" w:right="380"/>
        <w:spacing w:after="0" w:line="349" w:lineRule="auto"/>
        <w:rPr>
          <w:sz w:val="20"/>
          <w:szCs w:val="20"/>
          <w:color w:val="auto"/>
        </w:rPr>
      </w:pPr>
      <w:r>
        <w:rPr>
          <w:rFonts w:ascii="Arial" w:cs="Arial" w:eastAsia="Arial" w:hAnsi="Arial"/>
          <w:sz w:val="15"/>
          <w:szCs w:val="15"/>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66" w:lineRule="exact"/>
        <w:rPr>
          <w:sz w:val="20"/>
          <w:szCs w:val="20"/>
          <w:color w:val="auto"/>
        </w:rPr>
      </w:pPr>
    </w:p>
    <w:p>
      <w:pPr>
        <w:ind w:right="360" w:firstLine="619"/>
        <w:spacing w:after="0" w:line="349" w:lineRule="auto"/>
        <w:rPr>
          <w:sz w:val="20"/>
          <w:szCs w:val="20"/>
          <w:color w:val="auto"/>
        </w:rPr>
      </w:pPr>
      <w:r>
        <w:rPr>
          <w:rFonts w:ascii="Arial" w:cs="Arial" w:eastAsia="Arial" w:hAnsi="Arial"/>
          <w:sz w:val="15"/>
          <w:szCs w:val="15"/>
          <w:color w:val="auto"/>
        </w:rPr>
        <w:t>We currently derive, and expect to derive in the foreseeable future, substantially all of our revenue to fund our research and development efforts from collaboration agreements with biotechnology and pharmaceutical companies. These collaboration agreements contain complex commercial terms, including:</w:t>
      </w:r>
    </w:p>
    <w:p>
      <w:pPr>
        <w:spacing w:after="0" w:line="14" w:lineRule="exact"/>
        <w:rPr>
          <w:sz w:val="20"/>
          <w:szCs w:val="20"/>
          <w:color w:val="auto"/>
        </w:rPr>
      </w:pPr>
    </w:p>
    <w:p>
      <w:pPr>
        <w:ind w:left="1240" w:right="320" w:hanging="618"/>
        <w:spacing w:after="0" w:line="279"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61" w:lineRule="exact"/>
        <w:rPr>
          <w:rFonts w:ascii="Arial" w:cs="Arial" w:eastAsia="Arial" w:hAnsi="Arial"/>
          <w:sz w:val="17"/>
          <w:szCs w:val="17"/>
          <w:color w:val="auto"/>
        </w:rPr>
      </w:pPr>
    </w:p>
    <w:p>
      <w:pPr>
        <w:ind w:left="1240" w:right="380" w:hanging="618"/>
        <w:spacing w:after="0" w:line="279"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research and development performance and reimbursement obligations for our personnel and other resources allocated to partnered biologic candidate development programs;</w:t>
      </w:r>
    </w:p>
    <w:p>
      <w:pPr>
        <w:spacing w:after="0" w:line="61" w:lineRule="exact"/>
        <w:rPr>
          <w:rFonts w:ascii="Arial" w:cs="Arial" w:eastAsia="Arial" w:hAnsi="Arial"/>
          <w:sz w:val="17"/>
          <w:szCs w:val="17"/>
          <w:color w:val="auto"/>
        </w:rPr>
      </w:pPr>
    </w:p>
    <w:p>
      <w:pPr>
        <w:ind w:left="1240" w:right="120" w:hanging="618"/>
        <w:spacing w:after="0" w:line="279"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and commercial manufacturing agreements, some of which are priced on an actual cost basis for products supplied by us to our partners with complicated cost allocation formulas and methodologies;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30" w:name="page31"/>
    <w:bookmarkEnd w:id="30"/>
    <w:p>
      <w:pPr>
        <w:ind w:left="1240" w:right="80" w:hanging="618"/>
        <w:spacing w:after="0" w:line="279"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intellectual property ownership allocation between us and our partners for improvements and new inventions developed during the course of the collaboration;</w:t>
      </w:r>
    </w:p>
    <w:p>
      <w:pPr>
        <w:spacing w:after="0" w:line="61" w:lineRule="exact"/>
        <w:rPr>
          <w:rFonts w:ascii="Arial" w:cs="Arial" w:eastAsia="Arial" w:hAnsi="Arial"/>
          <w:sz w:val="17"/>
          <w:szCs w:val="17"/>
          <w:color w:val="auto"/>
        </w:rPr>
      </w:pPr>
    </w:p>
    <w:p>
      <w:pPr>
        <w:ind w:left="1240" w:right="340" w:hanging="618"/>
        <w:spacing w:after="0" w:line="279"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royalties on drug sales based on a number of complex variables, including net sales calculations, geography, scope of patent claim coverage, patent life, generic competitors, bundled pricing and other factors; and</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indemnity obligations for intellectual property infringement, product liability and certain other claims.</w:t>
      </w:r>
    </w:p>
    <w:p>
      <w:pPr>
        <w:spacing w:after="0" w:line="114"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pacing w:after="0" w:line="72"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126" w:lineRule="exact"/>
        <w:rPr>
          <w:sz w:val="20"/>
          <w:szCs w:val="20"/>
          <w:color w:val="auto"/>
        </w:rPr>
      </w:pPr>
    </w:p>
    <w:p>
      <w:pPr>
        <w:ind w:left="320" w:right="100"/>
        <w:spacing w:after="0" w:line="279" w:lineRule="auto"/>
        <w:rPr>
          <w:sz w:val="20"/>
          <w:szCs w:val="20"/>
          <w:color w:val="auto"/>
        </w:rPr>
      </w:pPr>
      <w:r>
        <w:rPr>
          <w:rFonts w:ascii="Arial" w:cs="Arial" w:eastAsia="Arial" w:hAnsi="Arial"/>
          <w:sz w:val="17"/>
          <w:szCs w:val="17"/>
          <w:b w:val="1"/>
          <w:bCs w:val="1"/>
          <w:i w:val="1"/>
          <w:iCs w:val="1"/>
          <w:color w:val="auto"/>
        </w:rPr>
        <w:t>We may not be able to obtain intellectual property licenses related to the development of our biologic candidates on a commercially reasonable basis, if at all.</w:t>
      </w:r>
    </w:p>
    <w:p>
      <w:pPr>
        <w:spacing w:after="0" w:line="113"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biologic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If any of our pending patent applications do not issue, or are deemed invalid following issuance, we may lose valuable intellectual property protection.</w:t>
      </w:r>
    </w:p>
    <w:p>
      <w:pPr>
        <w:spacing w:after="0" w:line="188" w:lineRule="exact"/>
        <w:rPr>
          <w:sz w:val="20"/>
          <w:szCs w:val="20"/>
          <w:color w:val="auto"/>
        </w:rPr>
      </w:pPr>
    </w:p>
    <w:p>
      <w:pPr>
        <w:ind w:right="80" w:firstLine="619"/>
        <w:spacing w:after="0" w:line="273" w:lineRule="auto"/>
        <w:rPr>
          <w:sz w:val="20"/>
          <w:szCs w:val="20"/>
          <w:color w:val="auto"/>
        </w:rPr>
      </w:pPr>
      <w:r>
        <w:rPr>
          <w:rFonts w:ascii="Arial" w:cs="Arial" w:eastAsia="Arial" w:hAnsi="Arial"/>
          <w:sz w:val="16"/>
          <w:szCs w:val="16"/>
          <w:color w:val="auto"/>
        </w:rPr>
        <w:t xml:space="preserve">The patent positions of pharmaceutical and biotechnology companies, such as ours, are uncertain and involve complex legal and factual issues. We own more than 300 U.S. and 1,500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re-examinations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re-examinations, before the U.S. Patent and Trademark Office (or equivalent proceedings in other jurisdictions), which could result in a loss of the patent and/or substantial cost to us.</w:t>
      </w:r>
    </w:p>
    <w:p>
      <w:pPr>
        <w:spacing w:after="0" w:line="70"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have filed patent applications, and plan to file additional patent applications, covering various aspects of our PEGylation and advanced polymer conjugate technologies and our biologic candidates.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5" w:right="359" w:bottom="1440" w:gutter="0" w:footer="0" w:header="0"/>
        </w:sectPr>
      </w:pPr>
    </w:p>
    <w:bookmarkStart w:id="31" w:name="page32"/>
    <w:bookmarkEnd w:id="31"/>
    <w:p>
      <w:pPr>
        <w:ind w:right="20" w:firstLine="619"/>
        <w:spacing w:after="0" w:line="262" w:lineRule="auto"/>
        <w:rPr>
          <w:sz w:val="20"/>
          <w:szCs w:val="20"/>
          <w:color w:val="auto"/>
        </w:rPr>
      </w:pPr>
      <w:r>
        <w:rPr>
          <w:rFonts w:ascii="Arial" w:cs="Arial" w:eastAsia="Arial" w:hAnsi="Arial"/>
          <w:sz w:val="17"/>
          <w:szCs w:val="17"/>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26" w:lineRule="exact"/>
        <w:rPr>
          <w:sz w:val="20"/>
          <w:szCs w:val="20"/>
          <w:color w:val="auto"/>
        </w:rPr>
      </w:pPr>
    </w:p>
    <w:p>
      <w:pPr>
        <w:ind w:left="320" w:right="100"/>
        <w:spacing w:after="0" w:line="279" w:lineRule="auto"/>
        <w:rPr>
          <w:sz w:val="20"/>
          <w:szCs w:val="20"/>
          <w:color w:val="auto"/>
        </w:rPr>
      </w:pPr>
      <w:r>
        <w:rPr>
          <w:rFonts w:ascii="Arial" w:cs="Arial" w:eastAsia="Arial" w:hAnsi="Arial"/>
          <w:sz w:val="17"/>
          <w:szCs w:val="17"/>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13"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w:t>
      </w:r>
    </w:p>
    <w:p>
      <w:pPr>
        <w:spacing w:after="0" w:line="165"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32" w:lineRule="exact"/>
        <w:rPr>
          <w:sz w:val="20"/>
          <w:szCs w:val="20"/>
          <w:color w:val="auto"/>
        </w:rPr>
      </w:pPr>
    </w:p>
    <w:p>
      <w:pPr>
        <w:ind w:left="320" w:right="880"/>
        <w:spacing w:after="0" w:line="279" w:lineRule="auto"/>
        <w:rPr>
          <w:sz w:val="20"/>
          <w:szCs w:val="20"/>
          <w:color w:val="auto"/>
        </w:rPr>
      </w:pPr>
      <w:r>
        <w:rPr>
          <w:rFonts w:ascii="Arial" w:cs="Arial" w:eastAsia="Arial" w:hAnsi="Arial"/>
          <w:sz w:val="17"/>
          <w:szCs w:val="17"/>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1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Although we do not currently have any products on the market, once we begin commercializing our biologic candidates, if approved,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biologic candidates for which we obtain marketing approval. Our current and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spacing w:after="0" w:line="133"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0" w:lineRule="exact"/>
        <w:rPr>
          <w:sz w:val="20"/>
          <w:szCs w:val="20"/>
          <w:color w:val="auto"/>
        </w:rPr>
      </w:pPr>
    </w:p>
    <w:p>
      <w:pPr>
        <w:ind w:left="320"/>
        <w:spacing w:after="0"/>
        <w:tabs>
          <w:tab w:leader="none" w:pos="8940" w:val="left"/>
        </w:tabs>
        <w:rPr>
          <w:sz w:val="20"/>
          <w:szCs w:val="20"/>
          <w:color w:val="auto"/>
        </w:rPr>
      </w:pPr>
      <w:r>
        <w:rPr>
          <w:rFonts w:ascii="Arial" w:cs="Arial" w:eastAsia="Arial" w:hAnsi="Arial"/>
          <w:sz w:val="17"/>
          <w:szCs w:val="17"/>
          <w:b w:val="1"/>
          <w:bCs w:val="1"/>
          <w:i w:val="1"/>
          <w:iCs w:val="1"/>
          <w:color w:val="auto"/>
        </w:rPr>
        <w:t>Healthcare legislative or regulatory reform measures may have a negative impact on our business and results of</w:t>
      </w:r>
      <w:r>
        <w:rPr>
          <w:sz w:val="20"/>
          <w:szCs w:val="20"/>
          <w:color w:val="auto"/>
        </w:rPr>
        <w:tab/>
      </w:r>
      <w:r>
        <w:rPr>
          <w:rFonts w:ascii="Arial" w:cs="Arial" w:eastAsia="Arial" w:hAnsi="Arial"/>
          <w:sz w:val="14"/>
          <w:szCs w:val="14"/>
          <w:b w:val="1"/>
          <w:bCs w:val="1"/>
          <w:i w:val="1"/>
          <w:iCs w:val="1"/>
          <w:color w:val="auto"/>
        </w:rPr>
        <w:t>operations</w:t>
      </w:r>
      <w:r>
        <w:rPr>
          <w:rFonts w:ascii="Arial" w:cs="Arial" w:eastAsia="Arial" w:hAnsi="Arial"/>
          <w:sz w:val="14"/>
          <w:szCs w:val="14"/>
          <w:color w:val="auto"/>
        </w:rPr>
        <w:t>.</w:t>
      </w:r>
    </w:p>
    <w:p>
      <w:pPr>
        <w:spacing w:after="0" w:line="385" w:lineRule="exact"/>
        <w:rPr>
          <w:sz w:val="20"/>
          <w:szCs w:val="20"/>
          <w:color w:val="auto"/>
        </w:rPr>
      </w:pPr>
    </w:p>
    <w:p>
      <w:pPr>
        <w:ind w:right="120" w:firstLine="619"/>
        <w:spacing w:after="0" w:line="241" w:lineRule="auto"/>
        <w:rPr>
          <w:sz w:val="20"/>
          <w:szCs w:val="20"/>
          <w:color w:val="auto"/>
        </w:rPr>
      </w:pPr>
      <w:r>
        <w:rPr>
          <w:rFonts w:ascii="Arial" w:cs="Arial" w:eastAsia="Arial" w:hAnsi="Arial"/>
          <w:sz w:val="17"/>
          <w:szCs w:val="17"/>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 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For example,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2" w:name="page33"/>
    <w:bookmarkEnd w:id="32"/>
    <w:p>
      <w:pPr>
        <w:ind w:right="80"/>
        <w:spacing w:after="0" w:line="259" w:lineRule="auto"/>
        <w:rPr>
          <w:sz w:val="20"/>
          <w:szCs w:val="20"/>
          <w:color w:val="auto"/>
        </w:rPr>
      </w:pPr>
      <w:r>
        <w:rPr>
          <w:rFonts w:ascii="Arial" w:cs="Arial" w:eastAsia="Arial" w:hAnsi="Arial"/>
          <w:sz w:val="16"/>
          <w:szCs w:val="16"/>
          <w:color w:val="auto"/>
        </w:rPr>
        <w:t>biosimilar and interchangeable products, clarify existing requirements and procedures related to the review and submission of BLAs, and identify and address any efforts to impede generic drug and biosimilar competition.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Regulation – Legislative and Regulatory Landscape</w:t>
      </w:r>
      <w:r>
        <w:rPr>
          <w:rFonts w:ascii="Arial" w:cs="Arial" w:eastAsia="Arial" w:hAnsi="Arial"/>
          <w:sz w:val="16"/>
          <w:szCs w:val="16"/>
          <w:color w:val="auto"/>
        </w:rPr>
        <w:t>.”</w:t>
      </w:r>
    </w:p>
    <w:p>
      <w:pPr>
        <w:spacing w:after="0" w:line="196"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21" w:lineRule="exact"/>
        <w:rPr>
          <w:sz w:val="20"/>
          <w:szCs w:val="20"/>
          <w:color w:val="auto"/>
        </w:rPr>
      </w:pPr>
    </w:p>
    <w:p>
      <w:pPr>
        <w:ind w:left="320" w:right="80"/>
        <w:spacing w:after="0" w:line="279" w:lineRule="auto"/>
        <w:rPr>
          <w:sz w:val="20"/>
          <w:szCs w:val="20"/>
          <w:color w:val="auto"/>
        </w:rPr>
      </w:pPr>
      <w:r>
        <w:rPr>
          <w:rFonts w:ascii="Arial" w:cs="Arial" w:eastAsia="Arial" w:hAnsi="Arial"/>
          <w:sz w:val="17"/>
          <w:szCs w:val="17"/>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345" w:lineRule="exact"/>
        <w:rPr>
          <w:sz w:val="20"/>
          <w:szCs w:val="20"/>
          <w:color w:val="auto"/>
        </w:rPr>
      </w:pPr>
    </w:p>
    <w:p>
      <w:pPr>
        <w:ind w:right="160" w:firstLine="619"/>
        <w:spacing w:after="0" w:line="26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the past, average review times at the agency have fluctuated, and this may continue in the future. In addition, government funding of other agencies on which our operations may rely is subject to the political process, which is inherently fluid and unpredictable.</w:t>
      </w:r>
    </w:p>
    <w:p>
      <w:pPr>
        <w:spacing w:after="0" w:line="242" w:lineRule="exact"/>
        <w:rPr>
          <w:sz w:val="20"/>
          <w:szCs w:val="20"/>
          <w:color w:val="auto"/>
        </w:rPr>
      </w:pPr>
    </w:p>
    <w:p>
      <w:pPr>
        <w:ind w:right="200" w:firstLine="619"/>
        <w:spacing w:after="0" w:line="281" w:lineRule="auto"/>
        <w:rPr>
          <w:sz w:val="20"/>
          <w:szCs w:val="20"/>
          <w:color w:val="auto"/>
        </w:rPr>
      </w:pPr>
      <w:r>
        <w:rPr>
          <w:rFonts w:ascii="Arial" w:cs="Arial" w:eastAsia="Arial" w:hAnsi="Arial"/>
          <w:sz w:val="16"/>
          <w:szCs w:val="16"/>
          <w:color w:val="auto"/>
        </w:rPr>
        <w:t>In addition, government shutdowns, if prolonged, could significantly impact the ability of government agencies upon which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90" w:lineRule="exact"/>
        <w:rPr>
          <w:sz w:val="20"/>
          <w:szCs w:val="20"/>
          <w:color w:val="auto"/>
        </w:rPr>
      </w:pPr>
    </w:p>
    <w:p>
      <w:pPr>
        <w:ind w:right="40" w:firstLine="619"/>
        <w:spacing w:after="0" w:line="297" w:lineRule="auto"/>
        <w:rPr>
          <w:sz w:val="20"/>
          <w:szCs w:val="20"/>
          <w:color w:val="auto"/>
        </w:rPr>
      </w:pPr>
      <w:r>
        <w:rPr>
          <w:rFonts w:ascii="Arial" w:cs="Arial" w:eastAsia="Arial" w:hAnsi="Arial"/>
          <w:sz w:val="15"/>
          <w:szCs w:val="15"/>
          <w:color w:val="auto"/>
        </w:rPr>
        <w:t>Since March 2020, when foreign and domestic inspections were largely placed on hold due to the COVID-19 pandemic,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ongoing COVID-19 pandemic,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04" w:lineRule="exact"/>
        <w:rPr>
          <w:sz w:val="20"/>
          <w:szCs w:val="20"/>
          <w:color w:val="auto"/>
        </w:rPr>
      </w:pPr>
    </w:p>
    <w:p>
      <w:pPr>
        <w:ind w:left="320" w:right="240"/>
        <w:spacing w:after="0" w:line="279" w:lineRule="auto"/>
        <w:rPr>
          <w:sz w:val="20"/>
          <w:szCs w:val="20"/>
          <w:color w:val="auto"/>
        </w:rPr>
      </w:pPr>
      <w:r>
        <w:rPr>
          <w:rFonts w:ascii="Arial" w:cs="Arial" w:eastAsia="Arial" w:hAnsi="Arial"/>
          <w:sz w:val="17"/>
          <w:szCs w:val="17"/>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345"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From time to time, we are involved in legal proceedings where we or other third parties are enforcing or seeking intellectual property rights, invalidating or limiting patent rights that have already been allowed or issued, or otherwise asserting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3" w:name="page34"/>
    <w:bookmarkEnd w:id="33"/>
    <w:p>
      <w:pPr>
        <w:spacing w:after="0" w:line="292" w:lineRule="auto"/>
        <w:rPr>
          <w:sz w:val="20"/>
          <w:szCs w:val="20"/>
          <w:color w:val="auto"/>
        </w:rPr>
      </w:pPr>
      <w:r>
        <w:rPr>
          <w:rFonts w:ascii="Arial" w:cs="Arial" w:eastAsia="Arial" w:hAnsi="Arial"/>
          <w:sz w:val="15"/>
          <w:szCs w:val="15"/>
          <w:color w:val="auto"/>
        </w:rPr>
        <w:t xml:space="preserve">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our technology platform or biologic candidates or that we have misappropriated its confidential or proprietary information. Similar assertions of infringement could be based on future patents that may issue to third parties. For example, we are involved in ongoing litigation with Aether Therapeutics Inc., who in March 2020 filed a complaint against AstraZeneca, Nektar and Daiichi-Sanko, Inc. alleging that MOVANTIK® infringes U.S. Patent Nos. 6,713,488, 8,748,448, 8,883,817 and 9,061,024.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re-examination proceedings at the U.S. Patent and Trademark Office where third parties seek to invalidate or limit the scope of our allowed patent applications or issued patents covering (among other things) our biologic candidates and platform technologies. If a third party obtains injunctive or other equitable relief against us or our partners, they could effectively prevent us, or our partners, from developing or commercializing, or deriving revenue from, certain biologics or biologic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From time to time, we may also be involved in legal proceedings other than those related to intellectual property, including securities actions or derivative</w:t>
      </w:r>
    </w:p>
    <w:p>
      <w:pPr>
        <w:spacing w:after="0" w:line="6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actions or other complaints. 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w:t>
      </w:r>
    </w:p>
    <w:p>
      <w:pPr>
        <w:spacing w:after="0" w:line="21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 monetary damages.We have recorded no liability for any litigation matters in our Consolidated Balance Sheets at December 31, 2022.</w:t>
      </w:r>
    </w:p>
    <w:p>
      <w:pPr>
        <w:spacing w:after="0" w:line="126" w:lineRule="exact"/>
        <w:rPr>
          <w:sz w:val="20"/>
          <w:szCs w:val="20"/>
          <w:color w:val="auto"/>
        </w:rPr>
      </w:pPr>
    </w:p>
    <w:p>
      <w:pPr>
        <w:ind w:left="320" w:right="600"/>
        <w:spacing w:after="0" w:line="266" w:lineRule="auto"/>
        <w:rPr>
          <w:sz w:val="20"/>
          <w:szCs w:val="20"/>
          <w:color w:val="auto"/>
        </w:rPr>
      </w:pPr>
      <w:r>
        <w:rPr>
          <w:rFonts w:ascii="Arial" w:cs="Arial" w:eastAsia="Arial" w:hAnsi="Arial"/>
          <w:sz w:val="17"/>
          <w:szCs w:val="17"/>
          <w:b w:val="1"/>
          <w:bCs w:val="1"/>
          <w:i w:val="1"/>
          <w:iCs w:val="1"/>
          <w:color w:val="auto"/>
        </w:rPr>
        <w:t>If we are found in violation of privacy and data protection laws, we may be required to pay penalties, be subjected to scrutiny by regulators or governmental entities, or be suspended from participation in government healthcare programs, which may adversely affect our business, financial condition and results of operations.</w:t>
      </w:r>
    </w:p>
    <w:p>
      <w:pPr>
        <w:spacing w:after="0" w:line="124"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Our business is subject to many laws and regulations intended to protect the privacy and data of individuals participating in our clinical trials and our employees, among others. For example, with regard to individuals participating in our clinical trials, these laws and regulations govern the safeguarding the privacy, integrity, availability, security and transmission of individually identifiable health information. In addition to federal laws and regulations in the United States, such as the HIPAA requirements relating to the privacy, security and transmission of individually identifiable health information, many state and foreign laws also govern the privacy and security of health information. These laws often differ from each other in significant ways, thus complicating compliance efforts. The global data protection landscape is rapidly evolving, and implementation standards and enforcement practices are likely to remain uncertain for the foreseeable future.</w:t>
      </w:r>
    </w:p>
    <w:p>
      <w:pPr>
        <w:spacing w:after="0" w:line="82"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color w:val="auto"/>
        </w:rPr>
        <w:t>In the United States, California recently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has increased our compliance costs and may increase our potential liability. The CCPA has prompted a number of proposals for new federal and state privacy legislation. If passed, these proposals could increase our potential liability, increase our compliance costs and adversely affect our business.</w:t>
      </w:r>
    </w:p>
    <w:p>
      <w:pPr>
        <w:spacing w:after="0" w:line="80"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The European Regulation 2016/679, known as the General Data Protection Regulation (GDPR), and the implementing legislation of EU Member States, which became effective on May 25, 2018, apply to the collection and processing of personal data, including health-related information, by companies located in the EU, or in certain circumstances, by companies located outside of the EU and processing personal information of individuals located in the EU. The GDPR is wide-ranging in scope and imposes strict obligations on the ability to process personal data, including health-related information, in particular in relation to their collection, use, disclosure and transfer. These include several requirements relating to, for example, (i) obtaining, in some situations, the consent of the individuals to whom the personal data relates, (ii) the information provided 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ind w:right="140"/>
        <w:spacing w:after="0" w:line="262" w:lineRule="auto"/>
        <w:rPr>
          <w:sz w:val="20"/>
          <w:szCs w:val="20"/>
          <w:color w:val="auto"/>
        </w:rPr>
      </w:pPr>
      <w:r>
        <w:rPr>
          <w:rFonts w:ascii="Arial" w:cs="Arial" w:eastAsia="Arial" w:hAnsi="Arial"/>
          <w:sz w:val="17"/>
          <w:szCs w:val="17"/>
          <w:color w:val="auto"/>
        </w:rPr>
        <w:t>the individuals about how their personal information is used, and (iii) ensuring the security and confidentiality of the personal data. The GDPR prohibits the transfer of personal data to countries outside of the European Economic Area (EEA), such as the United States, which are not considered by the European Commission to provide an adequate level of data protection. Potential pecuniary fines for noncompliant companies may be up to the greater of €20 million or 4% of annual global revenue.</w:t>
      </w:r>
    </w:p>
    <w:p>
      <w:pPr>
        <w:spacing w:after="0" w:line="75" w:lineRule="exact"/>
        <w:rPr>
          <w:sz w:val="20"/>
          <w:szCs w:val="20"/>
          <w:color w:val="auto"/>
        </w:rPr>
      </w:pPr>
    </w:p>
    <w:p>
      <w:pPr>
        <w:ind w:right="240" w:firstLine="619"/>
        <w:spacing w:after="0" w:line="258" w:lineRule="auto"/>
        <w:rPr>
          <w:sz w:val="20"/>
          <w:szCs w:val="20"/>
          <w:color w:val="auto"/>
        </w:rPr>
      </w:pPr>
      <w:r>
        <w:rPr>
          <w:rFonts w:ascii="Arial" w:cs="Arial" w:eastAsia="Arial" w:hAnsi="Arial"/>
          <w:sz w:val="17"/>
          <w:szCs w:val="17"/>
          <w:color w:val="auto"/>
        </w:rPr>
        <w:t>To the extent that we are found liable for the inappropriate collection, storage, use or disclosure of protected information of individuals (such as employees and/or clinical patients protected by any privacy or data protection law), we could be subject to reputational harm, monetary fines (such as those imposed by the GDPR and CCPA), civil suits, civil penalties or criminal sanctions and requirements to disclose the breach, and the development of our biologic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32" w:lineRule="exact"/>
        <w:rPr>
          <w:sz w:val="20"/>
          <w:szCs w:val="20"/>
          <w:color w:val="auto"/>
        </w:rPr>
      </w:pPr>
    </w:p>
    <w:p>
      <w:pPr>
        <w:ind w:left="320" w:right="220"/>
        <w:spacing w:after="0" w:line="349" w:lineRule="auto"/>
        <w:rPr>
          <w:sz w:val="20"/>
          <w:szCs w:val="20"/>
          <w:color w:val="auto"/>
        </w:rPr>
      </w:pPr>
      <w:r>
        <w:rPr>
          <w:rFonts w:ascii="Arial" w:cs="Arial" w:eastAsia="Arial" w:hAnsi="Arial"/>
          <w:sz w:val="15"/>
          <w:szCs w:val="15"/>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66" w:lineRule="exact"/>
        <w:rPr>
          <w:sz w:val="20"/>
          <w:szCs w:val="20"/>
          <w:color w:val="auto"/>
        </w:rPr>
      </w:pPr>
    </w:p>
    <w:p>
      <w:pPr>
        <w:ind w:right="280" w:firstLine="619"/>
        <w:spacing w:after="0" w:line="258" w:lineRule="auto"/>
        <w:rPr>
          <w:sz w:val="20"/>
          <w:szCs w:val="20"/>
          <w:color w:val="auto"/>
        </w:rPr>
      </w:pPr>
      <w:r>
        <w:rPr>
          <w:rFonts w:ascii="Arial" w:cs="Arial" w:eastAsia="Arial" w:hAnsi="Arial"/>
          <w:sz w:val="17"/>
          <w:szCs w:val="17"/>
          <w:color w:val="auto"/>
        </w:rPr>
        <w:t>As a research-based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radioactive compounds, and other hazardous materials. The cost of compliance with environmental, health, and safety regulations (including, but not limited to, the handling and disposal of both our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Investment and Securities</w:t>
      </w:r>
    </w:p>
    <w:p>
      <w:pPr>
        <w:spacing w:after="0" w:line="391" w:lineRule="exact"/>
        <w:rPr>
          <w:sz w:val="20"/>
          <w:szCs w:val="20"/>
          <w:color w:val="auto"/>
        </w:rPr>
      </w:pPr>
    </w:p>
    <w:p>
      <w:pPr>
        <w:ind w:left="320" w:right="120"/>
        <w:spacing w:after="0" w:line="264" w:lineRule="auto"/>
        <w:rPr>
          <w:sz w:val="20"/>
          <w:szCs w:val="20"/>
          <w:color w:val="auto"/>
        </w:rPr>
      </w:pPr>
      <w:r>
        <w:rPr>
          <w:rFonts w:ascii="Arial" w:cs="Arial" w:eastAsia="Arial" w:hAnsi="Arial"/>
          <w:sz w:val="17"/>
          <w:szCs w:val="17"/>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24"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Our stock price is volatile. During the year ended December 31, 2022, based on closing prices on the NASDAQ Global Select Market, the closing price of our common stock ranged from $2.03 to $13.72 per share.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spacing w:after="0" w:line="66"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 of our 2022 Restructuring Plan;</w:t>
      </w:r>
    </w:p>
    <w:p>
      <w:pPr>
        <w:spacing w:after="0" w:line="113" w:lineRule="exact"/>
        <w:rPr>
          <w:rFonts w:ascii="Arial" w:cs="Arial" w:eastAsia="Arial" w:hAnsi="Arial"/>
          <w:sz w:val="17"/>
          <w:szCs w:val="17"/>
          <w:color w:val="auto"/>
        </w:rPr>
      </w:pPr>
    </w:p>
    <w:p>
      <w:pPr>
        <w:ind w:left="620" w:right="200" w:hanging="307"/>
        <w:spacing w:after="0" w:line="266"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has had a significant impact on our stock price;</w:t>
      </w:r>
    </w:p>
    <w:p>
      <w:pPr>
        <w:spacing w:after="0" w:line="71"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outcomes from our clinical trials which can be difficult to predict particularly for clinical studies that have event-driven end points such as progression-free survival and overall survival;</w:t>
      </w:r>
    </w:p>
    <w:p>
      <w:pPr>
        <w:spacing w:after="0" w:line="61"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by collaboration partners as to their plans or expectations related to biologic candidates and approved biologics in which we have a substantial economic interest;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regarding terminations or disputes under our collaboration agreements;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our results of operations;</w:t>
      </w:r>
    </w:p>
    <w:p>
      <w:pPr>
        <w:spacing w:after="0" w:line="113" w:lineRule="exact"/>
        <w:rPr>
          <w:rFonts w:ascii="Arial" w:cs="Arial" w:eastAsia="Arial" w:hAnsi="Arial"/>
          <w:sz w:val="17"/>
          <w:szCs w:val="17"/>
          <w:color w:val="auto"/>
        </w:rPr>
      </w:pPr>
    </w:p>
    <w:p>
      <w:pPr>
        <w:ind w:left="620" w:right="20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developments in patent or other proprietary rights, including intellectual property litigation or entering into intellectual property license agreements and the costs associated with those arrangements;</w:t>
      </w:r>
    </w:p>
    <w:p>
      <w:pPr>
        <w:spacing w:after="0" w:line="61" w:lineRule="exact"/>
        <w:rPr>
          <w:rFonts w:ascii="Arial" w:cs="Arial" w:eastAsia="Arial" w:hAnsi="Arial"/>
          <w:sz w:val="17"/>
          <w:szCs w:val="17"/>
          <w:color w:val="auto"/>
        </w:rPr>
      </w:pPr>
    </w:p>
    <w:p>
      <w:pPr>
        <w:ind w:left="620" w:right="44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technological innovations or new therapeutic products that may compete with our approved partnered products or products under development;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changes in governmental regulation affecting us or our competitors;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5" w:name="page36"/>
    <w:bookmarkEnd w:id="35"/>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litigation brought against us or third parties to whom we have indemnification obligations;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public concern as to the safety of drug formulations developed by us or others;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financing needs and activities;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the impacts of rising inflation and interest rates and global geopolitical tensions.</w:t>
      </w:r>
    </w:p>
    <w:p>
      <w:pPr>
        <w:spacing w:after="0" w:line="114" w:lineRule="exact"/>
        <w:rPr>
          <w:sz w:val="20"/>
          <w:szCs w:val="20"/>
          <w:color w:val="auto"/>
        </w:rPr>
      </w:pPr>
    </w:p>
    <w:p>
      <w:pPr>
        <w:jc w:val="both"/>
        <w:ind w:right="120" w:firstLine="619"/>
        <w:spacing w:after="0" w:line="262" w:lineRule="auto"/>
        <w:rPr>
          <w:sz w:val="20"/>
          <w:szCs w:val="20"/>
          <w:color w:val="auto"/>
        </w:rPr>
      </w:pPr>
      <w:r>
        <w:rPr>
          <w:rFonts w:ascii="Arial" w:cs="Arial" w:eastAsia="Arial" w:hAnsi="Arial"/>
          <w:sz w:val="17"/>
          <w:szCs w:val="17"/>
          <w:color w:val="auto"/>
        </w:rPr>
        <w:t>At times, our stock price has been volatile even in the absence of significant news or developments. The stock prices of biotechnology companies and securities markets generally have been subject to dramatic price swings in recent years. In addition, as a result of our lower stock price, we are no longer a well-known seasoned issuer, which otherwise would allow us to, among other things, file automatically effective shelf registration statements. As a result, any attempt to access the public capital markets will be more expensive and subject to delays.</w:t>
      </w:r>
    </w:p>
    <w:p>
      <w:pPr>
        <w:spacing w:after="0" w:line="126" w:lineRule="exact"/>
        <w:rPr>
          <w:sz w:val="20"/>
          <w:szCs w:val="20"/>
          <w:color w:val="auto"/>
        </w:rPr>
      </w:pPr>
    </w:p>
    <w:p>
      <w:pPr>
        <w:ind w:left="320" w:right="80"/>
        <w:spacing w:after="0" w:line="279" w:lineRule="auto"/>
        <w:rPr>
          <w:sz w:val="20"/>
          <w:szCs w:val="20"/>
          <w:color w:val="auto"/>
        </w:rPr>
      </w:pPr>
      <w:r>
        <w:rPr>
          <w:rFonts w:ascii="Arial" w:cs="Arial" w:eastAsia="Arial" w:hAnsi="Arial"/>
          <w:sz w:val="17"/>
          <w:szCs w:val="17"/>
          <w:b w:val="1"/>
          <w:bCs w:val="1"/>
          <w:i w:val="1"/>
          <w:iCs w:val="1"/>
          <w:color w:val="auto"/>
        </w:rPr>
        <w:t>We have implemented certain anti-takeover measures, which make it more difficult to acquire us, even though such acquisitions may be beneficial to our stockholders.</w:t>
      </w:r>
    </w:p>
    <w:p>
      <w:pPr>
        <w:spacing w:after="0" w:line="11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61"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establishment of a classified board of directors such that not all members of the board may be elected at one time;</w:t>
      </w:r>
    </w:p>
    <w:p>
      <w:pPr>
        <w:spacing w:after="0" w:line="113" w:lineRule="exact"/>
        <w:rPr>
          <w:rFonts w:ascii="Arial" w:cs="Arial" w:eastAsia="Arial" w:hAnsi="Arial"/>
          <w:sz w:val="17"/>
          <w:szCs w:val="17"/>
          <w:color w:val="auto"/>
        </w:rPr>
      </w:pPr>
    </w:p>
    <w:p>
      <w:pPr>
        <w:ind w:left="620" w:right="200" w:hanging="307"/>
        <w:spacing w:after="0" w:line="27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lack of a provision for cumulative voting in the election of directors, which would otherwise allow less than a majority of stockholders to elect director candidates;</w:t>
      </w:r>
    </w:p>
    <w:p>
      <w:pPr>
        <w:spacing w:after="0" w:line="61" w:lineRule="exact"/>
        <w:rPr>
          <w:rFonts w:ascii="Arial" w:cs="Arial" w:eastAsia="Arial" w:hAnsi="Arial"/>
          <w:sz w:val="17"/>
          <w:szCs w:val="17"/>
          <w:color w:val="auto"/>
        </w:rPr>
      </w:pPr>
    </w:p>
    <w:p>
      <w:pPr>
        <w:ind w:left="620" w:right="340" w:hanging="307"/>
        <w:spacing w:after="0" w:line="27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board to authorize the issuance of “blank check” preferred stock to increase the number of outstanding shares and thwart a takeover attempt;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prohibition on stockholder action by written consent, thereby requiring all stockholder actions to be taken at a meeting of stockholders;</w:t>
      </w:r>
    </w:p>
    <w:p>
      <w:pPr>
        <w:spacing w:after="0" w:line="113" w:lineRule="exact"/>
        <w:rPr>
          <w:rFonts w:ascii="Arial" w:cs="Arial" w:eastAsia="Arial" w:hAnsi="Arial"/>
          <w:sz w:val="17"/>
          <w:szCs w:val="17"/>
          <w:color w:val="auto"/>
        </w:rPr>
      </w:pPr>
    </w:p>
    <w:p>
      <w:pPr>
        <w:ind w:left="620" w:right="280" w:hanging="307"/>
        <w:spacing w:after="0" w:line="27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establishment of advance notice requirements for nominations for election to the board of directors or for proposing matters that can be acted upon by stockholders at stockholder meetings;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on who may call a special meeting of stockholders.</w:t>
      </w:r>
    </w:p>
    <w:p>
      <w:pPr>
        <w:spacing w:after="0" w:line="114" w:lineRule="exact"/>
        <w:rPr>
          <w:sz w:val="20"/>
          <w:szCs w:val="20"/>
          <w:color w:val="auto"/>
        </w:rPr>
      </w:pPr>
    </w:p>
    <w:p>
      <w:pPr>
        <w:ind w:right="180" w:firstLine="619"/>
        <w:spacing w:after="0" w:line="302" w:lineRule="auto"/>
        <w:rPr>
          <w:sz w:val="20"/>
          <w:szCs w:val="20"/>
          <w:color w:val="auto"/>
        </w:rPr>
      </w:pPr>
      <w:r>
        <w:rPr>
          <w:rFonts w:ascii="Arial" w:cs="Arial" w:eastAsia="Arial" w:hAnsi="Arial"/>
          <w:sz w:val="15"/>
          <w:szCs w:val="15"/>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71" w:lineRule="exact"/>
        <w:rPr>
          <w:sz w:val="20"/>
          <w:szCs w:val="20"/>
          <w:color w:val="auto"/>
        </w:rPr>
      </w:pPr>
    </w:p>
    <w:p>
      <w:pPr>
        <w:jc w:val="both"/>
        <w:ind w:left="320"/>
        <w:spacing w:after="0" w:line="266" w:lineRule="auto"/>
        <w:rPr>
          <w:sz w:val="20"/>
          <w:szCs w:val="20"/>
          <w:color w:val="auto"/>
        </w:rPr>
      </w:pPr>
      <w:r>
        <w:rPr>
          <w:rFonts w:ascii="Arial" w:cs="Arial" w:eastAsia="Arial" w:hAnsi="Arial"/>
          <w:sz w:val="17"/>
          <w:szCs w:val="17"/>
          <w:b w:val="1"/>
          <w:bCs w:val="1"/>
          <w:i w:val="1"/>
          <w:iCs w:val="1"/>
          <w:color w:val="auto"/>
        </w:rPr>
        <w:t>We significantly rely on information technology systems, and any failure, inadequacy, interruption, breach, or security lapse of that technology within our internal computer systems, or those of our partners, vendors, CROs, CMOs or other contractors or consultants, may result in a material disruption of our development programs and our operations.</w:t>
      </w:r>
    </w:p>
    <w:p>
      <w:pPr>
        <w:spacing w:after="0" w:line="12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As part of our business, we collect, store and transmit large amounts of confidential information, proprietary data, intellectual property and personal data. Despite the implementation of security measures, our internal computer systems and those of our partners, vendors, contract research organizations (CROs), contract manufacturing organizations (CMOs) and other contractors and consultants are vulnerable to loss, damage, denial-of-service, unauthorized access, or misappropriation. Such cybersecurity breaches may be the result of unauthorized activity by our employees and contractors, as well as by third parties who use cyberattack techniques involving malware, hacking and phishing, among others. Additionally, the risk of cyber-attacks or other privacy or data security incidents may be heightened as a result of an increase in the number of employees who adopted a remote working environment during the COVID-19 pandemic, which may be less secure and more susceptible to hacking attacks. Our information technology systems, and those of our partners, vendors, CROs, CMOs or other contractors or consultants are also vulnerable to natural disasters, terrorism, war and telecommunication and electrical failures. Any such compromise or disruption, no matter the origin, may cause an interruption of our operations. For instance, the loss of preclinical data or data from any clinical trial involving our biologic candidates could result in delays in our development and regulatory filing efforts and significantly increase our costs. In addition, the loss, corruption or unauthorized disclosure of our trade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5" w:right="379" w:bottom="1440" w:gutter="0" w:footer="0" w:header="0"/>
        </w:sectPr>
      </w:pPr>
    </w:p>
    <w:bookmarkStart w:id="36" w:name="page37"/>
    <w:bookmarkEnd w:id="36"/>
    <w:p>
      <w:pPr>
        <w:ind w:right="480"/>
        <w:spacing w:after="0" w:line="279" w:lineRule="auto"/>
        <w:rPr>
          <w:sz w:val="20"/>
          <w:szCs w:val="20"/>
          <w:color w:val="auto"/>
        </w:rPr>
      </w:pPr>
      <w:r>
        <w:rPr>
          <w:rFonts w:ascii="Arial" w:cs="Arial" w:eastAsia="Arial" w:hAnsi="Arial"/>
          <w:sz w:val="17"/>
          <w:szCs w:val="17"/>
          <w:color w:val="auto"/>
        </w:rPr>
        <w:t>secrets, personal data or other proprietary or sensitive information could compromise the commercial viability of one or more of our programs, which would negatively affect our business. Also, the costs to us to investigate and mitigate cybersecurity incidents could be significant.</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Changes in tax law could adversely affect our business and financial condition.</w:t>
      </w:r>
    </w:p>
    <w:p>
      <w:pPr>
        <w:spacing w:after="0" w:line="165" w:lineRule="exact"/>
        <w:rPr>
          <w:sz w:val="20"/>
          <w:szCs w:val="20"/>
          <w:color w:val="auto"/>
        </w:rPr>
      </w:pPr>
    </w:p>
    <w:p>
      <w:pPr>
        <w:ind w:right="20" w:firstLine="619"/>
        <w:spacing w:after="0" w:line="299" w:lineRule="auto"/>
        <w:rPr>
          <w:sz w:val="20"/>
          <w:szCs w:val="20"/>
          <w:color w:val="auto"/>
        </w:rPr>
      </w:pPr>
      <w:r>
        <w:rPr>
          <w:rFonts w:ascii="Arial" w:cs="Arial" w:eastAsia="Arial" w:hAnsi="Arial"/>
          <w:sz w:val="15"/>
          <w:szCs w:val="15"/>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spacing w:after="0" w:line="103" w:lineRule="exact"/>
        <w:rPr>
          <w:sz w:val="20"/>
          <w:szCs w:val="20"/>
          <w:color w:val="auto"/>
        </w:rPr>
      </w:pPr>
    </w:p>
    <w:p>
      <w:pPr>
        <w:ind w:left="320" w:right="460"/>
        <w:spacing w:after="0" w:line="279" w:lineRule="auto"/>
        <w:rPr>
          <w:sz w:val="20"/>
          <w:szCs w:val="20"/>
          <w:color w:val="auto"/>
        </w:rPr>
      </w:pPr>
      <w:r>
        <w:rPr>
          <w:rFonts w:ascii="Arial" w:cs="Arial" w:eastAsia="Arial" w:hAnsi="Arial"/>
          <w:sz w:val="17"/>
          <w:szCs w:val="17"/>
          <w:b w:val="1"/>
          <w:bCs w:val="1"/>
          <w:i w:val="1"/>
          <w:iCs w:val="1"/>
          <w:color w:val="auto"/>
        </w:rPr>
        <w:t>The United Kingdom’s withdrawal from the EU may have a negative effect on global economic conditions, access to patient markets, and regulatory certainty, which could adversely affect our operations.</w:t>
      </w:r>
    </w:p>
    <w:p>
      <w:pPr>
        <w:spacing w:after="0" w:line="113"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Effective January 31, 2020, the U.K. ceased to be a member state of the EU, a process known as Brexit, and began a transition period, which expired on December 31, 2020.</w:t>
      </w:r>
    </w:p>
    <w:p>
      <w:pPr>
        <w:spacing w:after="0" w:line="61" w:lineRule="exact"/>
        <w:rPr>
          <w:sz w:val="20"/>
          <w:szCs w:val="20"/>
          <w:color w:val="auto"/>
        </w:rPr>
      </w:pPr>
    </w:p>
    <w:p>
      <w:pPr>
        <w:ind w:right="160" w:firstLine="619"/>
        <w:spacing w:after="0" w:line="258" w:lineRule="auto"/>
        <w:rPr>
          <w:sz w:val="20"/>
          <w:szCs w:val="20"/>
          <w:color w:val="auto"/>
        </w:rPr>
      </w:pPr>
      <w:r>
        <w:rPr>
          <w:rFonts w:ascii="Arial" w:cs="Arial" w:eastAsia="Arial" w:hAnsi="Arial"/>
          <w:sz w:val="17"/>
          <w:szCs w:val="17"/>
          <w:color w:val="auto"/>
        </w:rPr>
        <w:t>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Under the trade and cooperation agreement, U.K. service suppliers no longer benefit from automatic access to the entire EU single market, U.K. goods no longer benefit from the free movement of goods and there is no longer the free movement of people between the U.K. and the EU. Depending on the application of the terms of the trade and cooperation agreement, we, our collaboration partners and others could face new regulatory costs and challenges.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Global economic and political conditions may negatively affect us and may magnify certain risks that affect our business.</w:t>
      </w:r>
    </w:p>
    <w:p>
      <w:pPr>
        <w:spacing w:after="0" w:line="165"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Our operations and performance have been, and may continue to be, affected by global economic conditions, including, for example, adverse global economic conditions resulting from the COVID-19 pandemic. See also the risk factor in this Item 1A titled “</w:t>
      </w:r>
      <w:r>
        <w:rPr>
          <w:rFonts w:ascii="Arial" w:cs="Arial" w:eastAsia="Arial" w:hAnsi="Arial"/>
          <w:sz w:val="16"/>
          <w:szCs w:val="16"/>
          <w:i w:val="1"/>
          <w:iCs w:val="1"/>
          <w:color w:val="auto"/>
        </w:rPr>
        <w:t>Our business could be adversely affected by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of health epidemics, including the recent COVID-19 pandemic.</w:t>
      </w:r>
      <w:r>
        <w:rPr>
          <w:rFonts w:ascii="Arial" w:cs="Arial" w:eastAsia="Arial" w:hAnsi="Arial"/>
          <w:sz w:val="16"/>
          <w:szCs w:val="16"/>
          <w:color w:val="auto"/>
        </w:rPr>
        <w:t>” In addition, our operations and performance may be affected by political or civil unrest or military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terrorist activity, and unstable governments and legal systems. For example, in late February 2022, Russia commenced a military invasion of Ukraine, and the sustained conflict in Ukraine, including the potential effects of sanctions and retaliatory cyber-attacks on the world economy and markets, has contributed to increased market volatility and uncertainty. In particular, sanctions imposed by the U.S., EU and other countries in response to the conflict between Russia and Ukraine and the potential response to such sanctions may have an adverse impact on our business, including our clinical trials, the financial markets and the global economy. As the conflict in Ukraine continues, there can be no certainty regarding whether the U.S., EU or other governments will impose additional sanctions, or other economic or military measures relating to Russia.</w:t>
      </w:r>
    </w:p>
    <w:p>
      <w:pPr>
        <w:spacing w:after="0" w:line="69" w:lineRule="exact"/>
        <w:rPr>
          <w:sz w:val="20"/>
          <w:szCs w:val="20"/>
          <w:color w:val="auto"/>
        </w:rPr>
      </w:pPr>
    </w:p>
    <w:p>
      <w:pPr>
        <w:ind w:right="260" w:firstLine="619"/>
        <w:spacing w:after="0" w:line="277" w:lineRule="auto"/>
        <w:rPr>
          <w:sz w:val="20"/>
          <w:szCs w:val="20"/>
          <w:color w:val="auto"/>
        </w:rPr>
      </w:pPr>
      <w:r>
        <w:rPr>
          <w:rFonts w:ascii="Arial" w:cs="Arial" w:eastAsia="Arial" w:hAnsi="Arial"/>
          <w:sz w:val="16"/>
          <w:szCs w:val="16"/>
          <w:color w:val="auto"/>
        </w:rPr>
        <w:t>As a result of global economic and political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67"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7" w:name="page38"/>
    <w:bookmarkEnd w:id="37"/>
    <w:p>
      <w:pPr>
        <w:ind w:left="320"/>
        <w:spacing w:after="0"/>
        <w:rPr>
          <w:sz w:val="20"/>
          <w:szCs w:val="20"/>
          <w:color w:val="auto"/>
        </w:rPr>
      </w:pPr>
      <w:r>
        <w:rPr>
          <w:rFonts w:ascii="Arial" w:cs="Arial" w:eastAsia="Arial" w:hAnsi="Arial"/>
          <w:sz w:val="17"/>
          <w:szCs w:val="17"/>
          <w:b w:val="1"/>
          <w:bCs w:val="1"/>
          <w:i w:val="1"/>
          <w:iCs w:val="1"/>
          <w:color w:val="auto"/>
        </w:rPr>
        <w:t>Our business could be negatively impacted by corporate citizenship and sustainability matters.</w:t>
      </w:r>
    </w:p>
    <w:p>
      <w:pPr>
        <w:spacing w:after="0" w:line="165" w:lineRule="exact"/>
        <w:rPr>
          <w:sz w:val="20"/>
          <w:szCs w:val="20"/>
          <w:color w:val="auto"/>
        </w:rPr>
      </w:pPr>
    </w:p>
    <w:p>
      <w:pPr>
        <w:ind w:right="140" w:firstLine="619"/>
        <w:spacing w:after="0" w:line="318" w:lineRule="auto"/>
        <w:rPr>
          <w:sz w:val="20"/>
          <w:szCs w:val="20"/>
          <w:color w:val="auto"/>
        </w:rPr>
      </w:pPr>
      <w:r>
        <w:rPr>
          <w:rFonts w:ascii="Arial" w:cs="Arial" w:eastAsia="Arial" w:hAnsi="Arial"/>
          <w:sz w:val="15"/>
          <w:szCs w:val="15"/>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earthquakes or other catastrophic events strike, our business may be harmed.</w:t>
      </w:r>
    </w:p>
    <w:p>
      <w:pPr>
        <w:spacing w:after="0" w:line="165" w:lineRule="exact"/>
        <w:rPr>
          <w:sz w:val="20"/>
          <w:szCs w:val="20"/>
          <w:color w:val="auto"/>
        </w:rPr>
      </w:pPr>
    </w:p>
    <w:p>
      <w:pPr>
        <w:ind w:right="60" w:firstLine="619"/>
        <w:spacing w:after="0" w:line="273" w:lineRule="auto"/>
        <w:rPr>
          <w:sz w:val="20"/>
          <w:szCs w:val="20"/>
          <w:color w:val="auto"/>
        </w:rPr>
      </w:pPr>
      <w:r>
        <w:rPr>
          <w:rFonts w:ascii="Arial" w:cs="Arial" w:eastAsia="Arial" w:hAnsi="Arial"/>
          <w:sz w:val="16"/>
          <w:szCs w:val="16"/>
          <w:color w:val="auto"/>
        </w:rPr>
        <w:t>Our corporate headquarters, including a substantial portion of our research and development operations, are located in the San Francisco Bay Area, a region known for seismic activity and a potential terrorist target. In addition, we own facilities for the manufacture of products using our advanced polymer conjugate technologies in Huntsville, Alabama. There are no backup facilities for our manufacturing operations located in Huntsville, Alabama. In the event of an earthquake or other natural disaster, political instability, civil unrest, or terrorist event in any of these locations, our ability to manufacture and supply materials for biologic candidates in development and our ability to meet our manufacturing obligations to our customers would be significantly disrupted and our business, results of operations and financial condition would be harmed. Our collaboration partners and important vendors and suppliers to us or our collaboration partners may also be subject to catastrophic events, such as earthquakes, floods,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California</w:t>
      </w:r>
    </w:p>
    <w:p>
      <w:pPr>
        <w:spacing w:after="0" w:line="120" w:lineRule="exact"/>
        <w:rPr>
          <w:sz w:val="20"/>
          <w:szCs w:val="20"/>
          <w:color w:val="auto"/>
        </w:rPr>
      </w:pPr>
    </w:p>
    <w:p>
      <w:pPr>
        <w:ind w:right="140" w:firstLine="169"/>
        <w:spacing w:after="0" w:line="312" w:lineRule="auto"/>
        <w:rPr>
          <w:sz w:val="20"/>
          <w:szCs w:val="20"/>
          <w:color w:val="auto"/>
        </w:rPr>
      </w:pPr>
      <w:r>
        <w:rPr>
          <w:rFonts w:ascii="Arial" w:cs="Arial" w:eastAsia="Arial" w:hAnsi="Arial"/>
          <w:sz w:val="16"/>
          <w:szCs w:val="16"/>
          <w:color w:val="auto"/>
        </w:rPr>
        <w:t>We lease a 155,215 square foot facility in the Mission Bay Area of San Francisco, California (Mission Bay Facility), under an operating lease which expires in January 2030. The Mission Bay Facility is our corporate headquarters and also includes our research and development operations.</w:t>
      </w:r>
    </w:p>
    <w:p>
      <w:pPr>
        <w:spacing w:after="0" w:line="140" w:lineRule="exact"/>
        <w:rPr>
          <w:sz w:val="20"/>
          <w:szCs w:val="20"/>
          <w:color w:val="auto"/>
        </w:rPr>
      </w:pPr>
    </w:p>
    <w:p>
      <w:pPr>
        <w:ind w:right="280" w:firstLine="169"/>
        <w:spacing w:after="0" w:line="279" w:lineRule="auto"/>
        <w:rPr>
          <w:sz w:val="20"/>
          <w:szCs w:val="20"/>
          <w:color w:val="auto"/>
        </w:rPr>
      </w:pPr>
      <w:r>
        <w:rPr>
          <w:rFonts w:ascii="Arial" w:cs="Arial" w:eastAsia="Arial" w:hAnsi="Arial"/>
          <w:sz w:val="17"/>
          <w:szCs w:val="17"/>
          <w:color w:val="auto"/>
        </w:rPr>
        <w:t>We also lease 135,936 square feet of office space in San Francisco (the Third Street Facility), under an operating lease which expires in January 2030, which previously provided additional space to support our research and development activities.</w:t>
      </w:r>
    </w:p>
    <w:p>
      <w:pPr>
        <w:spacing w:after="0" w:line="164"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 connection with our 2022 Restructuring Plan, we have consolidated our San Francisco operations in our Mission Bay Facility, and we have vacated our Third Street Facility and certain laboratory and office spaces at our Mission Bay Facility. We are seeking to sublease the vacated spaces, while still maintaining sufficient office and laboratory space to allow our team to develop our proprietary programs.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Alabama</w:t>
      </w:r>
    </w:p>
    <w:p>
      <w:pPr>
        <w:spacing w:after="0" w:line="120" w:lineRule="exact"/>
        <w:rPr>
          <w:sz w:val="20"/>
          <w:szCs w:val="20"/>
          <w:color w:val="auto"/>
        </w:rPr>
      </w:pPr>
    </w:p>
    <w:p>
      <w:pPr>
        <w:ind w:firstLine="169"/>
        <w:spacing w:after="0" w:line="266" w:lineRule="auto"/>
        <w:rPr>
          <w:sz w:val="20"/>
          <w:szCs w:val="20"/>
          <w:color w:val="auto"/>
        </w:rPr>
      </w:pPr>
      <w:r>
        <w:rPr>
          <w:rFonts w:ascii="Arial" w:cs="Arial" w:eastAsia="Arial" w:hAnsi="Arial"/>
          <w:sz w:val="17"/>
          <w:szCs w:val="17"/>
          <w:color w:val="auto"/>
        </w:rPr>
        <w:t>We currently own facilities consisting of approximately 124,000 square feet in Huntsville, Alabama, which houses laboratories as well as administrative, clinical and commercial manufacturing facilities for our PEGylation and advanced polymer conjugate technology operations as well as manufacturing of APIs for early clinical studies.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0" w:lineRule="exact"/>
        <w:rPr>
          <w:sz w:val="20"/>
          <w:szCs w:val="20"/>
          <w:color w:val="auto"/>
        </w:rPr>
      </w:pPr>
    </w:p>
    <w:p>
      <w:pPr>
        <w:ind w:right="100" w:firstLine="172"/>
        <w:spacing w:after="0" w:line="279" w:lineRule="auto"/>
        <w:rPr>
          <w:sz w:val="20"/>
          <w:szCs w:val="20"/>
          <w:color w:val="auto"/>
        </w:rPr>
      </w:pPr>
      <w:r>
        <w:rPr>
          <w:rFonts w:ascii="Arial" w:cs="Arial" w:eastAsia="Arial" w:hAnsi="Arial"/>
          <w:sz w:val="17"/>
          <w:szCs w:val="17"/>
          <w:color w:val="auto"/>
        </w:rPr>
        <w:t>From time to time, we are subject to legal proceedings. We are not currently a party to or aware of any proceedings that we believe will have, individually or in the aggregate, a material adverse effect on our business, financial condition or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common stock trades on The NASDAQ Global Select Market under the symbol “NKTR.”</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February 21, 2023, there were approximately 148 holders of record of our common stock.</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0" w:lineRule="exact"/>
        <w:rPr>
          <w:sz w:val="20"/>
          <w:szCs w:val="20"/>
          <w:color w:val="auto"/>
        </w:rPr>
      </w:pPr>
    </w:p>
    <w:p>
      <w:pPr>
        <w:ind w:right="620" w:firstLine="169"/>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expect to retain any future earnings for use in the operation and expansion of our business and do not anticipate paying any cash dividends on our common stock in the foreseeable future.</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were no sales of unregistered securities and there were no common stock repurchases made during the year ended December 31, 2022.</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20" w:lineRule="exact"/>
        <w:rPr>
          <w:sz w:val="20"/>
          <w:szCs w:val="20"/>
          <w:color w:val="auto"/>
        </w:rPr>
      </w:pPr>
    </w:p>
    <w:p>
      <w:pPr>
        <w:ind w:right="180" w:firstLine="172"/>
        <w:spacing w:after="0" w:line="262" w:lineRule="auto"/>
        <w:rPr>
          <w:sz w:val="20"/>
          <w:szCs w:val="20"/>
          <w:color w:val="auto"/>
        </w:rPr>
      </w:pPr>
      <w:r>
        <w:rPr>
          <w:rFonts w:ascii="Arial" w:cs="Arial" w:eastAsia="Arial" w:hAnsi="Arial"/>
          <w:sz w:val="17"/>
          <w:szCs w:val="17"/>
          <w:color w:val="auto"/>
        </w:rPr>
        <w:t>Information regarding our equity compensation plans as of December 31, 2022 is disclosed in Item 12 “Security Ownership of Certain Beneficial Owners and Management and Related Stockholder Matters” of this Annual Report on Form 10-K and is incorporated herein by reference from our proxy statement for our 2023 annual meeting of stockholders to be filed with the SEC pursuant to Regulation 14A not later than 120 days after the end of the fiscal year covered by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Measurement Comparison</w:t>
      </w:r>
    </w:p>
    <w:p>
      <w:pPr>
        <w:spacing w:after="0" w:line="120" w:lineRule="exact"/>
        <w:rPr>
          <w:sz w:val="20"/>
          <w:szCs w:val="20"/>
          <w:color w:val="auto"/>
        </w:rPr>
      </w:pPr>
    </w:p>
    <w:p>
      <w:pPr>
        <w:jc w:val="both"/>
        <w:ind w:firstLine="169"/>
        <w:spacing w:after="0" w:line="266" w:lineRule="auto"/>
        <w:rPr>
          <w:sz w:val="20"/>
          <w:szCs w:val="20"/>
          <w:color w:val="auto"/>
        </w:rPr>
      </w:pPr>
      <w:r>
        <w:rPr>
          <w:rFonts w:ascii="Arial" w:cs="Arial" w:eastAsia="Arial" w:hAnsi="Arial"/>
          <w:sz w:val="17"/>
          <w:szCs w:val="17"/>
          <w:color w:val="auto"/>
        </w:rPr>
        <w:t>The material in this section is being furnished and shall not be deemed “filed” with the SEC for purposes of Section 18 of the Exchange Act or otherwise subject to the liability of that section, nor shall the material in this section be deemed to be incorporated by reference in any registration statement or other document filed with the SEC under the Securities Act or the Exchange Act, except as otherwise expressly stated in such filing.</w:t>
      </w:r>
    </w:p>
    <w:p>
      <w:pPr>
        <w:spacing w:after="0" w:line="175" w:lineRule="exact"/>
        <w:rPr>
          <w:sz w:val="20"/>
          <w:szCs w:val="20"/>
          <w:color w:val="auto"/>
        </w:rPr>
      </w:pPr>
    </w:p>
    <w:p>
      <w:pPr>
        <w:ind w:right="40" w:firstLine="169"/>
        <w:spacing w:after="0" w:line="299" w:lineRule="auto"/>
        <w:rPr>
          <w:sz w:val="20"/>
          <w:szCs w:val="20"/>
          <w:color w:val="auto"/>
        </w:rPr>
      </w:pPr>
      <w:r>
        <w:rPr>
          <w:rFonts w:ascii="Arial" w:cs="Arial" w:eastAsia="Arial" w:hAnsi="Arial"/>
          <w:sz w:val="15"/>
          <w:szCs w:val="15"/>
          <w:color w:val="auto"/>
        </w:rPr>
        <w:t>The following graph compares, for the five year period ended December 31, 2022, the cumulative total stockholder return (change in stock price plus reinvested dividends) of our common stock with (i) the NASDAQ Composite Index, (ii) the NASDAQ Biotechnology Index and (iii) the RDG SmallCap Biotechnology Index. Measurement points are the last trading day of each of our fiscal years ended December 31, 2018, December 31, 2019, December 31, 2020, December 31, 2021 and December 31, 2022. The graph assumes that $100 was invested on December 31, 2017 in the common stock of the Company, the NASDAQ Composite Index, the Nasdaq Pharmaceutical Index, the RDG SmallCap Pharmaceutical Index, the NASDAQ Biotechnology Index and the RDG SmallCap Biotechnology Index and assumes reinvestment of any dividends. The stock price performance in the graph is not intended to forecast or indicate future stock price performance.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686435</wp:posOffset>
            </wp:positionV>
            <wp:extent cx="5599430" cy="46501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599430" cy="465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59"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i w:val="1"/>
          <w:iCs w:val="1"/>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 Item 1A —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Strategic Direction of Our Business</w:t>
      </w:r>
    </w:p>
    <w:p>
      <w:pPr>
        <w:spacing w:after="0" w:line="243" w:lineRule="exact"/>
        <w:rPr>
          <w:sz w:val="20"/>
          <w:szCs w:val="20"/>
          <w:color w:val="auto"/>
        </w:rPr>
      </w:pPr>
    </w:p>
    <w:p>
      <w:pPr>
        <w:ind w:right="180" w:firstLine="619"/>
        <w:spacing w:after="0" w:line="257" w:lineRule="auto"/>
        <w:rPr>
          <w:sz w:val="20"/>
          <w:szCs w:val="20"/>
          <w:color w:val="auto"/>
        </w:rPr>
      </w:pPr>
      <w:r>
        <w:rPr>
          <w:rFonts w:ascii="Arial" w:cs="Arial" w:eastAsia="Arial" w:hAnsi="Arial"/>
          <w:sz w:val="17"/>
          <w:szCs w:val="17"/>
          <w:color w:val="auto"/>
        </w:rPr>
        <w:t>Nektar Therapeutics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and unparalleled expertise in polymer chemistry to create innovative drug candidates and use our drug development expertise to advance these molecules through preclinical and clinical development . Our pipeline of clinical-stage immunomodulatory agents targets the treatment of autoimmune diseases (e.g. rezpegaldesleukin) and cancer (e.g. NKTR-255). We continue to make significant investments in building and advancing our pipeline of drug candidates as we believe that this is the best strategy to build long-term shareholder value.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both"/>
        <w:ind w:right="60" w:firstLine="619"/>
        <w:spacing w:after="0" w:line="266" w:lineRule="auto"/>
        <w:rPr>
          <w:sz w:val="20"/>
          <w:szCs w:val="20"/>
          <w:color w:val="auto"/>
        </w:rPr>
      </w:pPr>
      <w:r>
        <w:rPr>
          <w:rFonts w:ascii="Arial" w:cs="Arial" w:eastAsia="Arial" w:hAnsi="Arial"/>
          <w:sz w:val="17"/>
          <w:szCs w:val="17"/>
          <w:color w:val="auto"/>
        </w:rPr>
        <w:t>In April 2022, we announced new strategic reorganization and cost restructuring plans (together, the 2022 Restructuring Plan) focused on prioritizing key research and development efforts that will be most impactful to the Company’s future, including our rezpegaldesleukin (previously referred to as NKTR-358) and NKTR-255 programs and several core research programs.</w:t>
      </w:r>
    </w:p>
    <w:p>
      <w:pPr>
        <w:spacing w:after="0" w:line="72" w:lineRule="exact"/>
        <w:rPr>
          <w:sz w:val="20"/>
          <w:szCs w:val="20"/>
          <w:color w:val="auto"/>
        </w:rPr>
      </w:pPr>
    </w:p>
    <w:p>
      <w:pPr>
        <w:ind w:firstLine="619"/>
        <w:spacing w:after="0" w:line="291" w:lineRule="auto"/>
        <w:rPr>
          <w:sz w:val="20"/>
          <w:szCs w:val="20"/>
          <w:color w:val="auto"/>
        </w:rPr>
      </w:pPr>
      <w:r>
        <w:rPr>
          <w:rFonts w:ascii="Arial" w:cs="Arial" w:eastAsia="Arial" w:hAnsi="Arial"/>
          <w:sz w:val="15"/>
          <w:szCs w:val="15"/>
          <w:color w:val="auto"/>
        </w:rPr>
        <w:t>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regulatory T cells (Treg cells). By activating these cells, rezpegaldesleukin may act to bring the immune system back into balance. Rezpegaldesleukin is being developed as a once or twice monthly self-administered injection for a number of autoimmune disorders and inflammatory diseases. In 2017, we entered into a worldwide license agreement with Eli Lilly and Company (Lilly) to develop and commercialize rezpegaldesleukin, pursuant to which we received an initial payment of $150.0 million and are eligible for up to an additional $250.0 million for development and regulatory milestones. We have completed our responsibilities for Phase 1 clinical development and certain drug product development and supply activities. We also share Phase 2 development costs with Lilly, with Lilly responsible for 75% and Nektar responsible for 25% of these costs. Lilly is responsible for the costs of Phase 3 development, but we retain the option to contribute up to 25% of the costs of Phase 3 development on an indication-by-indication basis in order for us to achieve the maximum royalty level under the Lilly Agreement, and further, if approved, we will have the opportunity to receive a royalty rate up to the low twenties percent based upon our Phase 3 development cost</w:t>
      </w:r>
    </w:p>
    <w:p>
      <w:pPr>
        <w:spacing w:after="0" w:line="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contribution and the level of annual global product sales. We have announced our intention to exercise our option to fully fund Nektar’s 25% share of the Phase 3 development costs for rezpegaldesleukin.</w:t>
      </w:r>
    </w:p>
    <w:p>
      <w:pPr>
        <w:spacing w:after="0" w:line="61"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 xml:space="preserve">Rezpegaldesleukin has advanced to Phase 2 development, which our collaboration partner, Lilly, has carried out in various indications. On February 23, 2023, we announced the topline data from the Phase 2 study of rezpegaldesleukin in adult patients with systemic lupus erythematosus (SLE) (Phase 2 Lupus Study). The primary endpoint of the Phase 2 Lupus Study, a </w:t>
      </w:r>
      <w:r>
        <w:rPr>
          <w:rFonts w:ascii="Arial" w:cs="Arial" w:eastAsia="Arial" w:hAnsi="Arial"/>
          <w:sz w:val="16"/>
          <w:szCs w:val="16"/>
          <w:u w:val="single" w:color="auto"/>
          <w:color w:val="auto"/>
        </w:rPr>
        <w:t>&gt;</w:t>
      </w:r>
      <w:r>
        <w:rPr>
          <w:rFonts w:ascii="Arial" w:cs="Arial" w:eastAsia="Arial" w:hAnsi="Arial"/>
          <w:sz w:val="16"/>
          <w:szCs w:val="16"/>
          <w:color w:val="auto"/>
        </w:rPr>
        <w:t>4-points reduction in Systemic Lupus Erythematosus Disease Activity Index 2000 (SLEDAI-2K) score, was not met and Lilly has notified us that it does not intend to advance rezpegaldesleukin into Phase 3 development for SLE. Although the Phase 2 Lupus Study did not meet its primary endpoint, patients within the modified intent-to-treat population, defined as all patients who were randomized and received at least one dose of study medication, that were treated with rezpegaldesleukin demonstrated improvement in SLEDAI-2K score as compared to placebo. Additionally, clinically meaningful improvements were observed in the British Isles Lupus Assessment Group (BILAG)-Based Composite Lupus Assessment (BICLA) response and Lupus Low Disease Activity State (LLDAS) as compared to placebo, and exploratory biomarker data also showed that rezpegaldesleukin led to dose-dependent proliferation of Treg cells, which was consistent with prior studies.</w:t>
      </w:r>
    </w:p>
    <w:p>
      <w:pPr>
        <w:spacing w:after="0" w:line="172"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In oncology, we focus on developing medicines that target biological pathways that stimulate and sustain the body’s immune response in order to fight cancer. Our drug candidate NKTR-255 is an investigational biologic that is designed to target the IL-15 pathway in order to activate the body's innate and adaptive immunity. Through optimal engagement of the IL-15 receptor complex, NKTR-255 is designed to enhance functional NK cell populations and formation of long-term immunological memory, which may lead to sustained and durable anti-tumor immune response. Preclinical findings suggest NKTR-255 has the potential to synergistically combine with antibody-dependent cellular cytotoxicity molecules as well as to enhance CAR-T therapies. Our development strategy for NKTR-255 is focused on three therapeutic areas: to enhance response to antibody-dependent cellular cytotoxicity (ADCC) mediated therapies by restoring NK cells, to improve CAR-T cell persistency in cellular therapies and to augment response to checkpoint inhibitors.</w:t>
      </w:r>
    </w:p>
    <w:p>
      <w:pPr>
        <w:spacing w:after="0" w:line="169" w:lineRule="exact"/>
        <w:rPr>
          <w:sz w:val="20"/>
          <w:szCs w:val="20"/>
          <w:color w:val="auto"/>
        </w:rPr>
      </w:pPr>
    </w:p>
    <w:p>
      <w:pPr>
        <w:ind w:right="120" w:firstLine="619"/>
        <w:spacing w:after="0" w:line="293" w:lineRule="auto"/>
        <w:rPr>
          <w:sz w:val="20"/>
          <w:szCs w:val="20"/>
          <w:color w:val="auto"/>
        </w:rPr>
      </w:pPr>
      <w:r>
        <w:rPr>
          <w:rFonts w:ascii="Arial" w:cs="Arial" w:eastAsia="Arial" w:hAnsi="Arial"/>
          <w:sz w:val="15"/>
          <w:szCs w:val="15"/>
          <w:color w:val="auto"/>
        </w:rPr>
        <w:t>We are studying NKTR-255 in ADCC combinations in both liquid and solid tumors. We have initiated a Phase 1 dose escalation and expansion study of NKTR-255 in patients with relapsed or refractory non-Hodgkin lymphoma or multiple myeloma where patients are treated with NKTR-255 as a monotherapy or NKTR-255 in combination with daratumumab. We have also initiated a Phase 1/2 study of NKTR-255 in patients with relapsed or refractory head and neck squamous cell carcinoma or colorectal cancer where patients are treated with NKTR-255 in combination with cetuximab. In addition, we initiated a Nektar-sponsored Phase 2/3 study to evaluate NKTR-255 following Yescarta® or Breyanzi® CD19 CAR-T cell therapy in patients with large B-cell lymphoma. Two ongoing investigator sponsored trials are evaluating NKTR-255 following treatment with a CAR-T cell therapy. These studies include a Phase 1 study evaluating NKTR-255 in combination with CD19 CAR-T cell therapy in patients with relapsed or refractory large B-cell lymphoma and a Phase 1 study evaluating NKTR-255 in combination with CD19/22 CAR-T cell therapy in patients with relapsed or refractory B-cell acute lymphoblastic leukemia. A third investigator sponsored study is evaluating NKTR-255 in combination with darvulamab in patients with unresectable Stage 3 non-small lung cancer who have received chemoradiation. We are continuing our oncology clinical collaboration with Merck KGaA and Pfizer Inc. to evaluate the maintenance regimen of NKTR-255 in combination with</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avelumab, a PD-L1 inhibitor, in patients with locally advanced or metastatic urothelial carcinoma in the Phase II JAVELIN Bladder Medley study.</w:t>
      </w:r>
    </w:p>
    <w:p>
      <w:pPr>
        <w:spacing w:after="0" w:line="217" w:lineRule="exact"/>
        <w:rPr>
          <w:sz w:val="20"/>
          <w:szCs w:val="20"/>
          <w:color w:val="auto"/>
        </w:rPr>
      </w:pPr>
    </w:p>
    <w:p>
      <w:pPr>
        <w:ind w:right="20" w:firstLine="619"/>
        <w:spacing w:after="0" w:line="274" w:lineRule="auto"/>
        <w:rPr>
          <w:sz w:val="20"/>
          <w:szCs w:val="20"/>
          <w:color w:val="auto"/>
        </w:rPr>
      </w:pPr>
      <w:r>
        <w:rPr>
          <w:rFonts w:ascii="Arial" w:cs="Arial" w:eastAsia="Arial" w:hAnsi="Arial"/>
          <w:sz w:val="16"/>
          <w:szCs w:val="16"/>
          <w:color w:val="auto"/>
        </w:rPr>
        <w:t>We continue to advance our most promising research drug candidates into preclinical development with the objective of advancing these early-stage research programs to human clinical studies over the next several years. Our lead research program is focused on developing a tumor necrosis factor (TNF) receptor 2 (TNFR2) agonist antibody. TNFR2 signaling drives immunoregulatory function and can provide a direct protective effect for tissue cells. Our focus is on TNFR2 antibody candidates that show selective Treg cell binding and signaling profiles that may be developed for treatment of autoimmune diseases. In connection with this program, we are targeting IND readiness for a lead TNFR2 agonist antibody candidate by the end of 2023 in order to submit an Investigational New Drug (IND) filing for the first clinical study in 2024. We also plan to continue our preclinical stage NKTR-288 development program. NKTR-288 is an investigational PEG conjugate of the protein interferon gamma that is designed utilizing a site-specific conjugation approach to modify binding of interferon gamma with one of its substrates and to optimize the pharmacodynamic duration of interferon gamma signaling. We believe this program has applications in a number of therapeutic indications including oncology as well as in other infectious diseases.</w:t>
      </w:r>
    </w:p>
    <w:p>
      <w:pPr>
        <w:spacing w:after="0" w:line="172"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We have historically derived all of our revenue and substantial amounts of research and development operating capital from our collaboration agreements. In addition to our collaboration with Lilly, we have received upfront and milestone payments under a number of other previous collaboration agreements, several of which have resulted in approved drugs, for which we may continue to manufacture the polymer reagents used in the production of the drug products and may be entitled to royalties for net sales of these approved drugs. However, we have sold the majority of our rights to receive royalties under these arrangements, including:</w:t>
      </w:r>
    </w:p>
    <w:p>
      <w:pPr>
        <w:spacing w:after="0" w:line="73" w:lineRule="exact"/>
        <w:rPr>
          <w:sz w:val="20"/>
          <w:szCs w:val="20"/>
          <w:color w:val="auto"/>
        </w:rPr>
      </w:pPr>
    </w:p>
    <w:p>
      <w:pPr>
        <w:ind w:left="620" w:right="120" w:hanging="307"/>
        <w:spacing w:after="0" w:line="229"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2012 Purchase and Sale Agreement: In 2012, we sold all of our rights to receive royalties from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treatment of Crohn’s disease and other autoimmune indications) and 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treatment of anemia associated with chronic kidney disease) under our collaborations with UCB Pharma and F. Hoffmann-La Roche Ltd, respectively, to RPI Finance Trust (RPI), an affiliate of Royalty Pharma for $124.0 million.</w:t>
      </w:r>
    </w:p>
    <w:p>
      <w:pPr>
        <w:spacing w:after="0" w:line="85" w:lineRule="exact"/>
        <w:rPr>
          <w:rFonts w:ascii="Arial" w:cs="Arial" w:eastAsia="Arial" w:hAnsi="Arial"/>
          <w:sz w:val="16"/>
          <w:szCs w:val="16"/>
          <w:color w:val="auto"/>
        </w:rPr>
      </w:pPr>
    </w:p>
    <w:p>
      <w:pPr>
        <w:ind w:left="620" w:right="60" w:hanging="307"/>
        <w:spacing w:after="0" w:line="23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2020 Purchase and Sale Agreement: In December 2020, we sold our rights, subject to a cap, to receive royalties from MOVANTIK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MOVENTIG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treatment of opioid-induced constipation), ADYNOVATE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ADYNOVI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(HCR) under a capped sale arrangement, such that all future royalties return to Nektar if HCR receives $210.0 million in royalties by December 31, 2025 (the 2025 Threshold) or $240.0 million if the 2025 Threshold is not met.</w:t>
      </w:r>
    </w:p>
    <w:p>
      <w:pPr>
        <w:spacing w:after="0" w:line="97" w:lineRule="exact"/>
        <w:rPr>
          <w:sz w:val="20"/>
          <w:szCs w:val="20"/>
          <w:color w:val="auto"/>
        </w:rPr>
      </w:pPr>
    </w:p>
    <w:p>
      <w:pPr>
        <w:ind w:right="80" w:firstLine="619"/>
        <w:spacing w:after="0" w:line="256" w:lineRule="auto"/>
        <w:rPr>
          <w:sz w:val="20"/>
          <w:szCs w:val="20"/>
          <w:color w:val="auto"/>
        </w:rPr>
      </w:pPr>
      <w:r>
        <w:rPr>
          <w:rFonts w:ascii="Arial" w:cs="Arial" w:eastAsia="Arial" w:hAnsi="Arial"/>
          <w:sz w:val="17"/>
          <w:szCs w:val="17"/>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We continue to actively monitor the ongoing COVID-19 pandemic and applicable government recommendations in light of new developments. If the COVID-19 pandemic is further prolonged or becomes more severe, our business operations and corresponding financial results could suffer, which could have a material adverse impact on our prospects for growth. For a discussion of these and some of the other key risks and uncertainties affecting our business, see Item 1A “Risk Factors.”</w:t>
      </w:r>
    </w:p>
    <w:p>
      <w:pPr>
        <w:spacing w:after="0" w:line="186"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With respect to financing our near-term business needs, as set forth below in “Key Developments and Trends in Liquidity and Capital Resources,” we estimate we have working capital to fund our current business plans through at least the next twelve months. At December 31, 2022, we had approximately $505.0 million in cash and investments in marketable securities.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Years Ended December 31, 2022 and 2021</w:t>
      </w:r>
    </w:p>
    <w:p>
      <w:pPr>
        <w:spacing w:after="0" w:line="11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results of operations for the years ended December 31, 2022 and 2021 is presented below. Additional information required by Item 7 for the year ended December 31, 2020 can be found in Item 7 in our Annual Report on Form 10-K for the year December 31, 2021, filed with the SEC on March 1, 2022 and is incorporated herein by reference.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2" w:name="page43"/>
    <w:bookmarkEnd w:id="42"/>
    <w:p>
      <w:pPr>
        <w:ind w:left="320"/>
        <w:spacing w:after="0"/>
        <w:rPr>
          <w:sz w:val="20"/>
          <w:szCs w:val="20"/>
          <w:color w:val="auto"/>
        </w:rPr>
      </w:pPr>
      <w:r>
        <w:rPr>
          <w:rFonts w:ascii="Arial" w:cs="Arial" w:eastAsia="Arial" w:hAnsi="Arial"/>
          <w:sz w:val="17"/>
          <w:szCs w:val="17"/>
          <w:b w:val="1"/>
          <w:bCs w:val="1"/>
          <w:i w:val="1"/>
          <w:iCs w:val="1"/>
          <w:color w:val="auto"/>
        </w:rPr>
        <w:t>Revenue (in thousands, except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Product sales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Non cash royalty revenue related to the sales of future royalties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License, collaboration and other revenue</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revenue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Increase/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(Decrease)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4"/>
              </w:rPr>
              <w:t>2022 vs. 2021</w:t>
            </w:r>
          </w:p>
        </w:tc>
        <w:tc>
          <w:tcPr>
            <w:tcW w:w="10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2022 vs. 2021</w:t>
            </w:r>
          </w:p>
        </w:tc>
        <w:tc>
          <w:tcPr>
            <w:tcW w:w="0" w:type="dxa"/>
            <w:vAlign w:val="bottom"/>
          </w:tcPr>
          <w:p>
            <w:pPr>
              <w:spacing w:after="0"/>
              <w:rPr>
                <w:sz w:val="1"/>
                <w:szCs w:val="1"/>
                <w:color w:val="auto"/>
              </w:rPr>
            </w:pPr>
          </w:p>
        </w:tc>
      </w:tr>
      <w:tr>
        <w:trPr>
          <w:trHeight w:val="243"/>
        </w:trPr>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20,348</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23,725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center"/>
              <w:ind w:left="381"/>
              <w:spacing w:after="0"/>
              <w:rPr>
                <w:sz w:val="20"/>
                <w:szCs w:val="20"/>
                <w:color w:val="auto"/>
              </w:rPr>
            </w:pPr>
            <w:r>
              <w:rPr>
                <w:rFonts w:ascii="Arial" w:cs="Arial" w:eastAsia="Arial" w:hAnsi="Arial"/>
                <w:sz w:val="17"/>
                <w:szCs w:val="17"/>
                <w:color w:val="auto"/>
                <w:w w:val="92"/>
              </w:rPr>
              <w:t>(3,377)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69,794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77,746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left="381"/>
              <w:spacing w:after="0"/>
              <w:rPr>
                <w:sz w:val="20"/>
                <w:szCs w:val="20"/>
                <w:color w:val="auto"/>
              </w:rPr>
            </w:pPr>
            <w:r>
              <w:rPr>
                <w:rFonts w:ascii="Arial" w:cs="Arial" w:eastAsia="Arial" w:hAnsi="Arial"/>
                <w:sz w:val="17"/>
                <w:szCs w:val="17"/>
                <w:color w:val="auto"/>
                <w:w w:val="92"/>
              </w:rPr>
              <w:t>(7,952)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9"/>
        </w:trPr>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421"/>
              <w:spacing w:after="0"/>
              <w:rPr>
                <w:sz w:val="20"/>
                <w:szCs w:val="20"/>
                <w:color w:val="auto"/>
              </w:rPr>
            </w:pPr>
            <w:r>
              <w:rPr>
                <w:rFonts w:ascii="Arial" w:cs="Arial" w:eastAsia="Arial" w:hAnsi="Arial"/>
                <w:sz w:val="17"/>
                <w:szCs w:val="17"/>
                <w:color w:val="auto"/>
                <w:w w:val="89"/>
              </w:rPr>
              <w:t>1,477</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&gt;100%</w:t>
            </w:r>
          </w:p>
        </w:tc>
        <w:tc>
          <w:tcPr>
            <w:tcW w:w="0" w:type="dxa"/>
            <w:vAlign w:val="bottom"/>
          </w:tcPr>
          <w:p>
            <w:pPr>
              <w:spacing w:after="0"/>
              <w:rPr>
                <w:sz w:val="1"/>
                <w:szCs w:val="1"/>
                <w:color w:val="auto"/>
              </w:rPr>
            </w:pPr>
          </w:p>
        </w:tc>
      </w:tr>
      <w:tr>
        <w:trPr>
          <w:trHeight w:val="212"/>
        </w:trPr>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101,907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center"/>
              <w:ind w:left="381"/>
              <w:spacing w:after="0"/>
              <w:rPr>
                <w:sz w:val="20"/>
                <w:szCs w:val="20"/>
                <w:color w:val="auto"/>
              </w:rPr>
            </w:pPr>
            <w:r>
              <w:rPr>
                <w:rFonts w:ascii="Arial" w:cs="Arial" w:eastAsia="Arial" w:hAnsi="Arial"/>
                <w:sz w:val="17"/>
                <w:szCs w:val="17"/>
                <w:color w:val="auto"/>
                <w:w w:val="92"/>
              </w:rPr>
              <w:t>(9,852)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-670560</wp:posOffset>
            </wp:positionV>
            <wp:extent cx="7138670" cy="163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-342900</wp:posOffset>
            </wp:positionV>
            <wp:extent cx="7138670" cy="163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65" w:right="339" w:bottom="1440" w:gutter="0" w:footer="0" w:header="0"/>
        </w:sectPr>
      </w:pPr>
    </w:p>
    <w:p>
      <w:pPr>
        <w:spacing w:after="0" w:line="3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Our revenue is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 The amount of upfront fees received under our license and collaboration agreements allocated to continuing obligations, such as development or manufacturing and supply commitments, is generally recognized as we deliver products or provide development services. As a result, there may be significant variations in the timing of receipt of cash payments and our recognition of revenue. We make our best estimate of the timing and amount of products and services expected to be required to fulfill our performance obligations. Given the uncertainties in research and development collaborations, significant judgment is required to make these estimates.</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Product Sales</w:t>
      </w:r>
    </w:p>
    <w:p>
      <w:pPr>
        <w:spacing w:after="0" w:line="114" w:lineRule="exact"/>
        <w:rPr>
          <w:sz w:val="20"/>
          <w:szCs w:val="20"/>
          <w:color w:val="auto"/>
        </w:rPr>
      </w:pPr>
    </w:p>
    <w:p>
      <w:pPr>
        <w:ind w:right="80" w:firstLine="172"/>
        <w:spacing w:after="0" w:line="349" w:lineRule="auto"/>
        <w:rPr>
          <w:sz w:val="20"/>
          <w:szCs w:val="20"/>
          <w:color w:val="auto"/>
        </w:rPr>
      </w:pPr>
      <w:r>
        <w:rPr>
          <w:rFonts w:ascii="Arial" w:cs="Arial" w:eastAsia="Arial" w:hAnsi="Arial"/>
          <w:sz w:val="15"/>
          <w:szCs w:val="15"/>
          <w:color w:val="auto"/>
        </w:rPr>
        <w:t>Product sales include predominantly fixed price manufacturing and supply agreements with our collaboration partners and are the result of firm purchase orders from those partners. The timing of shipments is based solely on the demand and requirements of our collaboration partners and is not ratable throughout the year.</w:t>
      </w:r>
    </w:p>
    <w:p>
      <w:pPr>
        <w:spacing w:after="0" w:line="117" w:lineRule="exact"/>
        <w:rPr>
          <w:sz w:val="20"/>
          <w:szCs w:val="20"/>
          <w:color w:val="auto"/>
        </w:rPr>
      </w:pPr>
    </w:p>
    <w:p>
      <w:pPr>
        <w:ind w:right="720" w:firstLine="172"/>
        <w:spacing w:after="0" w:line="279" w:lineRule="auto"/>
        <w:rPr>
          <w:sz w:val="20"/>
          <w:szCs w:val="20"/>
          <w:color w:val="auto"/>
        </w:rPr>
      </w:pPr>
      <w:r>
        <w:rPr>
          <w:rFonts w:ascii="Arial" w:cs="Arial" w:eastAsia="Arial" w:hAnsi="Arial"/>
          <w:sz w:val="17"/>
          <w:szCs w:val="17"/>
          <w:color w:val="auto"/>
        </w:rPr>
        <w:t>Product sales decreased for the year ended December 31, 2022, as compared to the year ended December 31, 2021, due to decreased demand from our collaboration partners. We expect product sales for 2023 to be consistent with 2022.</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Non-cash Royalty Revenue Related to Sales of Future Royalties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a discussion of our Non-cash royalty revenue, please see our discussion below “Non-Cash Royalty Revenue and Non-Cash Interest Expense.”</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License, Collaboration and Other Revenue</w:t>
      </w:r>
    </w:p>
    <w:p>
      <w:pPr>
        <w:spacing w:after="0" w:line="114" w:lineRule="exact"/>
        <w:rPr>
          <w:sz w:val="20"/>
          <w:szCs w:val="20"/>
          <w:color w:val="auto"/>
        </w:rPr>
      </w:pPr>
    </w:p>
    <w:p>
      <w:pPr>
        <w:ind w:firstLine="172"/>
        <w:spacing w:after="0" w:line="276" w:lineRule="auto"/>
        <w:rPr>
          <w:sz w:val="20"/>
          <w:szCs w:val="20"/>
          <w:color w:val="auto"/>
        </w:rPr>
      </w:pPr>
      <w:r>
        <w:rPr>
          <w:rFonts w:ascii="Arial" w:cs="Arial" w:eastAsia="Arial" w:hAnsi="Arial"/>
          <w:sz w:val="16"/>
          <w:szCs w:val="16"/>
          <w:color w:val="auto"/>
        </w:rPr>
        <w:t>License, collaboration and other revenue includes the recognition of upfront payments, milestone and other contingent payments received in connection with our license and collaboration agreements and certain research and development activities. The level of license, collaboration and other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During the year ended December 31, 2022, we recognized $1.5 million for a license agreement, under which we are entitled to no further consideration. As a result of the recognition of this revenue, revenue increased for the year ended December 31, 2022 as compared to year ended December 31, 2021. We do not expect significant license, collaboration and other revenue for 2023.</w:t>
      </w:r>
    </w:p>
    <w:p>
      <w:pPr>
        <w:spacing w:after="0" w:line="169" w:lineRule="exact"/>
        <w:rPr>
          <w:sz w:val="20"/>
          <w:szCs w:val="20"/>
          <w:color w:val="auto"/>
        </w:rPr>
      </w:pPr>
    </w:p>
    <w:p>
      <w:pPr>
        <w:ind w:right="120" w:firstLine="169"/>
        <w:spacing w:after="0" w:line="279" w:lineRule="auto"/>
        <w:rPr>
          <w:sz w:val="20"/>
          <w:szCs w:val="20"/>
          <w:color w:val="auto"/>
        </w:rPr>
      </w:pPr>
      <w:r>
        <w:rPr>
          <w:rFonts w:ascii="Arial" w:cs="Arial" w:eastAsia="Arial" w:hAnsi="Arial"/>
          <w:sz w:val="17"/>
          <w:szCs w:val="17"/>
          <w:color w:val="auto"/>
        </w:rPr>
        <w:t>The timing and future success of our drug development programs and those of our collaboration partners are subject to a number of risks and uncertainties. See Item 1A. Risk Factors for discussion of the risks associated with the complex nature of our collaboration agreements.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43" w:name="page44"/>
    <w:bookmarkEnd w:id="43"/>
    <w:p>
      <w:pPr>
        <w:ind w:left="320"/>
        <w:spacing w:after="0"/>
        <w:rPr>
          <w:sz w:val="20"/>
          <w:szCs w:val="20"/>
          <w:color w:val="auto"/>
        </w:rPr>
      </w:pPr>
      <w:r>
        <w:rPr>
          <w:rFonts w:ascii="Arial" w:cs="Arial" w:eastAsia="Arial" w:hAnsi="Arial"/>
          <w:sz w:val="17"/>
          <w:szCs w:val="17"/>
          <w:b w:val="1"/>
          <w:bCs w:val="1"/>
          <w:i w:val="1"/>
          <w:iCs w:val="1"/>
          <w:color w:val="auto"/>
        </w:rPr>
        <w:t>Revenue by geography (in thousands)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Revenue by geographic area is based on the headquarters or shipping locations of our partners. The following table sets forth revenue by geographic area: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Year Ended December 31,</w:t>
            </w:r>
          </w:p>
        </w:tc>
      </w:tr>
      <w:tr>
        <w:trPr>
          <w:trHeight w:val="24"/>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84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r>
      <w:tr>
        <w:trPr>
          <w:trHeight w:val="219"/>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9,841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10,114</w:t>
            </w:r>
          </w:p>
        </w:tc>
      </w:tr>
      <w:tr>
        <w:trPr>
          <w:trHeight w:val="218"/>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Rest of World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82,214</w:t>
            </w: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91,793</w:t>
            </w:r>
          </w:p>
        </w:tc>
      </w:tr>
      <w:tr>
        <w:trPr>
          <w:trHeight w:val="238"/>
        </w:trPr>
        <w:tc>
          <w:tcPr>
            <w:tcW w:w="8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92,055</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101,907</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goods sold (in thousands, except percentages)</w:t>
      </w:r>
    </w:p>
    <w:p>
      <w:pPr>
        <w:spacing w:after="0" w:line="200" w:lineRule="exact"/>
        <w:rPr>
          <w:sz w:val="20"/>
          <w:szCs w:val="20"/>
          <w:color w:val="auto"/>
        </w:rPr>
      </w:pPr>
    </w:p>
    <w:p>
      <w:pPr>
        <w:spacing w:after="0" w:line="33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Increase/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 Increase/</w:t>
            </w:r>
          </w:p>
        </w:tc>
        <w:tc>
          <w:tcPr>
            <w:tcW w:w="0" w:type="dxa"/>
            <w:vAlign w:val="bottom"/>
          </w:tcPr>
          <w:p>
            <w:pPr>
              <w:spacing w:after="0"/>
              <w:rPr>
                <w:sz w:val="1"/>
                <w:szCs w:val="1"/>
                <w:color w:val="auto"/>
              </w:rPr>
            </w:pPr>
          </w:p>
        </w:tc>
      </w:tr>
      <w:tr>
        <w:trPr>
          <w:trHeight w:val="132"/>
        </w:trPr>
        <w:tc>
          <w:tcPr>
            <w:tcW w:w="5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gridSpan w:val="4"/>
            <w:vMerge w:val="restart"/>
          </w:tcPr>
          <w:p>
            <w:pPr>
              <w:jc w:val="right"/>
              <w:ind w:right="478"/>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6"/>
              </w:rPr>
              <w:t>(Decrease)</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01"/>
        </w:trPr>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280"/>
              <w:spacing w:after="0" w:line="119" w:lineRule="exact"/>
              <w:rPr>
                <w:sz w:val="20"/>
                <w:szCs w:val="20"/>
                <w:color w:val="auto"/>
              </w:rPr>
            </w:pPr>
            <w:r>
              <w:rPr>
                <w:rFonts w:ascii="Arial" w:cs="Arial" w:eastAsia="Arial" w:hAnsi="Arial"/>
                <w:sz w:val="13"/>
                <w:szCs w:val="13"/>
                <w:b w:val="1"/>
                <w:bCs w:val="1"/>
                <w:color w:val="auto"/>
                <w:w w:val="90"/>
              </w:rPr>
              <w:t>2022 vs.</w:t>
            </w:r>
          </w:p>
        </w:tc>
        <w:tc>
          <w:tcPr>
            <w:tcW w:w="1300" w:type="dxa"/>
            <w:vAlign w:val="bottom"/>
            <w:vMerge w:val="restart"/>
          </w:tcPr>
          <w:p>
            <w:pPr>
              <w:jc w:val="center"/>
              <w:spacing w:after="0" w:line="119" w:lineRule="exact"/>
              <w:rPr>
                <w:sz w:val="20"/>
                <w:szCs w:val="20"/>
                <w:color w:val="auto"/>
              </w:rPr>
            </w:pPr>
            <w:r>
              <w:rPr>
                <w:rFonts w:ascii="Arial" w:cs="Arial" w:eastAsia="Arial" w:hAnsi="Arial"/>
                <w:sz w:val="13"/>
                <w:szCs w:val="13"/>
                <w:b w:val="1"/>
                <w:bCs w:val="1"/>
                <w:color w:val="auto"/>
                <w:w w:val="90"/>
              </w:rPr>
              <w:t>2022 vs.</w:t>
            </w: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5"/>
        </w:trPr>
        <w:tc>
          <w:tcPr>
            <w:tcW w:w="5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goods sold</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ind w:right="121"/>
              <w:spacing w:after="0"/>
              <w:rPr>
                <w:sz w:val="20"/>
                <w:szCs w:val="20"/>
                <w:color w:val="auto"/>
              </w:rPr>
            </w:pPr>
            <w:r>
              <w:rPr>
                <w:rFonts w:ascii="Arial" w:cs="Arial" w:eastAsia="Arial" w:hAnsi="Arial"/>
                <w:sz w:val="17"/>
                <w:szCs w:val="17"/>
                <w:color w:val="auto"/>
              </w:rPr>
              <w:t>21,635</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ind w:right="118"/>
              <w:spacing w:after="0"/>
              <w:rPr>
                <w:sz w:val="20"/>
                <w:szCs w:val="20"/>
                <w:color w:val="auto"/>
              </w:rPr>
            </w:pPr>
            <w:r>
              <w:rPr>
                <w:rFonts w:ascii="Arial" w:cs="Arial" w:eastAsia="Arial" w:hAnsi="Arial"/>
                <w:sz w:val="17"/>
                <w:szCs w:val="17"/>
                <w:color w:val="auto"/>
              </w:rPr>
              <w:t>24,897</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(3,262)</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57"/>
        </w:trPr>
        <w:tc>
          <w:tcPr>
            <w:tcW w:w="5640" w:type="dxa"/>
            <w:vAlign w:val="bottom"/>
          </w:tcPr>
          <w:p>
            <w:pPr>
              <w:ind w:left="20"/>
              <w:spacing w:after="0"/>
              <w:rPr>
                <w:sz w:val="20"/>
                <w:szCs w:val="20"/>
                <w:color w:val="auto"/>
              </w:rPr>
            </w:pPr>
            <w:r>
              <w:rPr>
                <w:rFonts w:ascii="Arial" w:cs="Arial" w:eastAsia="Arial" w:hAnsi="Arial"/>
                <w:sz w:val="17"/>
                <w:szCs w:val="17"/>
                <w:color w:val="auto"/>
              </w:rPr>
              <w:t>Product gross profit (loss) (1)</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81"/>
              <w:spacing w:after="0"/>
              <w:rPr>
                <w:sz w:val="20"/>
                <w:szCs w:val="20"/>
                <w:color w:val="auto"/>
              </w:rPr>
            </w:pPr>
            <w:r>
              <w:rPr>
                <w:rFonts w:ascii="Arial" w:cs="Arial" w:eastAsia="Arial" w:hAnsi="Arial"/>
                <w:sz w:val="17"/>
                <w:szCs w:val="17"/>
                <w:color w:val="auto"/>
              </w:rPr>
              <w:t>(1,287)</w:t>
            </w:r>
          </w:p>
        </w:tc>
        <w:tc>
          <w:tcPr>
            <w:tcW w:w="12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(1,172)</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5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Product gross margin</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7"/>
          <w:szCs w:val="17"/>
          <w:color w:val="auto"/>
        </w:rPr>
        <w:t>(1) Percentage change represents a worsening since the negative gross margin has increased.</w:t>
      </w:r>
    </w:p>
    <w:p>
      <w:pPr>
        <w:spacing w:after="0" w:line="294" w:lineRule="exact"/>
        <w:rPr>
          <w:sz w:val="20"/>
          <w:szCs w:val="20"/>
          <w:color w:val="auto"/>
        </w:rPr>
      </w:pPr>
    </w:p>
    <w:p>
      <w:pPr>
        <w:ind w:right="120" w:firstLine="172"/>
        <w:spacing w:after="0" w:line="259" w:lineRule="auto"/>
        <w:rPr>
          <w:sz w:val="20"/>
          <w:szCs w:val="20"/>
          <w:color w:val="auto"/>
        </w:rPr>
      </w:pPr>
      <w:r>
        <w:rPr>
          <w:rFonts w:ascii="Arial" w:cs="Arial" w:eastAsia="Arial" w:hAnsi="Arial"/>
          <w:sz w:val="17"/>
          <w:szCs w:val="17"/>
          <w:color w:val="auto"/>
        </w:rPr>
        <w:t>Our strategy is to manufacture and supply polymer reagents to our third-party collaborators where we have a strategic development and commercialization relationship or where we derive substantial economic benefit. Typically, we have elected to enter into and maintain those manufacturing relationships associated with long-term collaboration agreements which include multiple sources of revenue, which we view holistically and in aggregate. We have a predominantly fixed cost base associated with our manufacturing activities. As a result, our product gross profit and margin are significantly impacted by the mix and volume of products sold in each period.</w:t>
      </w:r>
    </w:p>
    <w:p>
      <w:pPr>
        <w:spacing w:after="0" w:line="183" w:lineRule="exact"/>
        <w:rPr>
          <w:sz w:val="20"/>
          <w:szCs w:val="20"/>
          <w:color w:val="auto"/>
        </w:rPr>
      </w:pPr>
    </w:p>
    <w:p>
      <w:pPr>
        <w:ind w:right="20" w:firstLine="172"/>
        <w:spacing w:after="0" w:line="262" w:lineRule="auto"/>
        <w:rPr>
          <w:sz w:val="20"/>
          <w:szCs w:val="20"/>
          <w:color w:val="auto"/>
        </w:rPr>
      </w:pPr>
      <w:r>
        <w:rPr>
          <w:rFonts w:ascii="Arial" w:cs="Arial" w:eastAsia="Arial" w:hAnsi="Arial"/>
          <w:sz w:val="17"/>
          <w:szCs w:val="17"/>
          <w:color w:val="auto"/>
        </w:rPr>
        <w:t>Product gross margin was negative for the years ended December 31, 2022 and December 31, 2021. We have a manufacturing arrangement with a partner that includes a fixed price which is less than the fully burdened manufacturing cost for the polymer reagent, and we expect this arrangement to continue in future years. We also receive royalty revenue from this collaboration. In each of the years ended December 31, 2022 and 2021, the royalty revenue from this collaboration exceeded the related negative gross margin.</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expect product gross margin to continue to fluctuate in future periods depending on the level and mix of manufacturing orders from our customers.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We expect product gross profit to be negative in 2023 as a result of the collaborative arrangement described above.</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 (in thousands, except percentages)</w:t>
      </w:r>
    </w:p>
    <w:p>
      <w:pPr>
        <w:spacing w:after="0" w:line="200" w:lineRule="exact"/>
        <w:rPr>
          <w:sz w:val="20"/>
          <w:szCs w:val="20"/>
          <w:color w:val="auto"/>
        </w:rPr>
      </w:pPr>
    </w:p>
    <w:p>
      <w:pPr>
        <w:spacing w:after="0" w:line="33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Increase/</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vMerge w:val="restart"/>
          </w:tcPr>
          <w:p>
            <w:pPr>
              <w:jc w:val="right"/>
              <w:ind w:right="323"/>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88"/>
        </w:trPr>
        <w:tc>
          <w:tcPr>
            <w:tcW w:w="5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restart"/>
          </w:tcPr>
          <w:p>
            <w:pPr>
              <w:jc w:val="center"/>
              <w:ind w:right="280"/>
              <w:spacing w:after="0" w:line="119" w:lineRule="exact"/>
              <w:rPr>
                <w:sz w:val="20"/>
                <w:szCs w:val="20"/>
                <w:color w:val="auto"/>
              </w:rPr>
            </w:pPr>
            <w:r>
              <w:rPr>
                <w:rFonts w:ascii="Arial" w:cs="Arial" w:eastAsia="Arial" w:hAnsi="Arial"/>
                <w:sz w:val="13"/>
                <w:szCs w:val="13"/>
                <w:b w:val="1"/>
                <w:bCs w:val="1"/>
                <w:color w:val="auto"/>
                <w:w w:val="90"/>
              </w:rPr>
              <w:t>2022 vs.</w:t>
            </w:r>
          </w:p>
        </w:tc>
        <w:tc>
          <w:tcPr>
            <w:tcW w:w="1320" w:type="dxa"/>
            <w:vAlign w:val="bottom"/>
            <w:vMerge w:val="restart"/>
          </w:tcPr>
          <w:p>
            <w:pPr>
              <w:jc w:val="center"/>
              <w:spacing w:after="0" w:line="119" w:lineRule="exact"/>
              <w:rPr>
                <w:sz w:val="20"/>
                <w:szCs w:val="20"/>
                <w:color w:val="auto"/>
              </w:rPr>
            </w:pPr>
            <w:r>
              <w:rPr>
                <w:rFonts w:ascii="Arial" w:cs="Arial" w:eastAsia="Arial" w:hAnsi="Arial"/>
                <w:sz w:val="13"/>
                <w:szCs w:val="13"/>
                <w:b w:val="1"/>
                <w:bCs w:val="1"/>
                <w:color w:val="auto"/>
                <w:w w:val="94"/>
              </w:rPr>
              <w:t>2022 vs.</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8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5"/>
        </w:trPr>
        <w:tc>
          <w:tcPr>
            <w:tcW w:w="5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Research and development expense</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218,323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400,269</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(181,946)</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100" w:firstLine="172"/>
        <w:spacing w:after="0" w:line="301" w:lineRule="auto"/>
        <w:rPr>
          <w:sz w:val="20"/>
          <w:szCs w:val="20"/>
          <w:color w:val="auto"/>
        </w:rPr>
      </w:pPr>
      <w:r>
        <w:rPr>
          <w:rFonts w:ascii="Arial" w:cs="Arial" w:eastAsia="Arial" w:hAnsi="Arial"/>
          <w:sz w:val="15"/>
          <w:szCs w:val="15"/>
          <w:color w:val="auto"/>
        </w:rPr>
        <w:t>Research and development expense consists primarily of clinical study costs, contract manufacturing costs, direct costs of outside research, materials, supplies, licenses and fees as well as personnel costs (including salaries, benefits, and stock-based compensation). Research and development expense also includes certain overhead allocations consisting of support and facilities-related costs. Where we perform research and development activities under a joint development collaboration, such as our collaboration with BMS, we record the expense reimbursement from our partners as a reduction to research and development expense, and we record our share of our partners’ expenses as an increase to research and development expense. Under the BMS Collaboration Agreement, BMS generally bears 67.5% of development costs for bempegaldesleukin in combination with Opdivo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35% of costs for manufacturing bempegaldesleukin.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44" w:name="page45"/>
    <w:bookmarkEnd w:id="44"/>
    <w:p>
      <w:pPr>
        <w:ind w:right="20" w:firstLine="162"/>
        <w:spacing w:after="0" w:line="284" w:lineRule="auto"/>
        <w:rPr>
          <w:sz w:val="20"/>
          <w:szCs w:val="20"/>
          <w:color w:val="auto"/>
        </w:rPr>
      </w:pPr>
      <w:r>
        <w:rPr>
          <w:rFonts w:ascii="Arial" w:cs="Arial" w:eastAsia="Arial" w:hAnsi="Arial"/>
          <w:sz w:val="15"/>
          <w:szCs w:val="15"/>
          <w:color w:val="auto"/>
        </w:rPr>
        <w:t>As discussed in Note 1 to our Consolidated Financial Statements, in April 2022, BMS and we decided to discontinue development of bempegaldesleukin in combination with Opdivo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will wind down the various clinical trials under the BMS Collaboration Agreement, and we also decided to discontinue all other development of bempegaldesleukin. The cost sharing under the BMS Collaboration Agreement remained unchanged through December 31, 2022. Additionally, we have implemented the 2022 Restructuring Plan to reduce our workforce by approximately 70%. As a result of our termination of the development program, research and development expense includes development expenses for bempegaldesleukin only for the first quarter of 2022. For the remaining three quarters of 2022, we reported clinical trial expense, other third-party costs and employee costs for the wind down of the bempegaldesleukin program, net of the reimbursement from BMS, within restructuring, impairment and other costs of terminated program in our Consolidated Statement of Operations.</w:t>
      </w:r>
    </w:p>
    <w:p>
      <w:pPr>
        <w:spacing w:after="0" w:line="167" w:lineRule="exact"/>
        <w:rPr>
          <w:sz w:val="20"/>
          <w:szCs w:val="20"/>
          <w:color w:val="auto"/>
        </w:rPr>
      </w:pPr>
    </w:p>
    <w:p>
      <w:pPr>
        <w:jc w:val="both"/>
        <w:ind w:right="40" w:firstLine="619"/>
        <w:spacing w:after="0" w:line="287" w:lineRule="auto"/>
        <w:rPr>
          <w:sz w:val="20"/>
          <w:szCs w:val="20"/>
          <w:color w:val="auto"/>
        </w:rPr>
      </w:pPr>
      <w:r>
        <w:rPr>
          <w:rFonts w:ascii="Arial" w:cs="Arial" w:eastAsia="Arial" w:hAnsi="Arial"/>
          <w:sz w:val="16"/>
          <w:szCs w:val="16"/>
          <w:color w:val="auto"/>
        </w:rPr>
        <w:t>We utilize our employee and infrastructure resources across multiple development and research programs. The following table presents expenses incurred for clinical and regulatory services, clinical supplies, and preclinical study support provided by third parties as well as contract manufacturing costs for each of our drug candidates. The table also presents other costs and overhead consisting of personnel, facilities and other indirect costs (in thousands):</w:t>
      </w:r>
    </w:p>
    <w:tbl>
      <w:tblPr>
        <w:tblLayout w:type="fixed"/>
        <w:tblInd w:w="0" w:type="dxa"/>
        <w:tblCellMar>
          <w:top w:w="0" w:type="dxa"/>
          <w:left w:w="0" w:type="dxa"/>
          <w:bottom w:w="0" w:type="dxa"/>
          <w:right w:w="0" w:type="dxa"/>
        </w:tblCellMar>
      </w:tblPr>
      <w:tr>
        <w:trPr>
          <w:trHeight w:val="168"/>
        </w:trPr>
        <w:tc>
          <w:tcPr>
            <w:tcW w:w="6460" w:type="dxa"/>
            <w:vAlign w:val="bottom"/>
          </w:tcPr>
          <w:p>
            <w:pPr>
              <w:spacing w:after="0"/>
              <w:rPr>
                <w:sz w:val="14"/>
                <w:szCs w:val="14"/>
                <w:color w:val="auto"/>
              </w:rPr>
            </w:pPr>
          </w:p>
        </w:tc>
        <w:tc>
          <w:tcPr>
            <w:tcW w:w="2060" w:type="dxa"/>
            <w:vAlign w:val="bottom"/>
          </w:tcPr>
          <w:p>
            <w:pPr>
              <w:jc w:val="center"/>
              <w:ind w:left="441"/>
              <w:spacing w:after="0"/>
              <w:rPr>
                <w:sz w:val="20"/>
                <w:szCs w:val="20"/>
                <w:color w:val="auto"/>
              </w:rPr>
            </w:pPr>
            <w:r>
              <w:rPr>
                <w:rFonts w:ascii="Arial" w:cs="Arial" w:eastAsia="Arial" w:hAnsi="Arial"/>
                <w:sz w:val="14"/>
                <w:szCs w:val="14"/>
                <w:b w:val="1"/>
                <w:bCs w:val="1"/>
                <w:color w:val="auto"/>
                <w:w w:val="92"/>
              </w:rPr>
              <w:t>Clinical</w:t>
            </w:r>
          </w:p>
        </w:tc>
        <w:tc>
          <w:tcPr>
            <w:tcW w:w="300" w:type="dxa"/>
            <w:vAlign w:val="bottom"/>
          </w:tcPr>
          <w:p>
            <w:pPr>
              <w:spacing w:after="0"/>
              <w:rPr>
                <w:sz w:val="14"/>
                <w:szCs w:val="14"/>
                <w:color w:val="auto"/>
              </w:rPr>
            </w:pPr>
          </w:p>
        </w:tc>
        <w:tc>
          <w:tcPr>
            <w:tcW w:w="242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74"/>
        </w:trPr>
        <w:tc>
          <w:tcPr>
            <w:tcW w:w="6460" w:type="dxa"/>
            <w:vAlign w:val="bottom"/>
          </w:tcPr>
          <w:p>
            <w:pPr>
              <w:spacing w:after="0"/>
              <w:rPr>
                <w:sz w:val="6"/>
                <w:szCs w:val="6"/>
                <w:color w:val="auto"/>
              </w:rPr>
            </w:pPr>
          </w:p>
        </w:tc>
        <w:tc>
          <w:tcPr>
            <w:tcW w:w="2060" w:type="dxa"/>
            <w:vAlign w:val="bottom"/>
            <w:vMerge w:val="restart"/>
          </w:tcPr>
          <w:p>
            <w:pPr>
              <w:jc w:val="center"/>
              <w:ind w:left="441"/>
              <w:spacing w:after="0"/>
              <w:rPr>
                <w:sz w:val="20"/>
                <w:szCs w:val="20"/>
                <w:color w:val="auto"/>
              </w:rPr>
            </w:pPr>
            <w:r>
              <w:rPr>
                <w:rFonts w:ascii="Arial" w:cs="Arial" w:eastAsia="Arial" w:hAnsi="Arial"/>
                <w:sz w:val="14"/>
                <w:szCs w:val="14"/>
                <w:b w:val="1"/>
                <w:bCs w:val="1"/>
                <w:color w:val="auto"/>
                <w:w w:val="87"/>
              </w:rPr>
              <w:t>Study</w:t>
            </w: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46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460" w:type="dxa"/>
            <w:vAlign w:val="bottom"/>
          </w:tcPr>
          <w:p>
            <w:pPr>
              <w:spacing w:after="0"/>
              <w:rPr>
                <w:sz w:val="18"/>
                <w:szCs w:val="18"/>
                <w:color w:val="auto"/>
              </w:rPr>
            </w:pPr>
          </w:p>
        </w:tc>
        <w:tc>
          <w:tcPr>
            <w:tcW w:w="2060" w:type="dxa"/>
            <w:vAlign w:val="bottom"/>
          </w:tcPr>
          <w:p>
            <w:pPr>
              <w:jc w:val="center"/>
              <w:ind w:left="441"/>
              <w:spacing w:after="0"/>
              <w:rPr>
                <w:sz w:val="20"/>
                <w:szCs w:val="20"/>
                <w:color w:val="auto"/>
              </w:rPr>
            </w:pPr>
            <w:r>
              <w:rPr>
                <w:rFonts w:ascii="Arial" w:cs="Arial" w:eastAsia="Arial" w:hAnsi="Arial"/>
                <w:sz w:val="14"/>
                <w:szCs w:val="14"/>
                <w:b w:val="1"/>
                <w:bCs w:val="1"/>
                <w:color w:val="auto"/>
                <w:w w:val="88"/>
              </w:rPr>
              <w:t>Status</w:t>
            </w:r>
            <w:r>
              <w:rPr>
                <w:rFonts w:ascii="Arial" w:cs="Arial" w:eastAsia="Arial" w:hAnsi="Arial"/>
                <w:sz w:val="15"/>
                <w:szCs w:val="15"/>
                <w:b w:val="1"/>
                <w:bCs w:val="1"/>
                <w:color w:val="auto"/>
                <w:w w:val="88"/>
              </w:rPr>
              <w:t>(1)</w:t>
            </w:r>
          </w:p>
        </w:tc>
        <w:tc>
          <w:tcPr>
            <w:tcW w:w="300" w:type="dxa"/>
            <w:vAlign w:val="bottom"/>
          </w:tcPr>
          <w:p>
            <w:pPr>
              <w:spacing w:after="0"/>
              <w:rPr>
                <w:sz w:val="18"/>
                <w:szCs w:val="18"/>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7"/>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Bempegaldesleukin (CD122-preferential IL-2 pathway agonist)</w:t>
            </w:r>
            <w:r>
              <w:rPr>
                <w:rFonts w:ascii="Arial" w:cs="Arial" w:eastAsia="Arial" w:hAnsi="Arial"/>
                <w:sz w:val="22"/>
                <w:szCs w:val="22"/>
                <w:color w:val="auto"/>
                <w:vertAlign w:val="superscript"/>
              </w:rPr>
              <w:t>(2)</w:t>
            </w:r>
          </w:p>
        </w:tc>
        <w:tc>
          <w:tcPr>
            <w:tcW w:w="2060" w:type="dxa"/>
            <w:vAlign w:val="bottom"/>
            <w:shd w:val="clear" w:color="auto" w:fill="CCEEFF"/>
          </w:tcPr>
          <w:p>
            <w:pPr>
              <w:jc w:val="center"/>
              <w:ind w:left="441"/>
              <w:spacing w:after="0"/>
              <w:rPr>
                <w:sz w:val="20"/>
                <w:szCs w:val="20"/>
                <w:color w:val="auto"/>
              </w:rPr>
            </w:pPr>
            <w:r>
              <w:rPr>
                <w:rFonts w:ascii="Arial" w:cs="Arial" w:eastAsia="Arial" w:hAnsi="Arial"/>
                <w:sz w:val="17"/>
                <w:szCs w:val="17"/>
                <w:color w:val="auto"/>
                <w:w w:val="90"/>
              </w:rPr>
              <w:t>Terminated</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107,928</w:t>
            </w:r>
          </w:p>
        </w:tc>
        <w:tc>
          <w:tcPr>
            <w:tcW w:w="0" w:type="dxa"/>
            <w:vAlign w:val="bottom"/>
          </w:tcPr>
          <w:p>
            <w:pPr>
              <w:spacing w:after="0"/>
              <w:rPr>
                <w:sz w:val="1"/>
                <w:szCs w:val="1"/>
                <w:color w:val="auto"/>
              </w:rPr>
            </w:pPr>
          </w:p>
        </w:tc>
      </w:tr>
      <w:tr>
        <w:trPr>
          <w:trHeight w:val="257"/>
        </w:trPr>
        <w:tc>
          <w:tcPr>
            <w:tcW w:w="6460" w:type="dxa"/>
            <w:vAlign w:val="bottom"/>
          </w:tcPr>
          <w:p>
            <w:pPr>
              <w:ind w:left="20"/>
              <w:spacing w:after="0"/>
              <w:rPr>
                <w:sz w:val="20"/>
                <w:szCs w:val="20"/>
                <w:color w:val="auto"/>
              </w:rPr>
            </w:pPr>
            <w:r>
              <w:rPr>
                <w:rFonts w:ascii="Arial" w:cs="Arial" w:eastAsia="Arial" w:hAnsi="Arial"/>
                <w:sz w:val="17"/>
                <w:szCs w:val="17"/>
                <w:color w:val="auto"/>
              </w:rPr>
              <w:t>NKTR-255 (IL-15 receptor agonist)</w:t>
            </w:r>
          </w:p>
        </w:tc>
        <w:tc>
          <w:tcPr>
            <w:tcW w:w="2060" w:type="dxa"/>
            <w:vAlign w:val="bottom"/>
          </w:tcPr>
          <w:p>
            <w:pPr>
              <w:jc w:val="center"/>
              <w:ind w:left="441"/>
              <w:spacing w:after="0"/>
              <w:rPr>
                <w:sz w:val="20"/>
                <w:szCs w:val="20"/>
                <w:color w:val="auto"/>
              </w:rPr>
            </w:pPr>
            <w:r>
              <w:rPr>
                <w:rFonts w:ascii="Arial" w:cs="Arial" w:eastAsia="Arial" w:hAnsi="Arial"/>
                <w:sz w:val="17"/>
                <w:szCs w:val="17"/>
                <w:color w:val="auto"/>
                <w:w w:val="86"/>
              </w:rPr>
              <w:t>Phase 1/2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27,670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25,390</w:t>
            </w:r>
          </w:p>
        </w:tc>
        <w:tc>
          <w:tcPr>
            <w:tcW w:w="0" w:type="dxa"/>
            <w:vAlign w:val="bottom"/>
          </w:tcPr>
          <w:p>
            <w:pPr>
              <w:spacing w:after="0"/>
              <w:rPr>
                <w:sz w:val="1"/>
                <w:szCs w:val="1"/>
                <w:color w:val="auto"/>
              </w:rPr>
            </w:pPr>
          </w:p>
        </w:tc>
      </w:tr>
      <w:tr>
        <w:trPr>
          <w:trHeight w:val="25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Rezpegaldesleukin (cytokine Treg stimulant)</w:t>
            </w:r>
            <w:r>
              <w:rPr>
                <w:rFonts w:ascii="Arial" w:cs="Arial" w:eastAsia="Arial" w:hAnsi="Arial"/>
                <w:sz w:val="22"/>
                <w:szCs w:val="22"/>
                <w:color w:val="auto"/>
                <w:vertAlign w:val="superscript"/>
              </w:rPr>
              <w:t>(3)</w:t>
            </w:r>
          </w:p>
        </w:tc>
        <w:tc>
          <w:tcPr>
            <w:tcW w:w="2060" w:type="dxa"/>
            <w:vAlign w:val="bottom"/>
            <w:shd w:val="clear" w:color="auto" w:fill="CCEEFF"/>
          </w:tcPr>
          <w:p>
            <w:pPr>
              <w:jc w:val="center"/>
              <w:ind w:left="441"/>
              <w:spacing w:after="0"/>
              <w:rPr>
                <w:sz w:val="20"/>
                <w:szCs w:val="20"/>
                <w:color w:val="auto"/>
              </w:rPr>
            </w:pPr>
            <w:r>
              <w:rPr>
                <w:rFonts w:ascii="Arial" w:cs="Arial" w:eastAsia="Arial" w:hAnsi="Arial"/>
                <w:sz w:val="17"/>
                <w:szCs w:val="17"/>
                <w:color w:val="auto"/>
                <w:w w:val="86"/>
              </w:rPr>
              <w:t>Phase 1/2</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9,376</w:t>
            </w: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Discovery research, manufacturing and other costs</w:t>
            </w:r>
          </w:p>
        </w:tc>
        <w:tc>
          <w:tcPr>
            <w:tcW w:w="2060" w:type="dxa"/>
            <w:vAlign w:val="bottom"/>
            <w:tcBorders>
              <w:bottom w:val="single" w:sz="8" w:color="CCEEFF"/>
            </w:tcBorders>
          </w:tcPr>
          <w:p>
            <w:pPr>
              <w:jc w:val="center"/>
              <w:ind w:left="441"/>
              <w:spacing w:after="0"/>
              <w:rPr>
                <w:sz w:val="20"/>
                <w:szCs w:val="20"/>
                <w:color w:val="auto"/>
              </w:rPr>
            </w:pPr>
            <w:r>
              <w:rPr>
                <w:rFonts w:ascii="Arial" w:cs="Arial" w:eastAsia="Arial" w:hAnsi="Arial"/>
                <w:sz w:val="17"/>
                <w:szCs w:val="17"/>
                <w:color w:val="auto"/>
                <w:w w:val="93"/>
              </w:rPr>
              <w:t>Various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34,200</w:t>
            </w:r>
          </w:p>
        </w:tc>
        <w:tc>
          <w:tcPr>
            <w:tcW w:w="0" w:type="dxa"/>
            <w:vAlign w:val="bottom"/>
          </w:tcPr>
          <w:p>
            <w:pPr>
              <w:spacing w:after="0"/>
              <w:rPr>
                <w:sz w:val="1"/>
                <w:szCs w:val="1"/>
                <w:color w:val="auto"/>
              </w:rPr>
            </w:pPr>
          </w:p>
        </w:tc>
      </w:tr>
      <w:tr>
        <w:trPr>
          <w:trHeight w:val="219"/>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clinical development, contract manufacturing and other third party costs</w:t>
            </w:r>
          </w:p>
        </w:tc>
        <w:tc>
          <w:tcPr>
            <w:tcW w:w="20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79,244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176,894</w:t>
            </w:r>
          </w:p>
        </w:tc>
        <w:tc>
          <w:tcPr>
            <w:tcW w:w="0" w:type="dxa"/>
            <w:vAlign w:val="bottom"/>
          </w:tcPr>
          <w:p>
            <w:pPr>
              <w:spacing w:after="0"/>
              <w:rPr>
                <w:sz w:val="1"/>
                <w:szCs w:val="1"/>
                <w:color w:val="auto"/>
              </w:rPr>
            </w:pPr>
          </w:p>
        </w:tc>
      </w:tr>
      <w:tr>
        <w:trPr>
          <w:trHeight w:val="258"/>
        </w:trPr>
        <w:tc>
          <w:tcPr>
            <w:tcW w:w="6460" w:type="dxa"/>
            <w:vAlign w:val="bottom"/>
          </w:tcPr>
          <w:p>
            <w:pPr>
              <w:ind w:left="20"/>
              <w:spacing w:after="0"/>
              <w:rPr>
                <w:sz w:val="20"/>
                <w:szCs w:val="20"/>
                <w:color w:val="auto"/>
              </w:rPr>
            </w:pPr>
            <w:r>
              <w:rPr>
                <w:rFonts w:ascii="Arial" w:cs="Arial" w:eastAsia="Arial" w:hAnsi="Arial"/>
                <w:sz w:val="17"/>
                <w:szCs w:val="17"/>
                <w:color w:val="auto"/>
              </w:rPr>
              <w:t>Personnel, overhead and other costs</w:t>
            </w:r>
            <w:r>
              <w:rPr>
                <w:rFonts w:ascii="Arial" w:cs="Arial" w:eastAsia="Arial" w:hAnsi="Arial"/>
                <w:sz w:val="22"/>
                <w:szCs w:val="22"/>
                <w:color w:val="auto"/>
                <w:vertAlign w:val="superscript"/>
              </w:rPr>
              <w:t>(4)</w:t>
            </w:r>
          </w:p>
        </w:tc>
        <w:tc>
          <w:tcPr>
            <w:tcW w:w="2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103,848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158,732</w:t>
            </w:r>
          </w:p>
        </w:tc>
        <w:tc>
          <w:tcPr>
            <w:tcW w:w="0" w:type="dxa"/>
            <w:vAlign w:val="bottom"/>
          </w:tcPr>
          <w:p>
            <w:pPr>
              <w:spacing w:after="0"/>
              <w:rPr>
                <w:sz w:val="1"/>
                <w:szCs w:val="1"/>
                <w:color w:val="auto"/>
              </w:rPr>
            </w:pPr>
          </w:p>
        </w:tc>
      </w:tr>
      <w:tr>
        <w:trPr>
          <w:trHeight w:val="258"/>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and depreciation</w:t>
            </w:r>
          </w:p>
        </w:tc>
        <w:tc>
          <w:tcPr>
            <w:tcW w:w="20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35,231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64,643</w:t>
            </w:r>
          </w:p>
        </w:tc>
        <w:tc>
          <w:tcPr>
            <w:tcW w:w="0" w:type="dxa"/>
            <w:vAlign w:val="bottom"/>
          </w:tcPr>
          <w:p>
            <w:pPr>
              <w:spacing w:after="0"/>
              <w:rPr>
                <w:sz w:val="1"/>
                <w:szCs w:val="1"/>
                <w:color w:val="auto"/>
              </w:rPr>
            </w:pPr>
          </w:p>
        </w:tc>
      </w:tr>
      <w:tr>
        <w:trPr>
          <w:trHeight w:val="211"/>
        </w:trPr>
        <w:tc>
          <w:tcPr>
            <w:tcW w:w="6460" w:type="dxa"/>
            <w:vAlign w:val="bottom"/>
          </w:tcPr>
          <w:p>
            <w:pPr>
              <w:ind w:left="220"/>
              <w:spacing w:after="0"/>
              <w:rPr>
                <w:sz w:val="20"/>
                <w:szCs w:val="20"/>
                <w:color w:val="auto"/>
              </w:rPr>
            </w:pPr>
            <w:r>
              <w:rPr>
                <w:rFonts w:ascii="Arial" w:cs="Arial" w:eastAsia="Arial" w:hAnsi="Arial"/>
                <w:sz w:val="17"/>
                <w:szCs w:val="17"/>
                <w:color w:val="auto"/>
              </w:rPr>
              <w:t>Research and development expense</w:t>
            </w:r>
          </w:p>
        </w:tc>
        <w:tc>
          <w:tcPr>
            <w:tcW w:w="20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400,269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w:t>
      </w:r>
    </w:p>
    <w:p>
      <w:pPr>
        <w:spacing w:after="0" w:line="12" w:lineRule="exact"/>
        <w:rPr>
          <w:sz w:val="20"/>
          <w:szCs w:val="20"/>
          <w:color w:val="auto"/>
        </w:rPr>
      </w:pPr>
    </w:p>
    <w:p>
      <w:pPr>
        <w:ind w:left="460" w:hanging="457"/>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Clinical Study Status definitions are provided in Part I, Item 1. Business.</w:t>
      </w:r>
    </w:p>
    <w:p>
      <w:pPr>
        <w:spacing w:after="0" w:line="7" w:lineRule="exact"/>
        <w:rPr>
          <w:rFonts w:ascii="Arial" w:cs="Arial" w:eastAsia="Arial" w:hAnsi="Arial"/>
          <w:sz w:val="17"/>
          <w:szCs w:val="17"/>
          <w:color w:val="auto"/>
        </w:rPr>
      </w:pPr>
    </w:p>
    <w:p>
      <w:pPr>
        <w:ind w:left="460" w:right="40" w:hanging="457"/>
        <w:spacing w:after="0" w:line="269" w:lineRule="auto"/>
        <w:tabs>
          <w:tab w:leader="none" w:pos="45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April 2022, BMS and we terminated the development of the bempegaldesleukin program. Accordingly, development expenses for bempegaldesleukin are reported in research and development expense for the first quarter of 2022 and for the full year of 2021. For the remaining three quarters of 2022, we reported third party costs for the wind down of the bempegaldesleukin program in restructuring, impairment and other costs of terminated program. The amounts for the quarter ended March 31, 2022 and the year ended December, 31, 2021 include net reductions of $15.1 million and $64.3 million, respectively, of development cost reimbursements from BMS under our collaboration, net of our share of BMS’s costs.</w:t>
      </w:r>
    </w:p>
    <w:p>
      <w:pPr>
        <w:ind w:left="460" w:hanging="457"/>
        <w:spacing w:after="0" w:line="253" w:lineRule="auto"/>
        <w:tabs>
          <w:tab w:leader="none" w:pos="4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amounts includes our 25% share of costs incurred by Lilly for the Phase 1B and Phase 2 development of rezpegaldesleukin. Lilly is responsible for 75% of costs.</w:t>
      </w:r>
    </w:p>
    <w:p>
      <w:pPr>
        <w:ind w:left="460" w:right="280" w:hanging="457"/>
        <w:spacing w:after="0" w:line="283" w:lineRule="auto"/>
        <w:tabs>
          <w:tab w:leader="none" w:pos="45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include reductions of $9.8 million and $37.2 million of employee cost reimbursements from BMS under our collaboration for the quarter ended March 31, 2022 and the year ended December 31, 2021, respectively. For the remaining three quarters of 2022, we reported direct employee costs supporting the wind down of the bempegaldesleukin program in restructuring, impairment and other costs of terminated program.</w:t>
      </w:r>
    </w:p>
    <w:p>
      <w:pPr>
        <w:spacing w:after="0" w:line="60" w:lineRule="exact"/>
        <w:rPr>
          <w:sz w:val="20"/>
          <w:szCs w:val="20"/>
          <w:color w:val="auto"/>
        </w:rPr>
      </w:pPr>
    </w:p>
    <w:p>
      <w:pPr>
        <w:ind w:right="140" w:firstLine="619"/>
        <w:spacing w:after="0" w:line="302" w:lineRule="auto"/>
        <w:rPr>
          <w:sz w:val="20"/>
          <w:szCs w:val="20"/>
          <w:color w:val="auto"/>
        </w:rPr>
      </w:pPr>
      <w:r>
        <w:rPr>
          <w:rFonts w:ascii="Arial" w:cs="Arial" w:eastAsia="Arial" w:hAnsi="Arial"/>
          <w:sz w:val="15"/>
          <w:szCs w:val="15"/>
          <w:color w:val="auto"/>
        </w:rPr>
        <w:t>Because we reported development expenses for bempegaldesleukin in research and development expense for only the quarter ended March 31, 2022, research and development expense decreased significantly for the year ended December 31, 2022 as compared to the year ended December 31, 2021. During the quarter ended March 31, 2022, we recorded $24.9 million as a reduction of research and development expense for the net reimbursement from BMS. Please see our discussion below in Restructuring, impairment and other costs of terminated program for additional information for the remaining three quarters of 2022. For the year ended December 31, 2021, we recorded $101.5 million as a reduction of research and development expense for the net reimbursement from BMS.</w:t>
      </w:r>
    </w:p>
    <w:p>
      <w:pPr>
        <w:spacing w:after="0" w:line="49"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37" w:lineRule="exact"/>
        <w:rPr>
          <w:sz w:val="20"/>
          <w:szCs w:val="20"/>
          <w:color w:val="auto"/>
        </w:rPr>
      </w:pPr>
    </w:p>
    <w:p>
      <w:pPr>
        <w:ind w:right="120" w:firstLine="619"/>
        <w:spacing w:after="0" w:line="307" w:lineRule="auto"/>
        <w:rPr>
          <w:sz w:val="20"/>
          <w:szCs w:val="20"/>
          <w:color w:val="auto"/>
        </w:rPr>
      </w:pPr>
      <w:r>
        <w:rPr>
          <w:rFonts w:ascii="Arial" w:cs="Arial" w:eastAsia="Arial" w:hAnsi="Arial"/>
          <w:sz w:val="15"/>
          <w:szCs w:val="15"/>
          <w:color w:val="auto"/>
        </w:rPr>
        <w:t>In addition to our drug candidates that we plan to evaluate in clinical development during 2023 and beyond, we believe it is vitally important to continue our substantial investment in a pipeline of new drug candidates to continue to build the value of our drug candidate pipeline and our business. Our discovery research organization is identifying new drug candidates across a wide range of molecule classes, including small molecules and large proteins, peptides and antibodies. We also plan from time to time to evaluate opportunities to in-license potential drug candidates from third parties to add to our drug discovery and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5" w:name="page46"/>
    <w:bookmarkEnd w:id="45"/>
    <w:p>
      <w:pPr>
        <w:ind w:right="540"/>
        <w:spacing w:after="0" w:line="279" w:lineRule="auto"/>
        <w:rPr>
          <w:sz w:val="20"/>
          <w:szCs w:val="20"/>
          <w:color w:val="auto"/>
        </w:rPr>
      </w:pPr>
      <w:r>
        <w:rPr>
          <w:rFonts w:ascii="Arial" w:cs="Arial" w:eastAsia="Arial" w:hAnsi="Arial"/>
          <w:sz w:val="17"/>
          <w:szCs w:val="17"/>
          <w:color w:val="auto"/>
        </w:rPr>
        <w:t>development pipeline. We plan to continue to advance our most promising early research drug candidates into preclinical development with the objective to advance these early stage research programs to human clinical studies over the next several years.</w:t>
      </w:r>
    </w:p>
    <w:p>
      <w:pPr>
        <w:spacing w:after="0" w:line="61" w:lineRule="exact"/>
        <w:rPr>
          <w:sz w:val="20"/>
          <w:szCs w:val="20"/>
          <w:color w:val="auto"/>
        </w:rPr>
      </w:pPr>
    </w:p>
    <w:p>
      <w:pPr>
        <w:ind w:right="180" w:firstLine="619"/>
        <w:spacing w:after="0" w:line="283" w:lineRule="auto"/>
        <w:rPr>
          <w:sz w:val="20"/>
          <w:szCs w:val="20"/>
          <w:color w:val="auto"/>
        </w:rPr>
      </w:pPr>
      <w:r>
        <w:rPr>
          <w:rFonts w:ascii="Arial" w:cs="Arial" w:eastAsia="Arial" w:hAnsi="Arial"/>
          <w:sz w:val="16"/>
          <w:szCs w:val="16"/>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60" w:lineRule="exact"/>
        <w:rPr>
          <w:sz w:val="20"/>
          <w:szCs w:val="20"/>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number of patients required for a given clinical study design;</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length of time required to enroll clinical study participants;</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number and location of sites included in the clinical studies;</w:t>
      </w:r>
    </w:p>
    <w:p>
      <w:pPr>
        <w:spacing w:after="0" w:line="113" w:lineRule="exact"/>
        <w:rPr>
          <w:rFonts w:ascii="Arial" w:cs="Arial" w:eastAsia="Arial" w:hAnsi="Arial"/>
          <w:sz w:val="17"/>
          <w:szCs w:val="17"/>
          <w:color w:val="auto"/>
        </w:rPr>
      </w:pPr>
    </w:p>
    <w:p>
      <w:pPr>
        <w:ind w:left="1240" w:right="420" w:hanging="618"/>
        <w:spacing w:after="0" w:line="279" w:lineRule="auto"/>
        <w:tabs>
          <w:tab w:leader="none" w:pos="12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clinical study designs required by the health authorities (i.e. primary and secondary endpoints as well as the size of the study population needed to demonstrate efficacy and safety outcomes);</w:t>
      </w:r>
    </w:p>
    <w:p>
      <w:pPr>
        <w:spacing w:after="0" w:line="61"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for changing standards of care for the target patient population;</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competition for patient recruitment from competitive drug candidates being studied in the same clinical setting;</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costs of producing supplies of the drug candidates needed for clinical trials and regulatory submissions;</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safety and efficacy profile of the drug candidate;</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use of clinical research organizations to assist with the management of the trials; and</w:t>
      </w:r>
    </w:p>
    <w:p>
      <w:pPr>
        <w:spacing w:after="0" w:line="113" w:lineRule="exact"/>
        <w:rPr>
          <w:rFonts w:ascii="Arial" w:cs="Arial" w:eastAsia="Arial" w:hAnsi="Arial"/>
          <w:sz w:val="17"/>
          <w:szCs w:val="17"/>
          <w:color w:val="auto"/>
        </w:rPr>
      </w:pPr>
    </w:p>
    <w:p>
      <w:pPr>
        <w:ind w:left="1240" w:hanging="618"/>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costs and timing of, and the ability to secure, approvals from government health authorities.</w:t>
      </w:r>
    </w:p>
    <w:p>
      <w:pPr>
        <w:spacing w:after="0" w:line="114"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Furthermore, our strategy includes the potential of entering into collaborations with third parties to participate in the development and commercialization of some of our drug candidates such as the collaboration that we have already completed for rezpegaldesleukin,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General and administrative expense (in thousands, except percentages)</w:t>
      </w:r>
    </w:p>
    <w:p>
      <w:pPr>
        <w:spacing w:after="0" w:line="200" w:lineRule="exact"/>
        <w:rPr>
          <w:sz w:val="20"/>
          <w:szCs w:val="20"/>
          <w:color w:val="auto"/>
        </w:rPr>
      </w:pPr>
    </w:p>
    <w:p>
      <w:pPr>
        <w:spacing w:after="0" w:line="33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Increase/</w:t>
            </w:r>
          </w:p>
        </w:tc>
        <w:tc>
          <w:tcPr>
            <w:tcW w:w="0" w:type="dxa"/>
            <w:vAlign w:val="bottom"/>
          </w:tcPr>
          <w:p>
            <w:pPr>
              <w:spacing w:after="0"/>
              <w:rPr>
                <w:sz w:val="1"/>
                <w:szCs w:val="1"/>
                <w:color w:val="auto"/>
              </w:rPr>
            </w:pPr>
          </w:p>
        </w:tc>
      </w:tr>
      <w:tr>
        <w:trPr>
          <w:trHeight w:val="138"/>
        </w:trPr>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vMerge w:val="restart"/>
          </w:tcPr>
          <w:p>
            <w:pPr>
              <w:jc w:val="right"/>
              <w:ind w:right="323"/>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92"/>
        </w:trPr>
        <w:tc>
          <w:tcPr>
            <w:tcW w:w="5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restart"/>
          </w:tcPr>
          <w:p>
            <w:pPr>
              <w:jc w:val="center"/>
              <w:ind w:right="280"/>
              <w:spacing w:after="0" w:line="109" w:lineRule="exact"/>
              <w:rPr>
                <w:sz w:val="20"/>
                <w:szCs w:val="20"/>
                <w:color w:val="auto"/>
              </w:rPr>
            </w:pPr>
            <w:r>
              <w:rPr>
                <w:rFonts w:ascii="Arial" w:cs="Arial" w:eastAsia="Arial" w:hAnsi="Arial"/>
                <w:sz w:val="11"/>
                <w:szCs w:val="11"/>
                <w:b w:val="1"/>
                <w:bCs w:val="1"/>
                <w:color w:val="auto"/>
              </w:rPr>
              <w:t>2022 vs.</w:t>
            </w:r>
          </w:p>
        </w:tc>
        <w:tc>
          <w:tcPr>
            <w:tcW w:w="132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auto"/>
              </w:rPr>
              <w:t>2022 vs.</w:t>
            </w:r>
          </w:p>
        </w:tc>
        <w:tc>
          <w:tcPr>
            <w:tcW w:w="0" w:type="dxa"/>
            <w:vAlign w:val="bottom"/>
          </w:tcPr>
          <w:p>
            <w:pPr>
              <w:spacing w:after="0"/>
              <w:rPr>
                <w:sz w:val="1"/>
                <w:szCs w:val="1"/>
                <w:color w:val="auto"/>
              </w:rPr>
            </w:pPr>
          </w:p>
        </w:tc>
      </w:tr>
      <w:tr>
        <w:trPr>
          <w:trHeight w:val="37"/>
        </w:trPr>
        <w:tc>
          <w:tcPr>
            <w:tcW w:w="5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8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5"/>
        </w:trPr>
        <w:tc>
          <w:tcPr>
            <w:tcW w:w="5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General and administrative expense</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ind w:right="6"/>
              <w:spacing w:after="0"/>
              <w:rPr>
                <w:sz w:val="20"/>
                <w:szCs w:val="20"/>
                <w:color w:val="auto"/>
              </w:rPr>
            </w:pPr>
            <w:r>
              <w:rPr>
                <w:rFonts w:ascii="Arial" w:cs="Arial" w:eastAsia="Arial" w:hAnsi="Arial"/>
                <w:sz w:val="17"/>
                <w:szCs w:val="17"/>
                <w:color w:val="auto"/>
              </w:rPr>
              <w:t>92,333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122,844</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(30,511)</w:t>
            </w: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firstLine="172"/>
        <w:spacing w:after="0" w:line="276" w:lineRule="auto"/>
        <w:rPr>
          <w:sz w:val="20"/>
          <w:szCs w:val="20"/>
          <w:color w:val="auto"/>
        </w:rPr>
      </w:pPr>
      <w:r>
        <w:rPr>
          <w:rFonts w:ascii="Arial" w:cs="Arial" w:eastAsia="Arial" w:hAnsi="Arial"/>
          <w:sz w:val="16"/>
          <w:szCs w:val="16"/>
          <w:color w:val="auto"/>
        </w:rPr>
        <w:t>General and administrative expense includes the cost of administrative staffing, pre-commercial (before the termination of the bempegaldesleukin program), finance and legal activities. As discussed in Note 11 to our Consolidated Financial Statements, we have implemented our 2022 Restructuring Plan to reduce our workforce by approximately 70%. As a result of our 2022 Restructuring Plan, the commercial organization was eliminated and all other bempegaldesleukin-related pre-commercialization activities ceased. We report severance and benefit costs for the terminated employees in restructuring, impairment and other costs of terminated program in our Consolidated Statements of Operations. Accordingly, general and administrative expense decreased for the year ended December 31, 2022 compared with the year ended December 31, 2021. We expect general and administrative expense to decrease in 2023 as compared to 2022 due to the termination of the bempegaldesleukin commercial program and reduction in force.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46" w:name="page47"/>
    <w:bookmarkEnd w:id="46"/>
    <w:p>
      <w:pPr>
        <w:ind w:left="320"/>
        <w:spacing w:after="0"/>
        <w:rPr>
          <w:sz w:val="20"/>
          <w:szCs w:val="20"/>
          <w:color w:val="auto"/>
        </w:rPr>
      </w:pPr>
      <w:r>
        <w:rPr>
          <w:rFonts w:ascii="Arial" w:cs="Arial" w:eastAsia="Arial" w:hAnsi="Arial"/>
          <w:sz w:val="17"/>
          <w:szCs w:val="17"/>
          <w:b w:val="1"/>
          <w:bCs w:val="1"/>
          <w:i w:val="1"/>
          <w:iCs w:val="1"/>
          <w:color w:val="auto"/>
        </w:rPr>
        <w:t>Restructuring, Impairment and Other Costs of Terminated Program (in thousands, except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Increase/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8"/>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3"/>
            <w:vMerge w:val="restart"/>
          </w:tcPr>
          <w:p>
            <w:pPr>
              <w:jc w:val="right"/>
              <w:ind w:right="83"/>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(Decrease)</w:t>
            </w: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2022 vs. 2021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2022 vs. 2021</w:t>
            </w:r>
          </w:p>
        </w:tc>
        <w:tc>
          <w:tcPr>
            <w:tcW w:w="0" w:type="dxa"/>
            <w:vAlign w:val="bottom"/>
          </w:tcPr>
          <w:p>
            <w:pPr>
              <w:spacing w:after="0"/>
              <w:rPr>
                <w:sz w:val="1"/>
                <w:szCs w:val="1"/>
                <w:color w:val="auto"/>
              </w:rPr>
            </w:pPr>
          </w:p>
        </w:tc>
      </w:tr>
      <w:tr>
        <w:trPr>
          <w:trHeight w:val="186"/>
        </w:trPr>
        <w:tc>
          <w:tcPr>
            <w:tcW w:w="618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CFF0FC"/>
            </w:tcBorders>
          </w:tcPr>
          <w:p>
            <w:pPr>
              <w:spacing w:after="0"/>
              <w:rPr>
                <w:sz w:val="16"/>
                <w:szCs w:val="16"/>
                <w:color w:val="auto"/>
              </w:rPr>
            </w:pPr>
          </w:p>
        </w:tc>
        <w:tc>
          <w:tcPr>
            <w:tcW w:w="1020" w:type="dxa"/>
            <w:vAlign w:val="bottom"/>
            <w:tcBorders>
              <w:top w:val="single" w:sz="8" w:color="auto"/>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160" w:type="dxa"/>
            <w:vAlign w:val="bottom"/>
            <w:tcBorders>
              <w:top w:val="single" w:sz="8" w:color="auto"/>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Restructuring, impairment and other costs of terminated program</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135,930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135,930</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&gt;100%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40" w:firstLine="541"/>
        <w:spacing w:after="0" w:line="279" w:lineRule="auto"/>
        <w:rPr>
          <w:sz w:val="20"/>
          <w:szCs w:val="20"/>
          <w:color w:val="auto"/>
        </w:rPr>
      </w:pPr>
      <w:r>
        <w:rPr>
          <w:rFonts w:ascii="Arial" w:cs="Arial" w:eastAsia="Arial" w:hAnsi="Arial"/>
          <w:sz w:val="16"/>
          <w:szCs w:val="16"/>
          <w:color w:val="auto"/>
        </w:rPr>
        <w:t>As discussed in Note 11 to our Consolidated Financial Statements, following the announcements in March and April 2022 that our registrational trials in bempegaldesleukin failed to meet their primary endpoints, on April 25, 2022, we announced strategic reorganization and cost restructuring plans (together, the 2022 Restructuring Plan) to prioritize key Phase 2 development programs, to advance our early stage research pipeline and to reduce our workforce by approximately 70% from approximately 735 to approximately 225 employees. The following table presents the components of restructuring, impairment and other costs of terminated program, as further described and disclosed in Note 11 to our Consolidated Financial Statements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18"/>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9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5"/>
              </w:rPr>
              <w:t>December 31, 2022</w:t>
            </w:r>
          </w:p>
        </w:tc>
      </w:tr>
      <w:tr>
        <w:trPr>
          <w:trHeight w:val="245"/>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Clinical trial expense, other third-party and employee costs for the wind down of the bempegaldesleukin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31,693</w:t>
            </w:r>
          </w:p>
        </w:tc>
      </w:tr>
      <w:tr>
        <w:trPr>
          <w:trHeight w:val="257"/>
        </w:trPr>
        <w:tc>
          <w:tcPr>
            <w:tcW w:w="9920" w:type="dxa"/>
            <w:vAlign w:val="bottom"/>
          </w:tcPr>
          <w:p>
            <w:pPr>
              <w:ind w:left="20"/>
              <w:spacing w:after="0"/>
              <w:rPr>
                <w:sz w:val="20"/>
                <w:szCs w:val="20"/>
                <w:color w:val="auto"/>
              </w:rPr>
            </w:pPr>
            <w:r>
              <w:rPr>
                <w:rFonts w:ascii="Arial" w:cs="Arial" w:eastAsia="Arial" w:hAnsi="Arial"/>
                <w:sz w:val="17"/>
                <w:szCs w:val="17"/>
                <w:color w:val="auto"/>
              </w:rPr>
              <w:t>Severance and benefit expense</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30,904</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right-of-use assets and property, plant and equipment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65,761</w:t>
            </w:r>
          </w:p>
        </w:tc>
      </w:tr>
      <w:tr>
        <w:trPr>
          <w:trHeight w:val="412"/>
        </w:trPr>
        <w:tc>
          <w:tcPr>
            <w:tcW w:w="9920" w:type="dxa"/>
            <w:vAlign w:val="bottom"/>
          </w:tcPr>
          <w:p>
            <w:pPr>
              <w:ind w:left="20"/>
              <w:spacing w:after="0"/>
              <w:rPr>
                <w:sz w:val="20"/>
                <w:szCs w:val="20"/>
                <w:color w:val="auto"/>
              </w:rPr>
            </w:pPr>
            <w:r>
              <w:rPr>
                <w:rFonts w:ascii="Arial" w:cs="Arial" w:eastAsia="Arial" w:hAnsi="Arial"/>
                <w:sz w:val="17"/>
                <w:szCs w:val="17"/>
                <w:color w:val="auto"/>
              </w:rPr>
              <w:t>Loss (gain) on sale or disposal of other property, plant and equipment, net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(3,326)</w:t>
            </w:r>
          </w:p>
        </w:tc>
      </w:tr>
      <w:tr>
        <w:trPr>
          <w:trHeight w:val="258"/>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termination and other restructuring costs</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10,898</w:t>
            </w:r>
          </w:p>
        </w:tc>
      </w:tr>
      <w:tr>
        <w:trPr>
          <w:trHeight w:val="213"/>
        </w:trPr>
        <w:tc>
          <w:tcPr>
            <w:tcW w:w="9920" w:type="dxa"/>
            <w:vAlign w:val="bottom"/>
          </w:tcPr>
          <w:p>
            <w:pPr>
              <w:ind w:left="440"/>
              <w:spacing w:after="0"/>
              <w:rPr>
                <w:sz w:val="20"/>
                <w:szCs w:val="20"/>
                <w:color w:val="auto"/>
              </w:rPr>
            </w:pPr>
            <w:r>
              <w:rPr>
                <w:rFonts w:ascii="Arial" w:cs="Arial" w:eastAsia="Arial" w:hAnsi="Arial"/>
                <w:sz w:val="17"/>
                <w:szCs w:val="17"/>
                <w:color w:val="auto"/>
              </w:rPr>
              <w:t>Restructuring, impairment and other costs of terminated program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135,930</w:t>
            </w:r>
          </w:p>
        </w:tc>
      </w:tr>
      <w:tr>
        <w:trPr>
          <w:trHeight w:val="20"/>
        </w:trPr>
        <w:tc>
          <w:tcPr>
            <w:tcW w:w="9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40" w:firstLine="541"/>
        <w:spacing w:after="0" w:line="276" w:lineRule="auto"/>
        <w:rPr>
          <w:sz w:val="20"/>
          <w:szCs w:val="20"/>
          <w:color w:val="auto"/>
        </w:rPr>
      </w:pPr>
      <w:r>
        <w:rPr>
          <w:rFonts w:ascii="Arial" w:cs="Arial" w:eastAsia="Arial" w:hAnsi="Arial"/>
          <w:sz w:val="16"/>
          <w:szCs w:val="16"/>
          <w:color w:val="auto"/>
        </w:rPr>
        <w:t>For nine-month period ended December 31, 2022, we recorded a reduction of expense of $20.8 million for the net reimbursement from BMS, primarily for clinical trial expense, other third-party and employee costs for the wind down of the bempegaldesleukin program. We will continue to recognize expenses in future periods for the wind down of the bempegaldesleukin program, but we expect these expenses to be significantly lower in 2023 as compared to 2022. For the impairment of right-of-use assets, we will continue to update our estimates based on changes in market conditions, whether or not we are able to enter into subleases and, if we do enter into subleases, the economic terms of those subleases, and we may record impairment charges in future periods as these estimates change. We do not expect to recognize any further severance and benefit expense in connection with the 2022 Restructuring Plan, and we do not expect to recognize significant contract termination and other restructuring costs in 2023.</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Change in Fair Value of Development Derivative Liability (in thousands except percentages)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vMerge w:val="restart"/>
          </w:tcPr>
          <w:p>
            <w:pPr>
              <w:jc w:val="center"/>
              <w:ind w:left="487"/>
              <w:spacing w:after="0"/>
              <w:rPr>
                <w:sz w:val="20"/>
                <w:szCs w:val="20"/>
                <w:color w:val="auto"/>
              </w:rPr>
            </w:pPr>
            <w:r>
              <w:rPr>
                <w:rFonts w:ascii="Arial" w:cs="Arial" w:eastAsia="Arial" w:hAnsi="Arial"/>
                <w:sz w:val="14"/>
                <w:szCs w:val="14"/>
                <w:b w:val="1"/>
                <w:bCs w:val="1"/>
                <w:color w:val="auto"/>
                <w:w w:val="89"/>
              </w:rPr>
              <w:t>Years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Percentage Increase/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(Decrease)</w:t>
            </w: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center"/>
              <w:ind w:left="487"/>
              <w:spacing w:after="0"/>
              <w:rPr>
                <w:sz w:val="20"/>
                <w:szCs w:val="20"/>
                <w:color w:val="auto"/>
              </w:rPr>
            </w:pPr>
            <w:r>
              <w:rPr>
                <w:rFonts w:ascii="Arial" w:cs="Arial" w:eastAsia="Arial" w:hAnsi="Arial"/>
                <w:sz w:val="14"/>
                <w:szCs w:val="14"/>
                <w:b w:val="1"/>
                <w:bCs w:val="1"/>
                <w:color w:val="auto"/>
                <w:w w:val="87"/>
              </w:rPr>
              <w:t>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2022 vs. 2021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4"/>
              </w:rPr>
              <w:t>2022 vs. 2021</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development derivative liability (1)</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41,450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&gt;100%</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7"/>
                <w:szCs w:val="17"/>
                <w:color w:val="auto"/>
                <w:w w:val="99"/>
              </w:rPr>
              <w:t>(1) Percentage change represents a gain on the termination of the derivative.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As discussed in Note 6 to our Consolidated Financial Statements, we remeasured the development derivative liability under our co-development agreement with SFJ to fair value at each reporting date. As of March 31, 2022, due to the results of the bempegaldesleukin trial in metastatic melanoma, we concluded that it was remote that SFJ and we would continue the clinical trial in head and neck cancer. Accordingly, we reduced the liability to zero as of March 31, 2022 and recognized a corresponding gain in the change in fair value of development derivative liability. The agreement was subsequently terminated in May 2022.</w:t>
      </w:r>
    </w:p>
    <w:p>
      <w:pPr>
        <w:spacing w:after="0" w:line="80"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The expense recorded for the change in fair value for the year ended December 31, 2021 primarily reflected the accretion of our obligation to potentially pay Success Payments to SFJ using our imputed borrowing rate.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7" w:name="page48"/>
    <w:bookmarkEnd w:id="47"/>
    <w:p>
      <w:pPr>
        <w:ind w:left="320"/>
        <w:spacing w:after="0"/>
        <w:rPr>
          <w:sz w:val="20"/>
          <w:szCs w:val="20"/>
          <w:color w:val="auto"/>
        </w:rPr>
      </w:pPr>
      <w:r>
        <w:rPr>
          <w:rFonts w:ascii="Arial" w:cs="Arial" w:eastAsia="Arial" w:hAnsi="Arial"/>
          <w:sz w:val="17"/>
          <w:szCs w:val="17"/>
          <w:b w:val="1"/>
          <w:bCs w:val="1"/>
          <w:i w:val="1"/>
          <w:iCs w:val="1"/>
          <w:color w:val="auto"/>
        </w:rPr>
        <w:t>Non-Cash Royalty Revenue, Non-Cash Interest Expense and Loss on Revaluation of Liability (in thousands, except percentages)</w:t>
      </w:r>
    </w:p>
    <w:p>
      <w:pPr>
        <w:spacing w:after="0" w:line="330" w:lineRule="exact"/>
        <w:rPr>
          <w:sz w:val="20"/>
          <w:szCs w:val="20"/>
          <w:color w:val="auto"/>
        </w:rPr>
      </w:pPr>
    </w:p>
    <w:tbl>
      <w:tblPr>
        <w:tblLayout w:type="fixed"/>
        <w:tblInd w:w="61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Increase/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 Increase/</w:t>
            </w:r>
          </w:p>
        </w:tc>
        <w:tc>
          <w:tcPr>
            <w:tcW w:w="0" w:type="dxa"/>
            <w:vAlign w:val="bottom"/>
          </w:tcPr>
          <w:p>
            <w:pPr>
              <w:spacing w:after="0"/>
              <w:rPr>
                <w:sz w:val="1"/>
                <w:szCs w:val="1"/>
                <w:color w:val="auto"/>
              </w:rPr>
            </w:pPr>
          </w:p>
        </w:tc>
      </w:tr>
      <w:tr>
        <w:trPr>
          <w:trHeight w:val="138"/>
        </w:trPr>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6"/>
              </w:rPr>
              <w:t>(Decrease)</w:t>
            </w: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32"/>
        </w:trPr>
        <w:tc>
          <w:tcPr>
            <w:tcW w:w="25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4"/>
              </w:rPr>
              <w:t>2022 vs.</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2022 vs.</w:t>
            </w:r>
          </w:p>
        </w:tc>
        <w:tc>
          <w:tcPr>
            <w:tcW w:w="0" w:type="dxa"/>
            <w:vAlign w:val="bottom"/>
          </w:tcPr>
          <w:p>
            <w:pPr>
              <w:spacing w:after="0"/>
              <w:rPr>
                <w:sz w:val="1"/>
                <w:szCs w:val="1"/>
                <w:color w:val="auto"/>
              </w:rPr>
            </w:pPr>
          </w:p>
        </w:tc>
      </w:tr>
      <w:tr>
        <w:trPr>
          <w:trHeight w:val="178"/>
        </w:trPr>
        <w:tc>
          <w:tcPr>
            <w:tcW w:w="2500" w:type="dxa"/>
            <w:vAlign w:val="bottom"/>
            <w:gridSpan w:val="3"/>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2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Non-cash royalty revenue related to the sales of future royalties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69,794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center"/>
              <w:ind w:left="114"/>
              <w:spacing w:after="0"/>
              <w:rPr>
                <w:sz w:val="20"/>
                <w:szCs w:val="20"/>
                <w:color w:val="auto"/>
              </w:rPr>
            </w:pPr>
            <w:r>
              <w:rPr>
                <w:rFonts w:ascii="Arial" w:cs="Arial" w:eastAsia="Arial" w:hAnsi="Arial"/>
                <w:sz w:val="17"/>
                <w:szCs w:val="17"/>
                <w:color w:val="auto"/>
                <w:w w:val="88"/>
              </w:rPr>
              <w:t>77,746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w w:val="92"/>
              </w:rPr>
              <w:t>(7,952)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132"/>
        </w:trPr>
        <w:tc>
          <w:tcPr>
            <w:tcW w:w="5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(Increase)/</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Percentage Increase/</w:t>
            </w:r>
          </w:p>
        </w:tc>
      </w:tr>
      <w:tr>
        <w:trPr>
          <w:trHeight w:val="138"/>
        </w:trPr>
        <w:tc>
          <w:tcPr>
            <w:tcW w:w="5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3"/>
              </w:rPr>
              <w:t>Decrease</w:t>
            </w: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6"/>
              </w:rPr>
              <w:t>(Decrease)</w:t>
            </w:r>
          </w:p>
        </w:tc>
      </w:tr>
      <w:tr>
        <w:trPr>
          <w:trHeight w:val="132"/>
        </w:trPr>
        <w:tc>
          <w:tcPr>
            <w:tcW w:w="5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4"/>
              </w:rPr>
              <w:t>2022 vs.</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2022 vs.</w:t>
            </w:r>
          </w:p>
        </w:tc>
      </w:tr>
      <w:tr>
        <w:trPr>
          <w:trHeight w:val="178"/>
        </w:trPr>
        <w:tc>
          <w:tcPr>
            <w:tcW w:w="5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interest expense on liabilities related to the sales of future royalties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1"/>
              </w:rPr>
              <w:t>(47,313)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9"/>
              </w:rPr>
              <w:t>18,402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8"/>
        </w:trPr>
        <w:tc>
          <w:tcPr>
            <w:tcW w:w="5960" w:type="dxa"/>
            <w:vAlign w:val="bottom"/>
          </w:tcPr>
          <w:p>
            <w:pPr>
              <w:ind w:left="20"/>
              <w:spacing w:after="0"/>
              <w:rPr>
                <w:sz w:val="20"/>
                <w:szCs w:val="20"/>
                <w:color w:val="auto"/>
              </w:rPr>
            </w:pPr>
            <w:r>
              <w:rPr>
                <w:rFonts w:ascii="Arial" w:cs="Arial" w:eastAsia="Arial" w:hAnsi="Arial"/>
                <w:sz w:val="17"/>
                <w:szCs w:val="17"/>
                <w:color w:val="auto"/>
              </w:rPr>
              <w:t>Loss on revaluation of liability related to the sale of future royalties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20" w:type="dxa"/>
            <w:vAlign w:val="bottom"/>
          </w:tcPr>
          <w:p>
            <w:pPr>
              <w:jc w:val="center"/>
              <w:ind w:left="74"/>
              <w:spacing w:after="0"/>
              <w:rPr>
                <w:sz w:val="20"/>
                <w:szCs w:val="20"/>
                <w:color w:val="auto"/>
              </w:rPr>
            </w:pPr>
            <w:r>
              <w:rPr>
                <w:rFonts w:ascii="Arial" w:cs="Arial" w:eastAsia="Arial" w:hAnsi="Arial"/>
                <w:sz w:val="17"/>
                <w:szCs w:val="17"/>
                <w:color w:val="auto"/>
                <w:w w:val="91"/>
              </w:rPr>
              <w:t>(24,410)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ind w:left="380"/>
              <w:spacing w:after="0"/>
              <w:rPr>
                <w:sz w:val="20"/>
                <w:szCs w:val="20"/>
                <w:color w:val="auto"/>
              </w:rPr>
            </w:pPr>
            <w:r>
              <w:rPr>
                <w:rFonts w:ascii="Arial" w:cs="Arial" w:eastAsia="Arial" w:hAnsi="Arial"/>
                <w:sz w:val="17"/>
                <w:szCs w:val="17"/>
                <w:color w:val="auto"/>
                <w:w w:val="99"/>
              </w:rPr>
              <w:t>24,410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(100)%</w:t>
            </w:r>
          </w:p>
        </w:tc>
      </w:tr>
    </w:tbl>
    <w:p>
      <w:pPr>
        <w:spacing w:after="0" w:line="286"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As discussed in Note 7 to our Consolidated Financial Statements, we recognize non-cash royalty revenue and non-cash interest expense for the 2012 Purchase and Sale Agreement and the 2020 Purchase and Sale Agreement.</w:t>
      </w:r>
    </w:p>
    <w:p>
      <w:pPr>
        <w:spacing w:after="0" w:line="61"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Non-cash royalty revenue decreased for the year ended December 31, 2022 as compared to the year ended December 31, 2021 primarily due to lower net sales of the drug products for which we are entitled to royalties. Non-cash interest expense decreased significantly for the year ended December 31, 2022 as compared to the year ended December 31, 2021 primarily due to the decrease in the effective interest rate for the 2012 Purchase and Sale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2012 Purchase and Sale Agreement</w:t>
      </w:r>
    </w:p>
    <w:p>
      <w:pPr>
        <w:spacing w:after="0" w:line="107" w:lineRule="exact"/>
        <w:rPr>
          <w:sz w:val="20"/>
          <w:szCs w:val="20"/>
          <w:color w:val="auto"/>
        </w:rPr>
      </w:pPr>
    </w:p>
    <w:p>
      <w:pPr>
        <w:ind w:right="500" w:firstLine="619"/>
        <w:spacing w:after="0" w:line="237" w:lineRule="auto"/>
        <w:rPr>
          <w:sz w:val="20"/>
          <w:szCs w:val="20"/>
          <w:color w:val="auto"/>
        </w:rPr>
      </w:pPr>
      <w:r>
        <w:rPr>
          <w:rFonts w:ascii="Arial" w:cs="Arial" w:eastAsia="Arial" w:hAnsi="Arial"/>
          <w:sz w:val="16"/>
          <w:szCs w:val="16"/>
          <w:color w:val="auto"/>
        </w:rPr>
        <w:t>Non-cash royalty revenue for the 2012 Purchase and Sale Agreement resulting from net sales of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year ended December 31, 2022 decreased as compared to the year ended December 31, 2021 due to a decrease in the net sales of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MIRCERA</w:t>
      </w:r>
      <w:r>
        <w:rPr>
          <w:rFonts w:ascii="Arial" w:cs="Arial" w:eastAsia="Arial" w:hAnsi="Arial"/>
          <w:sz w:val="21"/>
          <w:szCs w:val="21"/>
          <w:color w:val="auto"/>
          <w:vertAlign w:val="superscript"/>
        </w:rPr>
        <w:t>®</w:t>
      </w:r>
      <w:r>
        <w:rPr>
          <w:rFonts w:ascii="Arial" w:cs="Arial" w:eastAsia="Arial" w:hAnsi="Arial"/>
          <w:sz w:val="16"/>
          <w:szCs w:val="16"/>
          <w:color w:val="auto"/>
        </w:rPr>
        <w:t>. Non-cash interest expense for the 2012 Purchase and Sales Agreement decreased significantly for the year ended December 31, 2022 compared to the year ended December 31, 2021 due to the lower effective interest rate as a result of the revaluation of the liability.</w:t>
      </w:r>
    </w:p>
    <w:p>
      <w:pPr>
        <w:spacing w:after="0" w:line="95" w:lineRule="exact"/>
        <w:rPr>
          <w:sz w:val="20"/>
          <w:szCs w:val="20"/>
          <w:color w:val="auto"/>
        </w:rPr>
      </w:pPr>
    </w:p>
    <w:p>
      <w:pPr>
        <w:ind w:right="220" w:firstLine="619"/>
        <w:spacing w:after="0" w:line="244" w:lineRule="auto"/>
        <w:rPr>
          <w:sz w:val="20"/>
          <w:szCs w:val="20"/>
          <w:color w:val="auto"/>
        </w:rPr>
      </w:pPr>
      <w:r>
        <w:rPr>
          <w:rFonts w:ascii="Arial" w:cs="Arial" w:eastAsia="Arial" w:hAnsi="Arial"/>
          <w:sz w:val="17"/>
          <w:szCs w:val="17"/>
          <w:color w:val="auto"/>
        </w:rPr>
        <w:t>As discussed in Note 7 to our Consolidated Financial Statements, to resolve UCB's challenges to our patents and their resulting obligation to pay us the royalties on net sales of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we had sold to RPI, RPI and UCB negotiated a reduction in the royalty term and decreased royalty rates over the remaining term, which was implemented through the Settlement Agreement between UCB and us in October 2021. As a result of accounting for the Settlement Agreement as a debt modification, we remeasured the liability to fair value based on the present value of the royalty payments to RPI after the modification, discounted at a rate of 16%. The recognition of the loss on the revaluation has no effect on our cash flows, and the net income statement effect over the term of 2012 Purchase and Sale Agreement remains unchanged.</w:t>
      </w:r>
    </w:p>
    <w:p>
      <w:pPr>
        <w:spacing w:after="0" w:line="90" w:lineRule="exact"/>
        <w:rPr>
          <w:sz w:val="20"/>
          <w:szCs w:val="20"/>
          <w:color w:val="auto"/>
        </w:rPr>
      </w:pPr>
    </w:p>
    <w:p>
      <w:pPr>
        <w:ind w:firstLine="619"/>
        <w:spacing w:after="0" w:line="262" w:lineRule="auto"/>
        <w:rPr>
          <w:sz w:val="20"/>
          <w:szCs w:val="20"/>
          <w:color w:val="auto"/>
        </w:rPr>
      </w:pPr>
      <w:r>
        <w:rPr>
          <w:rFonts w:ascii="Arial" w:cs="Arial" w:eastAsia="Arial" w:hAnsi="Arial"/>
          <w:sz w:val="16"/>
          <w:szCs w:val="16"/>
          <w:color w:val="auto"/>
        </w:rPr>
        <w:t>Over the term of this arrangement, the net proceeds of the transaction of $114.0 million, consisting of the original proceeds of $124.0 million, net of $10.0 million in payments from us to RPI, is amortized as the difference between the non-cash royalty revenue and the sum of the non-cash interest expense and the loss on the revaluation of the liability. To date, we have amortized $58.8 million of the net proceeds. There are a number of factors that could materially affect our estimated interest rate, in particular, the amount and timing of royalty payments from future net sales of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MIRCERA</w:t>
      </w:r>
      <w:r>
        <w:rPr>
          <w:rFonts w:ascii="Arial" w:cs="Arial" w:eastAsia="Arial" w:hAnsi="Arial"/>
          <w:sz w:val="21"/>
          <w:szCs w:val="21"/>
          <w:color w:val="auto"/>
          <w:vertAlign w:val="superscript"/>
        </w:rPr>
        <w:t>®</w:t>
      </w:r>
      <w:r>
        <w:rPr>
          <w:rFonts w:ascii="Arial" w:cs="Arial" w:eastAsia="Arial" w:hAnsi="Arial"/>
          <w:sz w:val="16"/>
          <w:szCs w:val="16"/>
          <w:color w:val="auto"/>
        </w:rPr>
        <w:t>. After the modification, we continue to periodically assess future non-cash royalty revenues, and we will adjust any such change in our estimated interest rate prospectively based on our best estimates of future non-cash royalty revenue such that future non-cash interest expense will amortize the remaining $55.2 million of the net proceeds, since all changes in the royalties are absorbed by RPI. As of December 31, 2022, our prospective estimated interest rate is 10%.</w:t>
      </w:r>
    </w:p>
    <w:p>
      <w:pPr>
        <w:spacing w:after="0" w:line="71" w:lineRule="exact"/>
        <w:rPr>
          <w:sz w:val="20"/>
          <w:szCs w:val="20"/>
          <w:color w:val="auto"/>
        </w:rPr>
      </w:pPr>
    </w:p>
    <w:p>
      <w:pPr>
        <w:ind w:right="40" w:firstLine="619"/>
        <w:spacing w:after="0" w:line="261" w:lineRule="auto"/>
        <w:rPr>
          <w:sz w:val="20"/>
          <w:szCs w:val="20"/>
          <w:color w:val="auto"/>
        </w:rPr>
      </w:pPr>
      <w:r>
        <w:rPr>
          <w:rFonts w:ascii="Arial" w:cs="Arial" w:eastAsia="Arial" w:hAnsi="Arial"/>
          <w:sz w:val="16"/>
          <w:szCs w:val="16"/>
          <w:color w:val="auto"/>
        </w:rPr>
        <w:t>Before the modification, we had increased our forecasts of future non-cash royalties at various intervals, primarily due to sales of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exceeding previous expectations. Due to these increases in estimated future royalties, we increased the prospective effective interest rate from 17% at inception to 48% as of the modification date. In connection with the modification and the reduction in the royalty rate and the royalty term, the net present value of the modified royalty stream, discounted at the fair market value discount rate of 16%, is higher than the prior liability balance. The difference of $23.5 million was reported as a loss on the revaluation of the liability. We also wrote off the remaining $0.9 million of unamortized transaction costs.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color w:val="auto"/>
        </w:rPr>
        <w:t>2020 Purchase and Sale Agreement</w:t>
      </w:r>
    </w:p>
    <w:p>
      <w:pPr>
        <w:spacing w:after="0" w:line="114" w:lineRule="exact"/>
        <w:rPr>
          <w:sz w:val="20"/>
          <w:szCs w:val="20"/>
          <w:color w:val="auto"/>
        </w:rPr>
      </w:pPr>
    </w:p>
    <w:p>
      <w:pPr>
        <w:jc w:val="both"/>
        <w:ind w:right="280" w:firstLine="619"/>
        <w:spacing w:after="0" w:line="318" w:lineRule="auto"/>
        <w:rPr>
          <w:sz w:val="20"/>
          <w:szCs w:val="20"/>
          <w:color w:val="auto"/>
        </w:rPr>
      </w:pPr>
      <w:r>
        <w:rPr>
          <w:rFonts w:ascii="Arial" w:cs="Arial" w:eastAsia="Arial" w:hAnsi="Arial"/>
          <w:sz w:val="15"/>
          <w:szCs w:val="15"/>
          <w:color w:val="auto"/>
        </w:rPr>
        <w:t>Non-cash royalty revenue and non-cash interest expense for the 2020 Purchase and Sale Agreement decreased for the year ended December 31, 2022 as compared to the year ended December 31, 2021. The decrease in non-cash royalty revenue reflects net decreases in the net sales of the underlying drug products, and the decrease in non-cash interest expense reflects the lower liability balance as it is amortized over the remaining life of the arrangement.</w:t>
      </w:r>
    </w:p>
    <w:p>
      <w:pPr>
        <w:spacing w:after="0" w:line="36"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The 2020 Purchase and Sale Agreement provides for a capped return sale arrangement under which the 2020 Purchase and Sale Agreement will automatically expire, and HCR’s right to receive the sold royalties will cease when HCR has received payments equaling $210.0 million (the 2025 Threshold), if the 2025 Threshold is achieved on or prior to December 31, 2025, or $240.0 million, if the 2025 Threshold is not achieved on or prior to December 31, 2025. Our estimate of the imputed interest rate reflects our best estimates of future royalties to achieve the respective cap. As of December 31, 2022, our prospective estimated interest rate is 20%.</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Income and Other Income (Expense), net (in thousands, except percentages)</w:t>
      </w:r>
    </w:p>
    <w:p>
      <w:pPr>
        <w:spacing w:after="0" w:line="3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Increase/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 Increase/</w:t>
            </w:r>
          </w:p>
        </w:tc>
        <w:tc>
          <w:tcPr>
            <w:tcW w:w="0" w:type="dxa"/>
            <w:vAlign w:val="bottom"/>
          </w:tcPr>
          <w:p>
            <w:pPr>
              <w:spacing w:after="0"/>
              <w:rPr>
                <w:sz w:val="1"/>
                <w:szCs w:val="1"/>
                <w:color w:val="auto"/>
              </w:rPr>
            </w:pPr>
          </w:p>
        </w:tc>
      </w:tr>
      <w:tr>
        <w:trPr>
          <w:trHeight w:val="138"/>
        </w:trPr>
        <w:tc>
          <w:tcPr>
            <w:tcW w:w="5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86"/>
              </w:rPr>
              <w:t>(Decrease)</w:t>
            </w: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32"/>
        </w:trPr>
        <w:tc>
          <w:tcPr>
            <w:tcW w:w="5300" w:type="dxa"/>
            <w:vAlign w:val="bottom"/>
          </w:tcPr>
          <w:p>
            <w:pPr>
              <w:spacing w:after="0"/>
              <w:rPr>
                <w:sz w:val="11"/>
                <w:szCs w:val="11"/>
                <w:color w:val="auto"/>
              </w:rPr>
            </w:pPr>
          </w:p>
        </w:tc>
        <w:tc>
          <w:tcPr>
            <w:tcW w:w="2280" w:type="dxa"/>
            <w:vAlign w:val="bottom"/>
            <w:gridSpan w:val="4"/>
            <w:vMerge w:val="restart"/>
          </w:tcPr>
          <w:p>
            <w:pPr>
              <w:jc w:val="right"/>
              <w:ind w:right="43"/>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4"/>
              </w:rPr>
              <w:t>2022 vs.</w:t>
            </w: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2022 vs.</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5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and other income (expense), net</w:t>
            </w:r>
          </w:p>
        </w:tc>
        <w:tc>
          <w:tcPr>
            <w:tcW w:w="840" w:type="dxa"/>
            <w:vAlign w:val="bottom"/>
            <w:shd w:val="clear" w:color="auto" w:fill="CCEEFF"/>
          </w:tcPr>
          <w:p>
            <w:pPr>
              <w:jc w:val="right"/>
              <w:ind w:right="646"/>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6,667</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2,569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4,098</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&gt;100%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160" w:firstLine="541"/>
        <w:spacing w:after="0" w:line="318" w:lineRule="auto"/>
        <w:rPr>
          <w:sz w:val="20"/>
          <w:szCs w:val="20"/>
          <w:color w:val="auto"/>
        </w:rPr>
      </w:pPr>
      <w:r>
        <w:rPr>
          <w:rFonts w:ascii="Arial" w:cs="Arial" w:eastAsia="Arial" w:hAnsi="Arial"/>
          <w:sz w:val="15"/>
          <w:szCs w:val="15"/>
          <w:color w:val="auto"/>
        </w:rPr>
        <w:t>Interest income and other income (expense), net increased for the year ended December 31, 2022 compared to the year ended December 31, 2021, primarily due to increases in market interest rates, which was partially offset by lower investment balances as we have utilized our cash to fund our operations. We expect that our interest income and other income (expense), net will increase for 2023 compared to 2022 due to the anticipated continued higher interest rates.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 Expense (in thousands, except percentages)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Increase/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Increa</w:t>
            </w:r>
          </w:p>
        </w:tc>
        <w:tc>
          <w:tcPr>
            <w:tcW w:w="0" w:type="dxa"/>
            <w:vAlign w:val="bottom"/>
          </w:tcPr>
          <w:p>
            <w:pPr>
              <w:spacing w:after="0"/>
              <w:rPr>
                <w:sz w:val="1"/>
                <w:szCs w:val="1"/>
                <w:color w:val="auto"/>
              </w:rPr>
            </w:pPr>
          </w:p>
        </w:tc>
      </w:tr>
      <w:tr>
        <w:trPr>
          <w:trHeight w:val="132"/>
        </w:trPr>
        <w:tc>
          <w:tcPr>
            <w:tcW w:w="5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(Decrease)</w:t>
            </w:r>
          </w:p>
        </w:tc>
        <w:tc>
          <w:tcPr>
            <w:tcW w:w="116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4"/>
            <w:vMerge w:val="restart"/>
          </w:tcPr>
          <w:p>
            <w:pPr>
              <w:jc w:val="right"/>
              <w:ind w:right="583"/>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8"/>
              </w:rPr>
              <w:t>2022 vs.</w:t>
            </w:r>
          </w:p>
        </w:tc>
        <w:tc>
          <w:tcPr>
            <w:tcW w:w="1160" w:type="dxa"/>
            <w:vAlign w:val="bottom"/>
          </w:tcPr>
          <w:p>
            <w:pPr>
              <w:jc w:val="center"/>
              <w:ind w:left="148"/>
              <w:spacing w:after="0" w:line="142" w:lineRule="exact"/>
              <w:rPr>
                <w:sz w:val="20"/>
                <w:szCs w:val="20"/>
                <w:color w:val="auto"/>
              </w:rPr>
            </w:pPr>
            <w:r>
              <w:rPr>
                <w:rFonts w:ascii="Arial" w:cs="Arial" w:eastAsia="Arial" w:hAnsi="Arial"/>
                <w:sz w:val="14"/>
                <w:szCs w:val="14"/>
                <w:b w:val="1"/>
                <w:bCs w:val="1"/>
                <w:color w:val="auto"/>
                <w:w w:val="84"/>
              </w:rPr>
              <w:t>2022 vs.</w:t>
            </w:r>
          </w:p>
        </w:tc>
        <w:tc>
          <w:tcPr>
            <w:tcW w:w="0" w:type="dxa"/>
            <w:vAlign w:val="bottom"/>
          </w:tcPr>
          <w:p>
            <w:pPr>
              <w:spacing w:after="0"/>
              <w:rPr>
                <w:sz w:val="1"/>
                <w:szCs w:val="1"/>
                <w:color w:val="auto"/>
              </w:rPr>
            </w:pPr>
          </w:p>
        </w:tc>
      </w:tr>
      <w:tr>
        <w:trPr>
          <w:trHeight w:val="178"/>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4"/>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557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&gt;10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100" w:firstLine="172"/>
        <w:spacing w:after="0" w:line="262" w:lineRule="auto"/>
        <w:rPr>
          <w:sz w:val="20"/>
          <w:szCs w:val="20"/>
          <w:color w:val="auto"/>
        </w:rPr>
      </w:pPr>
      <w:r>
        <w:rPr>
          <w:rFonts w:ascii="Arial" w:cs="Arial" w:eastAsia="Arial" w:hAnsi="Arial"/>
          <w:sz w:val="17"/>
          <w:szCs w:val="17"/>
          <w:color w:val="auto"/>
        </w:rPr>
        <w:t>For the years ended December 31, 2022 and 2021, our income tax expense primarily results from our foreign operations. For the year ended December 31, 2022, our expense primarily represents taxes associated with our decision to close our research and development operations in India, including income taxes on the gain on the sale of the facility and estimated withholding taxes on the repatriation of the funds from India. Due to our expected net loss in 2023, we expect income tax expense to be lower for 2023 as compared to 2022.</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right="260" w:firstLine="169"/>
        <w:spacing w:after="0" w:line="266" w:lineRule="auto"/>
        <w:rPr>
          <w:sz w:val="20"/>
          <w:szCs w:val="20"/>
          <w:color w:val="auto"/>
        </w:rPr>
      </w:pPr>
      <w:r>
        <w:rPr>
          <w:rFonts w:ascii="Arial" w:cs="Arial" w:eastAsia="Arial" w:hAnsi="Arial"/>
          <w:sz w:val="17"/>
          <w:szCs w:val="17"/>
          <w:color w:val="auto"/>
        </w:rPr>
        <w:t>We have financed our operations primarily through revenue from upfront and milestone payments under our strategic collaboration agreements, royalties and product sales, as well as public and private placements of debt and equity securities. As of December 31, 2022, we had approximately $505.0 million in cash and investments in marketable securities.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estimate that we have working capital to fund our current business plans for at least the next twelve months from the date of filing.</w:t>
      </w:r>
    </w:p>
    <w:p>
      <w:pPr>
        <w:spacing w:after="0" w:line="114"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We expect the clinical development of our drug candidates, including rezpegaldesleukin and NKTR-255,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including $1.9 billion in total consideration received under our arrangement with BMS, development cost reimbursements from BMS, and a $150.0 million upfront payment from Lilly for our collaboration agreement for rezpegaldesleukin. In the future, we have the opportunity to receive up to $250.0 million in milestone payments under our collaboration agreement with Lilly.</w:t>
      </w: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68" w:right="239" w:bottom="1440" w:gutter="0" w:footer="0" w:header="0"/>
        </w:sectPr>
      </w:pPr>
    </w:p>
    <w:bookmarkStart w:id="49" w:name="page50"/>
    <w:bookmarkEnd w:id="49"/>
    <w:p>
      <w:pPr>
        <w:ind w:right="200" w:firstLine="619"/>
        <w:spacing w:after="0" w:line="279" w:lineRule="auto"/>
        <w:rPr>
          <w:sz w:val="20"/>
          <w:szCs w:val="20"/>
          <w:color w:val="auto"/>
        </w:rPr>
      </w:pPr>
      <w:r>
        <w:rPr>
          <w:rFonts w:ascii="Arial" w:cs="Arial" w:eastAsia="Arial" w:hAnsi="Arial"/>
          <w:sz w:val="16"/>
          <w:szCs w:val="16"/>
          <w:color w:val="auto"/>
        </w:rPr>
        <w:t>Our current business is subject to significant uncertainties and risks as a result of, among other factors, clinical and regulatory outcomes for rezpegaldesleukin and NKTR-255; the sales levels for those products (for both wholly owned products such as NKTR-255 and for licensed products such as rezpegaldesleukin for which we are entitled to royalties), if and when they are approved; whether, when and on what terms we are able to enter into new collaboration transactions; expenses being higher than anticipated; unplanned expenses and the need to satisfy contingent liabilities, including litigation matters and indemnification obligations; and cash receipts, including sublease income, being lower than anticipated.</w:t>
      </w:r>
    </w:p>
    <w:p>
      <w:pPr>
        <w:spacing w:after="0" w:line="65"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65"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As a result of our 2022 Restructuring Plan, we have executed subleases for a portion of our excess laboratory spaces and are seeking to sublease additional laboratory and office space. For our vacant office space on Third St., however, there is significant uncertainty as to whether or when we will be able to enter into a sublease as well as the economic terms of such subleases, if any. The San Francisco Bay Area office lease market has been negatively impacted by economic uncertainties, particularly impacting the technology industry, and the change in work habits due to the COVID-19 pandemic, as employees continue to work remotely.</w:t>
      </w:r>
    </w:p>
    <w:p>
      <w:pPr>
        <w:spacing w:after="0" w:line="80"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spacing w:after="0" w:line="49" w:lineRule="exact"/>
        <w:rPr>
          <w:sz w:val="20"/>
          <w:szCs w:val="20"/>
          <w:color w:val="auto"/>
        </w:rPr>
      </w:pPr>
    </w:p>
    <w:p>
      <w:pPr>
        <w:ind w:right="100" w:firstLine="619"/>
        <w:spacing w:after="0" w:line="300" w:lineRule="auto"/>
        <w:rPr>
          <w:sz w:val="20"/>
          <w:szCs w:val="20"/>
          <w:color w:val="auto"/>
        </w:rPr>
      </w:pPr>
      <w:r>
        <w:rPr>
          <w:rFonts w:ascii="Arial" w:cs="Arial" w:eastAsia="Arial" w:hAnsi="Arial"/>
          <w:sz w:val="15"/>
          <w:szCs w:val="15"/>
          <w:color w:val="auto"/>
        </w:rPr>
        <w:t>Prior to the filing of this Annual Report on Form 10-K, we had an effective shelf registration statement on Form S-3 (the 2021 Shelf Registration Statement) on file with the Securities and Exchange Commission. The 2021 Shelf Registration Statement permitted the offering, issuance and sale by us of up to an aggregate offering price of $300.0 million of common stock, preferred stock, debt securities and warrants in one or more offerings and in any combination, all of which could be offered, issued and sold in “at-the-market” sales pursuant to an equity distribution agreement with Cowen and Company, LLC (the Equity</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Distribution Agreement). No securities were sold under the 2021 Shelf Registration Statement or the Equity Distribution Agreement. Because we are no longer a well-known seasoned issuer, the 2021 Shelf Registration Statement will no longer be available for us to offer and sell securities pursuant to the 2021 Shelf Registration Statement following the filing of this Annual Report on Form 10-K.</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flows used in operating activities for the years ended December 31, 2022 and 2021 totaled $304.0 million and $412.7 million, respectively.</w:t>
      </w:r>
    </w:p>
    <w:p>
      <w:pPr>
        <w:spacing w:after="0" w:line="114" w:lineRule="exact"/>
        <w:rPr>
          <w:sz w:val="20"/>
          <w:szCs w:val="20"/>
          <w:color w:val="auto"/>
        </w:rPr>
      </w:pPr>
    </w:p>
    <w:p>
      <w:pPr>
        <w:jc w:val="both"/>
        <w:ind w:right="200" w:firstLine="169"/>
        <w:spacing w:after="0" w:line="266" w:lineRule="auto"/>
        <w:rPr>
          <w:sz w:val="20"/>
          <w:szCs w:val="20"/>
          <w:color w:val="auto"/>
        </w:rPr>
      </w:pPr>
      <w:r>
        <w:rPr>
          <w:rFonts w:ascii="Arial" w:cs="Arial" w:eastAsia="Arial" w:hAnsi="Arial"/>
          <w:sz w:val="17"/>
          <w:szCs w:val="17"/>
          <w:color w:val="auto"/>
        </w:rPr>
        <w:t>We expect that cash flows used in operating activities, excluding upfront, milestone and other contingent payments received, if any, will decrease for 2023 as compared to 2022 because we do not expect any further costs for the wind down of the bempegaldesleukin program and the various cost restructuring activities described above to be significant.</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invest</w:t>
      </w:r>
      <w:r>
        <w:rPr>
          <w:rFonts w:ascii="Arial" w:cs="Arial" w:eastAsia="Arial" w:hAnsi="Arial"/>
          <w:sz w:val="17"/>
          <w:szCs w:val="17"/>
          <w:color w:val="auto"/>
        </w:rPr>
        <w:t>i</w:t>
      </w:r>
      <w:r>
        <w:rPr>
          <w:rFonts w:ascii="Arial" w:cs="Arial" w:eastAsia="Arial" w:hAnsi="Arial"/>
          <w:sz w:val="17"/>
          <w:szCs w:val="17"/>
          <w:b w:val="1"/>
          <w:bCs w:val="1"/>
          <w:i w:val="1"/>
          <w:iCs w:val="1"/>
          <w:color w:val="auto"/>
        </w:rPr>
        <w:t>ng activities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years ended December 31, 2022 and 2021, the maturities and sales of our investments, net of purchases, totaled $358.3 million and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$217.8 million, respectively, which we used to fund our operations. Our maturities and sales of investments, net of purchases were lower during the year ended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as compared to the year ended December 31, 2022, because we purchased securities in early 2021, utilizing the $150.0 million in proceeds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from the 2020 Purchase and Sale Agreement that were included in cash equivalents at December 31, 2020.</w:t>
      </w:r>
    </w:p>
    <w:p>
      <w:pPr>
        <w:spacing w:after="0" w:line="103" w:lineRule="exact"/>
        <w:rPr>
          <w:sz w:val="20"/>
          <w:szCs w:val="20"/>
          <w:color w:val="auto"/>
        </w:rPr>
      </w:pPr>
    </w:p>
    <w:p>
      <w:pPr>
        <w:ind w:firstLine="541"/>
        <w:spacing w:after="0" w:line="266" w:lineRule="auto"/>
        <w:rPr>
          <w:sz w:val="20"/>
          <w:szCs w:val="20"/>
          <w:color w:val="auto"/>
        </w:rPr>
      </w:pPr>
      <w:r>
        <w:rPr>
          <w:rFonts w:ascii="Arial" w:cs="Arial" w:eastAsia="Arial" w:hAnsi="Arial"/>
          <w:sz w:val="17"/>
          <w:szCs w:val="17"/>
          <w:color w:val="auto"/>
        </w:rPr>
        <w:t>We paid $5.7 million and $15.0 million for the purchase or construction of property, plant and equipment in the years ended December 31, 2022 and 2021, respectively. We also received $13.2 million from the sales of property, plant and equipment, primarily from the sale of our research and development facility in India.</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65" w:right="399" w:bottom="1440" w:gutter="0" w:footer="0" w:header="0"/>
        </w:sectPr>
      </w:pPr>
    </w:p>
    <w:bookmarkStart w:id="50" w:name="page51"/>
    <w:bookmarkEnd w:id="50"/>
    <w:p>
      <w:pPr>
        <w:ind w:left="320"/>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14" w:lineRule="exact"/>
        <w:rPr>
          <w:sz w:val="20"/>
          <w:szCs w:val="20"/>
          <w:color w:val="auto"/>
        </w:rPr>
      </w:pPr>
    </w:p>
    <w:p>
      <w:pPr>
        <w:ind w:right="280" w:firstLine="541"/>
        <w:spacing w:after="0" w:line="266" w:lineRule="auto"/>
        <w:rPr>
          <w:sz w:val="20"/>
          <w:szCs w:val="20"/>
          <w:color w:val="auto"/>
        </w:rPr>
      </w:pPr>
      <w:r>
        <w:rPr>
          <w:rFonts w:ascii="Arial" w:cs="Arial" w:eastAsia="Arial" w:hAnsi="Arial"/>
          <w:sz w:val="17"/>
          <w:szCs w:val="17"/>
          <w:color w:val="auto"/>
        </w:rPr>
        <w:t>We received proceeds from issuance of common stock related to our employee option and stock purchase plans of $0.8 million and $33.2 million in the years ended December 31, 2022 and 2021, respectively. Additionally, during the years ended December 31, 2022 and 2021, we received $0.8 million and $3.0 million, respectively, from SFJ pursuant to our co-development agreement.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1" w:lineRule="exact"/>
        <w:rPr>
          <w:sz w:val="20"/>
          <w:szCs w:val="20"/>
          <w:color w:val="auto"/>
        </w:rPr>
      </w:pPr>
    </w:p>
    <w:p>
      <w:pPr>
        <w:ind w:right="160" w:firstLine="541"/>
        <w:spacing w:after="0" w:line="266" w:lineRule="auto"/>
        <w:rPr>
          <w:sz w:val="20"/>
          <w:szCs w:val="20"/>
          <w:color w:val="auto"/>
        </w:rPr>
      </w:pPr>
      <w:r>
        <w:rPr>
          <w:rFonts w:ascii="Arial" w:cs="Arial" w:eastAsia="Arial" w:hAnsi="Arial"/>
          <w:sz w:val="17"/>
          <w:szCs w:val="17"/>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72" w:lineRule="exact"/>
        <w:rPr>
          <w:sz w:val="20"/>
          <w:szCs w:val="20"/>
          <w:color w:val="auto"/>
        </w:rPr>
      </w:pPr>
    </w:p>
    <w:p>
      <w:pPr>
        <w:ind w:right="140" w:firstLine="541"/>
        <w:spacing w:after="0" w:line="307" w:lineRule="auto"/>
        <w:rPr>
          <w:sz w:val="20"/>
          <w:szCs w:val="20"/>
          <w:color w:val="auto"/>
        </w:rPr>
      </w:pPr>
      <w:r>
        <w:rPr>
          <w:rFonts w:ascii="Arial" w:cs="Arial" w:eastAsia="Arial" w:hAnsi="Arial"/>
          <w:sz w:val="15"/>
          <w:szCs w:val="15"/>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We have determined that, for the periods in this report, the following accounting policies and estimates are critical in understanding our financial condition and the results of our operations.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4" w:lineRule="exact"/>
        <w:rPr>
          <w:sz w:val="20"/>
          <w:szCs w:val="20"/>
          <w:color w:val="auto"/>
        </w:rPr>
      </w:pPr>
    </w:p>
    <w:p>
      <w:pPr>
        <w:ind w:right="40" w:firstLine="169"/>
        <w:spacing w:after="0" w:line="283" w:lineRule="auto"/>
        <w:rPr>
          <w:sz w:val="20"/>
          <w:szCs w:val="20"/>
          <w:color w:val="auto"/>
        </w:rPr>
      </w:pPr>
      <w:r>
        <w:rPr>
          <w:rFonts w:ascii="Arial" w:cs="Arial" w:eastAsia="Arial" w:hAnsi="Arial"/>
          <w:sz w:val="16"/>
          <w:szCs w:val="16"/>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discounted net cash flows associated with the asset.</w:t>
      </w:r>
    </w:p>
    <w:p>
      <w:pPr>
        <w:spacing w:after="0" w:line="60"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As discussed in Note 11, in connection with our 2022 Restructuring Plan, we have consolidated our San Francisco operations in our Mission Bay Facility, and we have vacated our Third St. Facility and certain laboratory and office spaces at our Mission Bay Facility. We are seeking to sublease the vacated spaces, while still maintaining sufficient office and laboratory space to allow our team to develop our proprietary programs. As a result, we reviewed each of our vacated spaces for impairment as of May 31, 2022, when management had determined which spaces we would seek to sublease, and subsequently at each reporting date or as facts and circumstances changed. As part of our impairment evaluation of each vacated space, we separately compared the estimated undiscounted income to the net book value of the related long-term assets, which include right-of-use assets and certain property, plant and equipment, primarily leasehold improvements (collectively, sublease assets). We estimated sublease income using market participant assumptions, including the length of time to enter into a sublease and sublease payments, which we evaluated using sublease negotiations or agreements when applicable, current real estate trends and market conditions. If such income exceeded the net book value of the related assets, we did not record an impairment charge. Otherwise, we recorded an impairment charge by reducing the net book value of the assets to their estimated fair value, which we determined by discounting the estimated sublease cash flows using the estimated borrowing rate of a market participant subtenant, which we estimated to be 6.4% and 7.9% as of May 31, 2022 and December 31, 2022, respectively. Determination of these key assumptions is complex and highly judgmental.</w:t>
      </w:r>
    </w:p>
    <w:p>
      <w:pPr>
        <w:spacing w:after="0" w:line="76" w:lineRule="exact"/>
        <w:rPr>
          <w:sz w:val="20"/>
          <w:szCs w:val="20"/>
          <w:color w:val="auto"/>
        </w:rPr>
      </w:pPr>
    </w:p>
    <w:p>
      <w:pPr>
        <w:ind w:right="60" w:firstLine="619"/>
        <w:spacing w:after="0" w:line="275" w:lineRule="auto"/>
        <w:rPr>
          <w:sz w:val="20"/>
          <w:szCs w:val="20"/>
          <w:color w:val="auto"/>
        </w:rPr>
      </w:pPr>
      <w:r>
        <w:rPr>
          <w:rFonts w:ascii="Arial" w:cs="Arial" w:eastAsia="Arial" w:hAnsi="Arial"/>
          <w:sz w:val="16"/>
          <w:szCs w:val="16"/>
          <w:color w:val="auto"/>
        </w:rPr>
        <w:t>For certain impairment charges, we used the terms of active sublease negotiations or agreements to estimate sublease income. However, for our facility at 360 Third. St., which represents the substantial majority of our impairment charges for the year ended December 31, 2022, we developed our estimates of the time to enter into a sublease and sublease payments, including estimated free rent periods, based on current real estate trends and market conditions. Accordingly, if our estimates for the time to enter the sublease and estimated free rent periods were longer (shorter), the impairment charge would be higher (lower), and if our estimates for the rental rates were lower (higher), the impairment charge would be higher (lower). Given the current office lease market rental conditions in San Francisco and the larger Bay Area, our estimates are subject to significant uncertainty. The ultimate amount of sublease income may be significantly lower or higher than the amounts used to record our impairment charges, and we may record additional impairment charges in future periods as our estimates change or when we enter into sublease negotiations or execute a sublease agreement.</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Collaborative Arrangements</w:t>
      </w:r>
    </w:p>
    <w:p>
      <w:pPr>
        <w:spacing w:after="0" w:line="114" w:lineRule="exact"/>
        <w:rPr>
          <w:sz w:val="20"/>
          <w:szCs w:val="20"/>
          <w:color w:val="auto"/>
        </w:rPr>
      </w:pPr>
    </w:p>
    <w:p>
      <w:pPr>
        <w:ind w:right="140" w:firstLine="169"/>
        <w:spacing w:after="0" w:line="266" w:lineRule="auto"/>
        <w:rPr>
          <w:sz w:val="20"/>
          <w:szCs w:val="20"/>
          <w:color w:val="auto"/>
        </w:rPr>
      </w:pPr>
      <w:r>
        <w:rPr>
          <w:rFonts w:ascii="Arial" w:cs="Arial" w:eastAsia="Arial" w:hAnsi="Arial"/>
          <w:sz w:val="17"/>
          <w:szCs w:val="17"/>
          <w:color w:val="auto"/>
        </w:rPr>
        <w:t xml:space="preserve">When we enter into collaboration agreements with pharmaceutical and biotechnology partners, we assess whether the arrangements fall within the scope of Accounting Standards Codification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based on whether the arrangements involve joint operating activities and whether both parties have active participation in the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6"/>
          <w:szCs w:val="16"/>
          <w:color w:val="auto"/>
        </w:rPr>
        <w:t xml:space="preserve">arrangement and are exposed to significant risks and rewards.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However, if we conclude that our collaboration partner is not a customer for certain activities and associated payments, such as for certain collaborative research, development, manufacturing and commercial activities, we record such payments as a reduction of research and development expense or general and administrative expense, based on where we record the underlying expense.</w:t>
      </w:r>
    </w:p>
    <w:p>
      <w:pPr>
        <w:spacing w:after="0" w:line="67" w:lineRule="exact"/>
        <w:rPr>
          <w:sz w:val="20"/>
          <w:szCs w:val="20"/>
          <w:color w:val="auto"/>
        </w:rPr>
      </w:pPr>
    </w:p>
    <w:p>
      <w:pPr>
        <w:ind w:right="20" w:firstLine="619"/>
        <w:spacing w:after="0" w:line="302" w:lineRule="auto"/>
        <w:rPr>
          <w:sz w:val="20"/>
          <w:szCs w:val="20"/>
          <w:color w:val="auto"/>
        </w:rPr>
      </w:pPr>
      <w:r>
        <w:rPr>
          <w:rFonts w:ascii="Arial" w:cs="Arial" w:eastAsia="Arial" w:hAnsi="Arial"/>
          <w:sz w:val="15"/>
          <w:szCs w:val="15"/>
          <w:color w:val="auto"/>
        </w:rPr>
        <w:t>We have concluded that our collaboration agreements with BMS and Lilly fall within the scope of ASC 808. We concluded that the upfront and milestone payments under these arrangements fall within the scope of ASC 606 and therefore recognize these payments as revenue in license, collaboration and other revenue. However, due to the collaborative nature of our joint development and commercialization of bempegaldesleukin, we recognize the reimbursements we receive from BMS for their share of the costs that we incur for the development, manufacturing and commercialization of bempegaldesleukin as a reduction of research and development expense; general and administrative expense; or restructuring, impairment and other costs of terminated program, as applicable.</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right="40" w:firstLine="169"/>
        <w:spacing w:after="0" w:line="273" w:lineRule="auto"/>
        <w:rPr>
          <w:sz w:val="20"/>
          <w:szCs w:val="20"/>
          <w:color w:val="auto"/>
        </w:rPr>
      </w:pPr>
      <w:r>
        <w:rPr>
          <w:rFonts w:ascii="Arial" w:cs="Arial" w:eastAsia="Arial" w:hAnsi="Arial"/>
          <w:sz w:val="16"/>
          <w:szCs w:val="16"/>
          <w:color w:val="auto"/>
        </w:rPr>
        <w:t>We recognize license, collaboration and other research revenue, including the upfront fees and milestone payments based on the facts and circumstances of each contractual agreement. At the inception of each agreement, we determine which promises represent distinct performance obligations, for which management must use significant judgment. Additionally, at inception and at each reporting date thereafter, we must determine and update, as appropriate, the transaction price, which includes variable consideration such as development and commercial launch milestones. We must use judgment to determine when to include the variable consideration for these milestones in the transaction price such that inclusion of such variable consideration will not result in a significant reversal of revenue recognized when the contingency surrounding the variable consideration is resolved. To date, we have not included the milestones from Lilly in the transaction price due to the significant uncertainties involved with clinical development and regulatory approval. We generally do not believe that we would update the transaction price before events that are outside of our control occur, such as the release of clinical trial results, regulatory acceptance of a BLA or similar filing or regulatory approval. However, if these results are positive, we may conclude that certain milestones meet the recognition requirements for inclusion in the transaction price and therefore we would recognize them as revenue before the milestone event occurs and the payment becomes due to us, provided that the achievement of the milestone is within our control.</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Accrued Clinical Trial Expenses</w:t>
      </w:r>
    </w:p>
    <w:p>
      <w:pPr>
        <w:spacing w:after="0" w:line="114" w:lineRule="exact"/>
        <w:rPr>
          <w:sz w:val="20"/>
          <w:szCs w:val="20"/>
          <w:color w:val="auto"/>
        </w:rPr>
      </w:pPr>
    </w:p>
    <w:p>
      <w:pPr>
        <w:ind w:right="60" w:firstLine="169"/>
        <w:spacing w:after="0" w:line="256" w:lineRule="auto"/>
        <w:rPr>
          <w:sz w:val="20"/>
          <w:szCs w:val="20"/>
          <w:color w:val="auto"/>
        </w:rPr>
      </w:pPr>
      <w:r>
        <w:rPr>
          <w:rFonts w:ascii="Arial" w:cs="Arial" w:eastAsia="Arial" w:hAnsi="Arial"/>
          <w:sz w:val="17"/>
          <w:szCs w:val="17"/>
          <w:color w:val="auto"/>
        </w:rPr>
        <w:t>We record an accrued expense for the estimated unbilled costs of our clinical study activities performed by third parties and significant delays between these expenses being incurred and the timing of vendor submission of invoices to us.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 party vendors, including our contract research organizations. We may also accrue expenses based on the total estimated cost of the treatment phase on a per patient basis and expense the per patient cost ratably over the estimated patient treatment period. In specific circumstances, such as for certain time-based costs, we recognize clinical trial expenses ratably over the service period, as we believe that this methodology may be more reflective of the timing of costs incurred.</w:t>
      </w:r>
    </w:p>
    <w:p>
      <w:pPr>
        <w:spacing w:after="0" w:line="83" w:lineRule="exact"/>
        <w:rPr>
          <w:sz w:val="20"/>
          <w:szCs w:val="20"/>
          <w:color w:val="auto"/>
        </w:rPr>
      </w:pPr>
    </w:p>
    <w:p>
      <w:pPr>
        <w:ind w:right="20" w:firstLine="169"/>
        <w:spacing w:after="0" w:line="262" w:lineRule="auto"/>
        <w:rPr>
          <w:sz w:val="20"/>
          <w:szCs w:val="20"/>
          <w:color w:val="auto"/>
        </w:rPr>
      </w:pPr>
      <w:r>
        <w:rPr>
          <w:rFonts w:ascii="Arial" w:cs="Arial" w:eastAsia="Arial" w:hAnsi="Arial"/>
          <w:sz w:val="17"/>
          <w:szCs w:val="17"/>
          <w:color w:val="auto"/>
        </w:rPr>
        <w:t>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Such increases or decreases in cost are generally considered to be changes in estimates and will be reflected in research and development expenses in the period identified.</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Debt Modification</w:t>
      </w:r>
    </w:p>
    <w:p>
      <w:pPr>
        <w:spacing w:after="0" w:line="114" w:lineRule="exact"/>
        <w:rPr>
          <w:sz w:val="20"/>
          <w:szCs w:val="20"/>
          <w:color w:val="auto"/>
        </w:rPr>
      </w:pPr>
    </w:p>
    <w:p>
      <w:pPr>
        <w:ind w:firstLine="162"/>
        <w:spacing w:after="0" w:line="239" w:lineRule="auto"/>
        <w:rPr>
          <w:sz w:val="20"/>
          <w:szCs w:val="20"/>
          <w:color w:val="auto"/>
        </w:rPr>
      </w:pPr>
      <w:r>
        <w:rPr>
          <w:rFonts w:ascii="Arial" w:cs="Arial" w:eastAsia="Arial" w:hAnsi="Arial"/>
          <w:sz w:val="17"/>
          <w:szCs w:val="17"/>
          <w:color w:val="auto"/>
        </w:rPr>
        <w:t>As discussed in Note 7 to our Consolidated Financial Statements, to resolve UCB’s challenges to our patents and their resulting obligation to pay us the royalties on net sales of CIMZIA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which we had sold to RPI, RPI and UCB negotiated a reduction in the royalty term and decreased royalty rates over the remaining term. This negotiation was implemented through the Letter Agreement between RPI and us, which permitted us to enter into the Settlement Agreement with UCB in October</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5" w:right="35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auto"/>
        </w:rPr>
        <w:t xml:space="preserve">2021. When we initially sold our rights to receive royalties to RPI, we concluded that we should account for the transaction as debt under ASC 450-10 </w:t>
      </w:r>
      <w:r>
        <w:rPr>
          <w:rFonts w:ascii="Arial" w:cs="Arial" w:eastAsia="Arial" w:hAnsi="Arial"/>
          <w:sz w:val="15"/>
          <w:szCs w:val="15"/>
          <w:i w:val="1"/>
          <w:iCs w:val="1"/>
          <w:color w:val="auto"/>
        </w:rPr>
        <w:t>Debt</w:t>
      </w:r>
      <w:r>
        <w:rPr>
          <w:rFonts w:ascii="Arial" w:cs="Arial" w:eastAsia="Arial" w:hAnsi="Arial"/>
          <w:sz w:val="15"/>
          <w:szCs w:val="15"/>
          <w:color w:val="auto"/>
        </w:rPr>
        <w:t xml:space="preserve"> (ASC</w:t>
      </w:r>
    </w:p>
    <w:p>
      <w:pPr>
        <w:spacing w:after="0" w:line="45" w:lineRule="exact"/>
        <w:rPr>
          <w:sz w:val="20"/>
          <w:szCs w:val="20"/>
          <w:color w:val="auto"/>
        </w:rPr>
      </w:pPr>
    </w:p>
    <w:p>
      <w:pPr>
        <w:ind w:right="220" w:firstLine="3"/>
        <w:spacing w:after="0" w:line="230" w:lineRule="auto"/>
        <w:tabs>
          <w:tab w:leader="none" w:pos="3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due to our continuing involvement in the generation of the royalties due to our obligation to manufacture the polymer reagent purchased by UCB for the production of CIMZIA</w:t>
      </w:r>
      <w:r>
        <w:rPr>
          <w:rFonts w:ascii="Arial" w:cs="Arial" w:eastAsia="Arial" w:hAnsi="Arial"/>
          <w:sz w:val="22"/>
          <w:szCs w:val="22"/>
          <w:color w:val="auto"/>
          <w:vertAlign w:val="superscript"/>
        </w:rPr>
        <w:t>®</w:t>
      </w:r>
      <w:r>
        <w:rPr>
          <w:rFonts w:ascii="Arial" w:cs="Arial" w:eastAsia="Arial" w:hAnsi="Arial"/>
          <w:sz w:val="17"/>
          <w:szCs w:val="17"/>
          <w:color w:val="auto"/>
        </w:rPr>
        <w:t>. Since this obligation remained unchanged as a result of the Settlement Agreement, we concluded that we should account for the Letter Agreement within the scope of ASC 450.</w:t>
      </w:r>
    </w:p>
    <w:p>
      <w:pPr>
        <w:spacing w:after="0" w:line="94" w:lineRule="exact"/>
        <w:rPr>
          <w:sz w:val="20"/>
          <w:szCs w:val="20"/>
          <w:color w:val="auto"/>
        </w:rPr>
      </w:pPr>
    </w:p>
    <w:p>
      <w:pPr>
        <w:ind w:firstLine="619"/>
        <w:spacing w:after="0" w:line="256" w:lineRule="auto"/>
        <w:rPr>
          <w:sz w:val="20"/>
          <w:szCs w:val="20"/>
          <w:color w:val="auto"/>
        </w:rPr>
      </w:pPr>
      <w:r>
        <w:rPr>
          <w:rFonts w:ascii="Arial" w:cs="Arial" w:eastAsia="Arial" w:hAnsi="Arial"/>
          <w:sz w:val="16"/>
          <w:szCs w:val="16"/>
          <w:color w:val="auto"/>
        </w:rPr>
        <w:t>In our assessment, we concluded that the Letter Agreement represented a modification of the 2012 Purchase and Sale Agreement, since RPI had agreed to reduced royalty payments. Since our estimates of the present value of the reduction in the future royalties exceeded 10% of our estimates of the present value of the royalties before the modification (including the royalties from 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which remain unchanged as a result of these agreements), we concluded that we should treat the modification as an extinguishment of the prior liability and recognize a new liability based on the revised royalty payments and term, discounted to fair value. The estimation of the fair value required us to develop estimates of the future sales of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over the remaining royalty terms, as well as to estimate an appropriate discount rate. Since no active, traded markets exist for arrangements of this nature, we concluded that the 2020 Purchase and Sale Arrangement was economically similar enough to the modified 2012 Purchase and Sale Agreement to use as a basis for the discount rate because the products under both arrangements are well established drugs and the duration of the arrangements are similar. Accordingly, we utilized our estimated imputed interest rate of 16% from the inception of the 2020 Purchase and Sale Agreement as the discount rate to estimate the fair value of the modified 2012 Purchase and Sale Agreement.</w:t>
      </w:r>
    </w:p>
    <w:p>
      <w:pPr>
        <w:spacing w:after="0" w:line="81" w:lineRule="exact"/>
        <w:rPr>
          <w:sz w:val="20"/>
          <w:szCs w:val="20"/>
          <w:color w:val="auto"/>
        </w:rPr>
      </w:pPr>
    </w:p>
    <w:p>
      <w:pPr>
        <w:ind w:right="20" w:firstLine="619"/>
        <w:spacing w:after="0" w:line="318" w:lineRule="auto"/>
        <w:rPr>
          <w:sz w:val="20"/>
          <w:szCs w:val="20"/>
          <w:color w:val="auto"/>
        </w:rPr>
      </w:pPr>
      <w:r>
        <w:rPr>
          <w:rFonts w:ascii="Arial" w:cs="Arial" w:eastAsia="Arial" w:hAnsi="Arial"/>
          <w:sz w:val="15"/>
          <w:szCs w:val="15"/>
          <w:color w:val="auto"/>
        </w:rPr>
        <w:t>If our estimates of the future royalties to be received by RPI under the modified 2012 Purchase and Sale Agreement had been higher or lower, our estimated fair value of the new liability would have been higher or lower as well, resulting in a larger or smaller loss on the revaluation. Similarly, if our estimated discount rate had been lower or higher, the estimated fair value of the liability would have been higher or lower, resulting in a larger or smaller loss on revaluation.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 Risk</w:t>
      </w:r>
    </w:p>
    <w:p>
      <w:pPr>
        <w:spacing w:after="0" w:line="1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exposed to the risk of inflation, which has increased significantly during 2022 and may result in increases to our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and Market Risk</w:t>
      </w:r>
    </w:p>
    <w:p>
      <w:pPr>
        <w:spacing w:after="0" w:line="120" w:lineRule="exact"/>
        <w:rPr>
          <w:sz w:val="20"/>
          <w:szCs w:val="20"/>
          <w:color w:val="auto"/>
        </w:rPr>
      </w:pPr>
    </w:p>
    <w:p>
      <w:pPr>
        <w:ind w:right="20" w:firstLine="169"/>
        <w:spacing w:after="0" w:line="318" w:lineRule="auto"/>
        <w:rPr>
          <w:sz w:val="20"/>
          <w:szCs w:val="20"/>
          <w:color w:val="auto"/>
        </w:rPr>
      </w:pPr>
      <w:r>
        <w:rPr>
          <w:rFonts w:ascii="Arial" w:cs="Arial" w:eastAsia="Arial" w:hAnsi="Arial"/>
          <w:sz w:val="15"/>
          <w:szCs w:val="15"/>
          <w:color w:val="auto"/>
        </w:rPr>
        <w:t>The primary objective of our investment activities is to preserve principal while at the same time maximizing yields without significantly increasing risk. To achieve this objective, 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w:t>
      </w:r>
    </w:p>
    <w:p>
      <w:pPr>
        <w:spacing w:after="0" w:line="139" w:lineRule="exact"/>
        <w:rPr>
          <w:sz w:val="20"/>
          <w:szCs w:val="20"/>
          <w:color w:val="auto"/>
        </w:rPr>
      </w:pPr>
    </w:p>
    <w:p>
      <w:pPr>
        <w:jc w:val="both"/>
        <w:ind w:right="40" w:firstLine="162"/>
        <w:spacing w:after="0" w:line="262" w:lineRule="auto"/>
        <w:rPr>
          <w:sz w:val="20"/>
          <w:szCs w:val="20"/>
          <w:color w:val="auto"/>
        </w:rPr>
      </w:pPr>
      <w:r>
        <w:rPr>
          <w:rFonts w:ascii="Arial" w:cs="Arial" w:eastAsia="Arial" w:hAnsi="Arial"/>
          <w:sz w:val="17"/>
          <w:szCs w:val="17"/>
          <w:color w:val="auto"/>
        </w:rPr>
        <w:t>A hypothetical 50 basis point increase in interest rates would result in an approximate $0.6 million decrease, less than 1%, in the fair value of our available-for-sale securities at December 31, 2022. This potential change is based on sensitivity analyses performed on our investment securities at December 31, 2022. Actual results may differ materially. The same hypothetical 50 basis point increase in interest rates would have resulted in an approximate $1.8 million decrease, less than 1%, in the fair value of our available-for-sale securities at December 31, 2021.</w:t>
      </w:r>
    </w:p>
    <w:p>
      <w:pPr>
        <w:spacing w:after="0" w:line="178" w:lineRule="exact"/>
        <w:rPr>
          <w:sz w:val="20"/>
          <w:szCs w:val="20"/>
          <w:color w:val="auto"/>
        </w:rPr>
      </w:pPr>
    </w:p>
    <w:p>
      <w:pPr>
        <w:ind w:right="20" w:firstLine="162"/>
        <w:spacing w:after="0" w:line="277" w:lineRule="auto"/>
        <w:rPr>
          <w:sz w:val="20"/>
          <w:szCs w:val="20"/>
          <w:color w:val="auto"/>
        </w:rPr>
      </w:pPr>
      <w:r>
        <w:rPr>
          <w:rFonts w:ascii="Arial" w:cs="Arial" w:eastAsia="Arial" w:hAnsi="Arial"/>
          <w:sz w:val="16"/>
          <w:szCs w:val="16"/>
          <w:color w:val="auto"/>
        </w:rPr>
        <w:t>As of December 31, 2022, we held $427.7 million of available-for-sale investments, excluding money market funds, with an average time to maturity of four months. To date we have not experienced any liquidity issues with respect to these securities, but should such issues arise, we may be required to hold some, or all, of these securities until maturity. We believe that, even allowing for potential liquidity issues with respect to these securities, our remaining cash, cash equivalents, and investments in marketable securities will be sufficient to meet our anticipated cash needs for at least the next twelve months. Based on our available cash, the timing of the maturities of our investments and our expected operating cash requirements, we currently do not intend to sell these securities prior to maturity and it is more likely than not that we will not be required to sell these securities before we recover the amortized cost basis.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20" w:lineRule="exact"/>
        <w:rPr>
          <w:sz w:val="20"/>
          <w:szCs w:val="20"/>
          <w:color w:val="auto"/>
        </w:rPr>
      </w:pPr>
    </w:p>
    <w:p>
      <w:pPr>
        <w:ind w:right="460" w:firstLine="619"/>
        <w:spacing w:after="0" w:line="279" w:lineRule="auto"/>
        <w:rPr>
          <w:sz w:val="20"/>
          <w:szCs w:val="20"/>
          <w:color w:val="auto"/>
        </w:rPr>
      </w:pPr>
      <w:r>
        <w:rPr>
          <w:rFonts w:ascii="Arial" w:cs="Arial" w:eastAsia="Arial" w:hAnsi="Arial"/>
          <w:sz w:val="17"/>
          <w:szCs w:val="17"/>
          <w:color w:val="auto"/>
        </w:rPr>
        <w:t>As a result of the sale of our research and development facility in India, we have significant cash and investment balances in India that we intend to repatriate as part of our closure of this entity. We are subject to foreign currency exchange risk until we can repatriate these funds.</w:t>
      </w:r>
    </w:p>
    <w:p>
      <w:pPr>
        <w:spacing w:after="0" w:line="61" w:lineRule="exact"/>
        <w:rPr>
          <w:sz w:val="20"/>
          <w:szCs w:val="20"/>
          <w:color w:val="auto"/>
        </w:rPr>
      </w:pPr>
    </w:p>
    <w:p>
      <w:pPr>
        <w:jc w:val="both"/>
        <w:ind w:right="660" w:firstLine="619"/>
        <w:spacing w:after="0" w:line="266" w:lineRule="auto"/>
        <w:rPr>
          <w:sz w:val="20"/>
          <w:szCs w:val="20"/>
          <w:color w:val="auto"/>
        </w:rPr>
      </w:pPr>
      <w:r>
        <w:rPr>
          <w:rFonts w:ascii="Arial" w:cs="Arial" w:eastAsia="Arial" w:hAnsi="Arial"/>
          <w:sz w:val="17"/>
          <w:szCs w:val="17"/>
          <w:color w:val="auto"/>
        </w:rPr>
        <w:t>The majority of our revenue, expense, and capital purchasing activities are transacted in U.S. dollars. However, we have contracts with contract manufacturing organizations in Europe and incur costs from sites in a variety of international locations which are paid in their respective local currencies. Additionally, until the closure and sale of our research and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65" w:right="359" w:bottom="1440" w:gutter="0" w:footer="0" w:header="0"/>
        </w:sectPr>
      </w:pPr>
    </w:p>
    <w:bookmarkStart w:id="53" w:name="page54"/>
    <w:bookmarkEnd w:id="53"/>
    <w:p>
      <w:pPr>
        <w:spacing w:after="0" w:line="279" w:lineRule="auto"/>
        <w:rPr>
          <w:sz w:val="20"/>
          <w:szCs w:val="20"/>
          <w:color w:val="auto"/>
        </w:rPr>
      </w:pPr>
      <w:r>
        <w:rPr>
          <w:rFonts w:ascii="Arial" w:cs="Arial" w:eastAsia="Arial" w:hAnsi="Arial"/>
          <w:sz w:val="17"/>
          <w:szCs w:val="17"/>
          <w:color w:val="auto"/>
        </w:rPr>
        <w:t>development facility in India, a portion of our operations consisted of research and development activities outside the United States, with transactions in the Indian Rupee. Accordingly, we are subject to foreign currency exchange risk for these transactions.</w:t>
      </w:r>
    </w:p>
    <w:p>
      <w:pPr>
        <w:spacing w:after="0" w:line="164" w:lineRule="exact"/>
        <w:rPr>
          <w:sz w:val="20"/>
          <w:szCs w:val="20"/>
          <w:color w:val="auto"/>
        </w:rPr>
      </w:pPr>
    </w:p>
    <w:p>
      <w:pPr>
        <w:ind w:right="80" w:firstLine="172"/>
        <w:spacing w:after="0" w:line="318" w:lineRule="auto"/>
        <w:rPr>
          <w:sz w:val="20"/>
          <w:szCs w:val="20"/>
          <w:color w:val="auto"/>
        </w:rPr>
      </w:pPr>
      <w:r>
        <w:rPr>
          <w:rFonts w:ascii="Arial" w:cs="Arial" w:eastAsia="Arial" w:hAnsi="Arial"/>
          <w:sz w:val="15"/>
          <w:szCs w:val="15"/>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 We do not utilize derivative financial instruments to manage our exchange rate risks. We do not believe that inflation has had a material adverse impact on our revenues or operations in any of the past three years.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65"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3"/>
        </w:trPr>
        <w:tc>
          <w:tcPr>
            <w:tcW w:w="9720" w:type="dxa"/>
            <w:vAlign w:val="bottom"/>
            <w:gridSpan w:val="11"/>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60" w:type="dxa"/>
            <w:vAlign w:val="bottom"/>
            <w:gridSpan w:val="8"/>
          </w:tcPr>
          <w:p>
            <w:pPr>
              <w:jc w:val="center"/>
              <w:ind w:right="2740"/>
              <w:spacing w:after="0"/>
              <w:rPr>
                <w:sz w:val="20"/>
                <w:szCs w:val="20"/>
                <w:color w:val="auto"/>
              </w:rPr>
            </w:pPr>
            <w:r>
              <w:rPr>
                <w:rFonts w:ascii="Arial" w:cs="Arial" w:eastAsia="Arial" w:hAnsi="Arial"/>
                <w:sz w:val="17"/>
                <w:szCs w:val="17"/>
                <w:b w:val="1"/>
                <w:bCs w:val="1"/>
                <w:color w:val="auto"/>
              </w:rPr>
              <w:t>NEKTAR THERAPEUTICS</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700" w:type="dxa"/>
            <w:vAlign w:val="bottom"/>
            <w:gridSpan w:val="9"/>
          </w:tcPr>
          <w:p>
            <w:pPr>
              <w:jc w:val="center"/>
              <w:ind w:right="1500"/>
              <w:spacing w:after="0"/>
              <w:rPr>
                <w:sz w:val="20"/>
                <w:szCs w:val="20"/>
                <w:color w:val="auto"/>
              </w:rPr>
            </w:pPr>
            <w:r>
              <w:rPr>
                <w:rFonts w:ascii="Arial" w:cs="Arial" w:eastAsia="Arial" w:hAnsi="Arial"/>
                <w:sz w:val="17"/>
                <w:szCs w:val="17"/>
                <w:b w:val="1"/>
                <w:bCs w:val="1"/>
                <w:color w:val="auto"/>
              </w:rPr>
              <w:t>INDEX TO CONSOLIDATED FINANCIAL STATEMENTS</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20" w:type="dxa"/>
            <w:vAlign w:val="bottom"/>
          </w:tcPr>
          <w:p>
            <w:pPr>
              <w:jc w:val="right"/>
              <w:ind w:right="494"/>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0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Reports of Independent Registered Public Accounting Firm (PCAOB ID: </w:t>
            </w:r>
            <w:r>
              <w:rPr>
                <w:rFonts w:ascii="Arial" w:cs="Arial" w:eastAsia="Arial" w:hAnsi="Arial"/>
                <w:sz w:val="17"/>
                <w:szCs w:val="17"/>
                <w:color w:val="0E32E1"/>
              </w:rPr>
              <w:t>42</w:t>
            </w:r>
            <w:r>
              <w:rPr>
                <w:rFonts w:ascii="Arial" w:cs="Arial" w:eastAsia="Arial" w:hAnsi="Arial"/>
                <w:sz w:val="17"/>
                <w:szCs w:val="17"/>
                <w:u w:val="single" w:color="auto"/>
                <w:color w:val="0000FF"/>
              </w:rPr>
              <w:t>)</w:t>
            </w: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700" w:type="dxa"/>
            <w:vAlign w:val="bottom"/>
            <w:gridSpan w:val="10"/>
            <w:vMerge w:val="continue"/>
          </w:tcPr>
          <w:p>
            <w:pPr>
              <w:spacing w:after="0"/>
              <w:rPr>
                <w:sz w:val="15"/>
                <w:szCs w:val="15"/>
                <w:color w:val="auto"/>
              </w:rPr>
            </w:pPr>
          </w:p>
        </w:tc>
        <w:tc>
          <w:tcPr>
            <w:tcW w:w="1520" w:type="dxa"/>
            <w:vAlign w:val="bottom"/>
          </w:tcPr>
          <w:p>
            <w:pPr>
              <w:jc w:val="right"/>
              <w:spacing w:after="0" w:line="161"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89"/>
              </w:rPr>
              <w:t>Consolidated Balance Sheets at December 31, 2022 and 2021</w:t>
            </w:r>
          </w:p>
        </w:tc>
        <w:tc>
          <w:tcPr>
            <w:tcW w:w="8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0E32E1"/>
            </w:tcBorders>
          </w:tcPr>
          <w:p>
            <w:pPr>
              <w:spacing w:after="0"/>
              <w:rPr>
                <w:sz w:val="21"/>
                <w:szCs w:val="21"/>
                <w:color w:val="auto"/>
              </w:rPr>
            </w:pPr>
          </w:p>
        </w:tc>
        <w:tc>
          <w:tcPr>
            <w:tcW w:w="4440" w:type="dxa"/>
            <w:vAlign w:val="bottom"/>
            <w:gridSpan w:val="5"/>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0"/>
              </w:rPr>
              <w:t>Consolidated Statements of Operations for each of the three years in the period ended December 31, 2022</w:t>
            </w:r>
          </w:p>
        </w:tc>
        <w:tc>
          <w:tcPr>
            <w:tcW w:w="2420" w:type="dxa"/>
            <w:vAlign w:val="bottom"/>
            <w:gridSpan w:val="4"/>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Arial" w:cs="Arial" w:eastAsia="Arial" w:hAnsi="Arial"/>
                <w:sz w:val="17"/>
                <w:szCs w:val="17"/>
                <w:color w:val="0000FF"/>
              </w:rPr>
              <w:t>Consolidated Statements of Comprehensive Loss for each of the three years in the period ended December 31, 2022</w:t>
            </w:r>
          </w:p>
        </w:tc>
        <w:tc>
          <w:tcPr>
            <w:tcW w:w="152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0"/>
              </w:rPr>
              <w:t>Consolidated Statements of Stockholders’ Equity for each of the three years in the period ended December 31, 2022</w:t>
            </w:r>
          </w:p>
        </w:tc>
        <w:tc>
          <w:tcPr>
            <w:tcW w:w="17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Arial" w:cs="Arial" w:eastAsia="Arial" w:hAnsi="Arial"/>
                <w:sz w:val="17"/>
                <w:szCs w:val="17"/>
                <w:color w:val="0000FF"/>
              </w:rPr>
              <w:t>Consolidated Statements of Cash Flows for each of the three years in the period ended December 31, 2022</w:t>
            </w:r>
          </w:p>
        </w:tc>
        <w:tc>
          <w:tcPr>
            <w:tcW w:w="15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2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Notes to Consolidated Financial Statements</w:t>
            </w:r>
          </w:p>
        </w:tc>
        <w:tc>
          <w:tcPr>
            <w:tcW w:w="2380" w:type="dxa"/>
            <w:vAlign w:val="bottom"/>
            <w:gridSpan w:val="3"/>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-998220</wp:posOffset>
            </wp:positionV>
            <wp:extent cx="27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5" w:name="page56"/>
    <w:bookmarkEnd w:id="55"/>
    <w:p>
      <w:pPr>
        <w:ind w:right="3420" w:firstLine="3470"/>
        <w:spacing w:after="0" w:line="49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Nektar Therapeutics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have audited the accompanying consolidated balance sheets of Nektar Therapeutics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1" w:lineRule="exact"/>
        <w:rPr>
          <w:sz w:val="20"/>
          <w:szCs w:val="20"/>
          <w:color w:val="auto"/>
        </w:rPr>
      </w:pPr>
    </w:p>
    <w:p>
      <w:pPr>
        <w:jc w:val="both"/>
        <w:ind w:right="260"/>
        <w:spacing w:after="0" w:line="318"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56" w:name="page57"/>
    <w:bookmarkEnd w:id="56"/>
    <w:p>
      <w:pPr>
        <w:spacing w:after="0" w:line="322"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95"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Accounting for cost-sharing under the Bristol-Myers Squibb (BMS) Collaboration Agreement</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The Company and Bristol-Myers Squibb Company (BMS) both conduct research and development activities under a Strategic Collaboration Agreement for bempegaldesleukin (NKTR-214). As more fully explained in Note 10 to the consolidated financial statements, the Company and BMS share certain internal and external development costs under the collaboration agreement. As discussed in Note 10 to the consolidated financial statements, subsequent to the receipt of the unsuccessful results from the clinical trials studying bempegaldesleukin, Nektar and BMS decided to discontinue bempegaldesleukin. The decision to terminate the program did not modify the cost-sharing provisions under the Strategic Collaboration Agreement. The Company’s research and development costs include external actual and estimated Clinical Research Organizations (“CRO”) and Contract Manufacturing Organization (“CMO”) costs in addition to internal employee costs. BMS provides reports to support their research and development activities performed and costs incurred in the relevant period under the terms of the agreement. Estimates included in each party’s research and development costs are trued-up to actuals by each party when known. Eligible costs incurred by each party during the reporting period are offset and the net amount is owed to the party with the higher net costs. The Company has a net receivable of $4.2 million from BMS under the collaboration as of December 31, 2022. During the three-month period ended March 31, 2022, the net amount of BMS’ reimbursement of collaboration expense is recorded as a reduction of research and development expense. As discussed in Note 11 to the consolidated financial statements, beginning in the three-month period ending June 30, 2022, Nektar began reporting the external actual and estimated third-party and internal employee costs incurred in connection with the wind down of the bempegaldesleukin program within restructuring, impairment and other costs of terminated program. During the first quarter of 2022, the Company recorded $24.9 million as a reduction of research and development expenses for BMS’ share of the Company’s research and development expenses, net of the Company’s share of BMS’ research and development expenses. For the remaining nine-month period ended December 31, 2022, the Company recorded $20.8 million as a reduction of restructuring, impairment and other costs of terminated program for BMS’ share of the external actual and estimated third party and internal employee costs for the wind down of bempegaldesleukin, net of the Company’s share of BMS’ wind down costs.</w:t>
      </w:r>
    </w:p>
    <w:p>
      <w:pPr>
        <w:spacing w:after="0" w:line="36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Auditing the cost-sharing under the collaboration agreement was especially challenging because of the complexity of the data used by the Company for determining the actual and estimated research and development and bempegaldesleukin program wind down costs that are eligible for reimbursement under the collaboration agreement. These costs include management’s judgment regarding the estimated third-party contract service costs for clinical research and contract manufacturing incurred during the reporting period. Additionally, the Company evaluates the costs incurred and activities performed by BMS to assess their eligibility for reimbursement under the agreement.</w:t>
      </w:r>
    </w:p>
    <w:p>
      <w:pPr>
        <w:spacing w:after="0" w:line="145"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We evaluated the design and tested the operating effectiveness of controls over the accounting for the cost-sharing conducted under the collaboration agreement, including the Company’s assessment and measurement of its and BMS’s activities performed and costs incurred that are eligible for reimbursement. This includes conducting meetings with program management and clinical operations personnel to determine the activity incurred to date under the collaboration and substantiating the calculation of eligible costs and activities.</w:t>
      </w:r>
    </w:p>
    <w:p>
      <w:pPr>
        <w:spacing w:after="0" w:line="215"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Our audit procedures included, among others, testing the eligibility of the Company’s cost billed to BMS against the terms of the agreement. We met with Company personnel and reviewed meeting minutes to understand discussions held with BMS during various committee meetings to corroborate our knowledge of the collaboration and wind down related activities that have occurred to date. We tested the activities reported by the Company and BMS for appropriate classification and disclosure under the collaboration agreement. We obtained an external confirmation from BMS for the net amount owed to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1580" w:space="360"/>
            <w:col w:w="9260"/>
          </w:cols>
          <w:pgMar w:left="340" w:top="1133" w:right="359" w:bottom="1440" w:gutter="0" w:footer="0" w:header="0"/>
        </w:sectPr>
      </w:pPr>
    </w:p>
    <w:bookmarkStart w:id="57" w:name="page58"/>
    <w:bookmarkEnd w:id="57"/>
    <w:p>
      <w:pPr>
        <w:spacing w:after="0" w:line="322" w:lineRule="exact"/>
        <w:rPr>
          <w:sz w:val="20"/>
          <w:szCs w:val="20"/>
          <w:color w:val="auto"/>
        </w:rPr>
      </w:pPr>
    </w:p>
    <w:p>
      <w:pPr>
        <w:ind w:right="340"/>
        <w:spacing w:after="0" w:line="236"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95"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As discussed in Note 11 to the consolidated financial statements, during the current year the Company announced the unsuccessful results from the clinical trials studying bempegaldesleukin in combination with Opdivo under their Strategic Collaboration Agreement with Bristol-Myers Squibb Company (BMS). As a result, the Company decided to discontinue all of their ongoing clinical trials of bempegaldesleukin. Subsequently, the Company announced a strategic reorganization and cost restructuring plan whereby the Company implemented certain strategic, operational and organizational steps to advance their ongoing early-stage research and a plan to significantly reduce their workforce and consolidate office spaces. For the year ended December 31, 2022, the Company recorded an impairment charge of $65.8 million related to the right-of-use assets and property, plant and equipment.</w:t>
      </w:r>
    </w:p>
    <w:p>
      <w:pPr>
        <w:spacing w:after="0" w:line="202"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We identified the impairment of right-of-use assets as a critical audit matter. Auditing the Company’s impairment model of right-of-use assets was complex due to the subjectivity of certain unobservable assumptions utilized to estimate the fair value of the right-of-use assets. In particular, determining the length of time to enter into a sublease and market rental rates of a market subtenant utilized in the computation of the fair value of the right-of-use-assets involve complexity due to difficulty in obtaining estimated current market rental rates and forecasting future real estate trends.</w:t>
      </w:r>
    </w:p>
    <w:p>
      <w:pPr>
        <w:spacing w:after="0" w:line="112"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management’s long-lived assets impairment evaluation, including controls over the length of time to enter into a sublease and market rental rates of a market subtenant.</w:t>
      </w:r>
    </w:p>
    <w:p>
      <w:pPr>
        <w:spacing w:after="0" w:line="22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Our audit procedures related to management’s computation of the estimated fair value of the right-of-use assets included, among others, evaluating the appropriateness of the methodology utilized by management to estimate the fair value of the right-of-use assets. We evaluated the accuracy and consistency of the application of the Company’s model to estimate the fair value of the right-of-use assets including the estimated length of time to enter into a sublease and the estimated market rental rates. For vacated Company office spaces that were not sublet as of the end of the year, we involved a specialist to assist in evaluating the appropriateness of the estimated rental market rates and estimated length of time to enter into a sublease utilized by the Company in their impairment assessment.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1580" w:space="360"/>
            <w:col w:w="9260"/>
          </w:cols>
          <w:pgMar w:left="340" w:top="901" w:right="359" w:bottom="1440" w:gutter="0" w:footer="0" w:header="0"/>
        </w:sectPr>
      </w:pPr>
    </w:p>
    <w:bookmarkStart w:id="58" w:name="page59"/>
    <w:bookmarkEnd w:id="58"/>
    <w:p>
      <w:pPr>
        <w:spacing w:after="0" w:line="322" w:lineRule="exact"/>
        <w:rPr>
          <w:sz w:val="20"/>
          <w:szCs w:val="20"/>
          <w:color w:val="auto"/>
        </w:rPr>
      </w:pPr>
    </w:p>
    <w:p>
      <w:pPr>
        <w:ind w:left="20" w:right="340"/>
        <w:spacing w:after="0" w:line="236"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line="295"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Accounting for accrued research and development expenses</w:t>
      </w:r>
    </w:p>
    <w:p>
      <w:pPr>
        <w:spacing w:after="0" w:line="14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more fully described in Note 1 to the consolidated financial statements, the Company records expenses and accruals for estimated costs of research and development activities, including third party contract services costs for clinical research and contract manufacturing. Clinical trial and contract manufacturing activities performed by third parties are expensed based upon estimates of work completed in accordance with agreements with the respective Clinical Research Organization (“CRO”) or Contract Manufacturing Organization (“CMO”). Billing terms and payments are reviewed by management to ensure estimates of outstanding obligations including cost incurred in connection with the wind down of the bempegaldesleukin program are appropriate as of period end. Monitoring the cost incurred by third parties allows the Company to record the appropriate expense and accruals under the terms of the agreements. Additionally, beginning in the second quarter of 2022, following the Company’s decision to terminate the bempegaldesleukin development program, the Company recorded costs related to winding down the bempegaldesleukin program in restructuring, impairment and other costs of terminated program in the Consolidated Statements of Operations. During 2022, the Company incurred $31.7 million in clinical trial expense, other third-party and employee cost for the wind down of the bempegaldesleukin program. The Company recorded an accrued liability of $12.3 million for accrued clinical trial expenses as of December 31, 2022.</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Auditing the accounting for accrued clinical trial expense is complex because of the high volume of data used in management’s estimates to develop their estimates and verifying the cost and extent of unbilled work performed during the reporting period. In particular, testing the completeness and presentation of bempegaldesleukin wind down expense required an increased extent of effort that included procedures to verify the cost of unbilled work performed during the reporting period and evaluate the appropriateness of the classification of wind down cost.</w:t>
      </w:r>
    </w:p>
    <w:p>
      <w:pPr>
        <w:spacing w:after="0" w:line="125"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We obtained an understanding, evaluated the design and tested the operating effectiveness of controls over the accounting for accrued research and development expenses and accounting for bempegaldesleukin clinical trial wind down expense including controls over the presentation of cost incurred in connection with clinical trial wind down activities. This assessment was done with the Company’s financial and operational personnel to determine the appropriate status of wind down activities and estimated accrual of costs.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To test the Company’s accounting for bempegaldesleukin clinical trial wind down expenses, our audit procedures included, among others, obtaining supporting evidence from third parties of the research and development activities performed for significant clinical trials. We agreed, on a sample basis, the Company schedules to evidence received from third parties and invoices in order to evaluate the accuracy of the data included in the company schedules and to verify proper classification of bempegaldesleukin clinical trial wind down expense. We met with clinical personnel to understand the status of significant bempegaldesleukin clinical trials. We also tested a sample of subsequent payments by agreeing the invoice to the original accrual and the invoice payments to bank statements.</w:t>
      </w:r>
    </w:p>
    <w:p>
      <w:pPr>
        <w:spacing w:after="0" w:line="200" w:lineRule="exact"/>
        <w:rPr>
          <w:sz w:val="20"/>
          <w:szCs w:val="20"/>
          <w:color w:val="auto"/>
        </w:rPr>
      </w:pPr>
    </w:p>
    <w:p>
      <w:pPr>
        <w:sectPr>
          <w:pgSz w:w="11900" w:h="16838" w:orient="portrait"/>
          <w:cols w:equalWidth="0" w:num="2">
            <w:col w:w="1600" w:space="360"/>
            <w:col w:w="9260"/>
          </w:cols>
          <w:pgMar w:left="320" w:top="901" w:right="35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San Mateo,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type w:val="continuous"/>
        </w:sectPr>
      </w:pPr>
    </w:p>
    <w:bookmarkStart w:id="59" w:name="page60"/>
    <w:bookmarkEnd w:id="59"/>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Nektar Therapeutics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have audited Nektar Therapeutics’ internal control over financial reporting as of December 31, 2022, based on criteria established in Internal Control— Integrated Framework issued by the Committee of Sponsoring Organizations of the Treadway Commission (2013 framework) (the COSO criteria). In our opinion,</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17"/>
          <w:szCs w:val="17"/>
          <w:color w:val="auto"/>
        </w:rPr>
        <w:t>Nektar Therapeutics (the Company) maintained, in all material respects, effective internal control over financial reporting as of December 31, 2022, based on the COSO criteria.</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w:t>
      </w:r>
    </w:p>
    <w:p>
      <w:pPr>
        <w:spacing w:after="0" w:line="22" w:lineRule="exact"/>
        <w:rPr>
          <w:sz w:val="20"/>
          <w:szCs w:val="20"/>
          <w:color w:val="auto"/>
        </w:rPr>
      </w:pPr>
    </w:p>
    <w:p>
      <w:pPr>
        <w:jc w:val="both"/>
        <w:ind w:right="180"/>
        <w:spacing w:after="0" w:line="220" w:lineRule="auto"/>
        <w:rPr>
          <w:sz w:val="20"/>
          <w:szCs w:val="20"/>
          <w:color w:val="auto"/>
        </w:rPr>
      </w:pPr>
      <w:r>
        <w:rPr>
          <w:rFonts w:ascii="Arial" w:cs="Arial" w:eastAsia="Arial" w:hAnsi="Arial"/>
          <w:sz w:val="17"/>
          <w:szCs w:val="17"/>
          <w:color w:val="auto"/>
        </w:rPr>
        <w:t>sheets of the Company as of December 31, 2022 and 2021, the related consolidated statements of operations, comprehensive loss, stockholders’ equity and cash flows for each of the three years in the period ended December 31, 2022, and the related notes and our report dated February 28, 2023 expressed an unqualified opinion thereon.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640"/>
        <w:spacing w:after="0" w:line="23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w:t>
      </w:r>
    </w:p>
    <w:p>
      <w:pPr>
        <w:spacing w:after="0" w:line="22" w:lineRule="exact"/>
        <w:rPr>
          <w:sz w:val="20"/>
          <w:szCs w:val="20"/>
          <w:color w:val="auto"/>
        </w:rPr>
      </w:pPr>
    </w:p>
    <w:p>
      <w:pPr>
        <w:ind w:right="380"/>
        <w:spacing w:after="0" w:line="227" w:lineRule="auto"/>
        <w:rPr>
          <w:sz w:val="20"/>
          <w:szCs w:val="20"/>
          <w:color w:val="auto"/>
        </w:rPr>
      </w:pPr>
      <w:r>
        <w:rPr>
          <w:rFonts w:ascii="Arial" w:cs="Arial" w:eastAsia="Arial" w:hAnsi="Arial"/>
          <w:sz w:val="17"/>
          <w:szCs w:val="17"/>
          <w:color w:val="auto"/>
        </w:rPr>
        <w:t>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23" w:lineRule="exact"/>
        <w:rPr>
          <w:sz w:val="20"/>
          <w:szCs w:val="20"/>
          <w:color w:val="auto"/>
        </w:rPr>
      </w:pPr>
    </w:p>
    <w:p>
      <w:pPr>
        <w:jc w:val="both"/>
        <w:ind w:right="40"/>
        <w:spacing w:after="0" w:line="245"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5"/>
          <w:szCs w:val="15"/>
          <w:color w:val="auto"/>
        </w:rPr>
        <w:t>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w:t>
      </w:r>
    </w:p>
    <w:p>
      <w:pPr>
        <w:spacing w:after="0"/>
        <w:rPr>
          <w:sz w:val="20"/>
          <w:szCs w:val="20"/>
          <w:color w:val="auto"/>
        </w:rPr>
      </w:pPr>
      <w:r>
        <w:rPr>
          <w:rFonts w:ascii="Arial" w:cs="Arial" w:eastAsia="Arial" w:hAnsi="Arial"/>
          <w:sz w:val="17"/>
          <w:szCs w:val="17"/>
          <w:color w:val="auto"/>
        </w:rPr>
        <w:t>unauthorized acquisition, use, or disposition of the company’s assets that could have a material effect on the financial statements.</w:t>
      </w:r>
    </w:p>
    <w:p>
      <w:pPr>
        <w:spacing w:after="0" w:line="190"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policies or procedures may deteriorate.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San Mateo, California</w:t>
      </w: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43" w:right="3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NEKTAR THERAPEUTICS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 information)</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5"/>
                <w:szCs w:val="15"/>
                <w:color w:val="auto"/>
              </w:rPr>
            </w:pPr>
          </w:p>
        </w:tc>
      </w:tr>
      <w:tr>
        <w:trPr>
          <w:trHeight w:val="24"/>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9"/>
        </w:trPr>
        <w:tc>
          <w:tcPr>
            <w:tcW w:w="8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06"/>
        </w:trPr>
        <w:tc>
          <w:tcPr>
            <w:tcW w:w="8480" w:type="dxa"/>
            <w:vAlign w:val="bottom"/>
            <w:shd w:val="clear" w:color="auto" w:fill="CCEEFF"/>
          </w:tcPr>
          <w:p>
            <w:pPr>
              <w:ind w:left="39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25,218</w:t>
            </w:r>
          </w:p>
        </w:tc>
      </w:tr>
      <w:tr>
        <w:trPr>
          <w:trHeight w:val="218"/>
        </w:trPr>
        <w:tc>
          <w:tcPr>
            <w:tcW w:w="8480" w:type="dxa"/>
            <w:vAlign w:val="bottom"/>
          </w:tcPr>
          <w:p>
            <w:pPr>
              <w:ind w:left="44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416,750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708,737</w:t>
            </w: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22,492</w:t>
            </w:r>
          </w:p>
        </w:tc>
      </w:tr>
      <w:tr>
        <w:trPr>
          <w:trHeight w:val="218"/>
        </w:trPr>
        <w:tc>
          <w:tcPr>
            <w:tcW w:w="8480" w:type="dxa"/>
            <w:vAlign w:val="bottom"/>
          </w:tcPr>
          <w:p>
            <w:pPr>
              <w:ind w:left="44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19,202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15,801</w:t>
            </w: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23,333</w:t>
            </w:r>
          </w:p>
        </w:tc>
      </w:tr>
      <w:tr>
        <w:trPr>
          <w:trHeight w:val="211"/>
        </w:trPr>
        <w:tc>
          <w:tcPr>
            <w:tcW w:w="848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545,968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795,581</w:t>
            </w: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64,828</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32,451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60,510</w:t>
            </w: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117,025</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76,501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76,501</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2,744</w:t>
            </w:r>
          </w:p>
        </w:tc>
      </w:tr>
      <w:tr>
        <w:trPr>
          <w:trHeight w:val="213"/>
        </w:trPr>
        <w:tc>
          <w:tcPr>
            <w:tcW w:w="84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710,600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1,117,189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8480" w:type="dxa"/>
            <w:vAlign w:val="bottom"/>
            <w:shd w:val="clear" w:color="auto" w:fill="CCEEFF"/>
          </w:tcPr>
          <w:p>
            <w:pPr>
              <w:ind w:left="238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9,747</w:t>
            </w:r>
          </w:p>
        </w:tc>
      </w:tr>
      <w:tr>
        <w:trPr>
          <w:trHeight w:val="218"/>
        </w:trPr>
        <w:tc>
          <w:tcPr>
            <w:tcW w:w="8480" w:type="dxa"/>
            <w:vAlign w:val="bottom"/>
          </w:tcPr>
          <w:p>
            <w:pPr>
              <w:ind w:left="440"/>
              <w:spacing w:after="0"/>
              <w:rPr>
                <w:sz w:val="20"/>
                <w:szCs w:val="20"/>
                <w:color w:val="auto"/>
              </w:rPr>
            </w:pPr>
            <w:r>
              <w:rPr>
                <w:rFonts w:ascii="Arial" w:cs="Arial" w:eastAsia="Arial" w:hAnsi="Arial"/>
                <w:sz w:val="17"/>
                <w:szCs w:val="17"/>
                <w:color w:val="auto"/>
              </w:rPr>
              <w:t>Accrued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15,735</w:t>
            </w: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clinical trial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26,809</w:t>
            </w:r>
          </w:p>
        </w:tc>
      </w:tr>
      <w:tr>
        <w:trPr>
          <w:trHeight w:val="218"/>
        </w:trPr>
        <w:tc>
          <w:tcPr>
            <w:tcW w:w="8480" w:type="dxa"/>
            <w:vAlign w:val="bottom"/>
          </w:tcPr>
          <w:p>
            <w:pPr>
              <w:ind w:left="440"/>
              <w:spacing w:after="0"/>
              <w:rPr>
                <w:sz w:val="20"/>
                <w:szCs w:val="20"/>
                <w:color w:val="auto"/>
              </w:rPr>
            </w:pPr>
            <w:r>
              <w:rPr>
                <w:rFonts w:ascii="Arial" w:cs="Arial" w:eastAsia="Arial" w:hAnsi="Arial"/>
                <w:sz w:val="17"/>
                <w:szCs w:val="17"/>
                <w:color w:val="auto"/>
              </w:rPr>
              <w:t>Other accrued expenses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15,468</w:t>
            </w: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lease liabilities,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17,441</w:t>
            </w:r>
          </w:p>
        </w:tc>
      </w:tr>
      <w:tr>
        <w:trPr>
          <w:trHeight w:val="211"/>
        </w:trPr>
        <w:tc>
          <w:tcPr>
            <w:tcW w:w="848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68,204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85,200</w:t>
            </w: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less current portion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125,736</w:t>
            </w:r>
          </w:p>
        </w:tc>
      </w:tr>
      <w:tr>
        <w:trPr>
          <w:trHeight w:val="244"/>
        </w:trPr>
        <w:tc>
          <w:tcPr>
            <w:tcW w:w="8480" w:type="dxa"/>
            <w:vAlign w:val="bottom"/>
          </w:tcPr>
          <w:p>
            <w:pPr>
              <w:ind w:left="20"/>
              <w:spacing w:after="0"/>
              <w:rPr>
                <w:sz w:val="20"/>
                <w:szCs w:val="20"/>
                <w:color w:val="auto"/>
              </w:rPr>
            </w:pPr>
            <w:r>
              <w:rPr>
                <w:rFonts w:ascii="Arial" w:cs="Arial" w:eastAsia="Arial" w:hAnsi="Arial"/>
                <w:sz w:val="17"/>
                <w:szCs w:val="17"/>
                <w:color w:val="auto"/>
              </w:rPr>
              <w:t>Development derivative liability</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27,726</w:t>
            </w: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related to the sales of future royalties,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195,427</w:t>
            </w:r>
          </w:p>
        </w:tc>
      </w:tr>
      <w:tr>
        <w:trPr>
          <w:trHeight w:val="21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3,592</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343,962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437,681</w:t>
            </w:r>
          </w:p>
        </w:tc>
      </w:tr>
      <w:tr>
        <w:trPr>
          <w:trHeight w:val="198"/>
        </w:trPr>
        <w:tc>
          <w:tcPr>
            <w:tcW w:w="848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68"/>
        </w:trPr>
        <w:tc>
          <w:tcPr>
            <w:tcW w:w="8480" w:type="dxa"/>
            <w:vAlign w:val="bottom"/>
          </w:tcPr>
          <w:p>
            <w:pPr>
              <w:ind w:left="440"/>
              <w:spacing w:after="0" w:line="168" w:lineRule="exact"/>
              <w:rPr>
                <w:sz w:val="20"/>
                <w:szCs w:val="20"/>
                <w:color w:val="auto"/>
              </w:rPr>
            </w:pPr>
            <w:r>
              <w:rPr>
                <w:rFonts w:ascii="Arial" w:cs="Arial" w:eastAsia="Arial" w:hAnsi="Arial"/>
                <w:sz w:val="17"/>
                <w:szCs w:val="17"/>
                <w:color w:val="auto"/>
                <w:w w:val="97"/>
              </w:rPr>
              <w:t>Preferred stock, $0.0001 par value; 10,000 shares authorized; no shares designated, issued or outstanding at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1"/>
        </w:trPr>
        <w:tc>
          <w:tcPr>
            <w:tcW w:w="8480" w:type="dxa"/>
            <w:vAlign w:val="bottom"/>
          </w:tcPr>
          <w:p>
            <w:pPr>
              <w:ind w:left="440"/>
              <w:spacing w:after="0"/>
              <w:rPr>
                <w:sz w:val="20"/>
                <w:szCs w:val="20"/>
                <w:color w:val="auto"/>
              </w:rPr>
            </w:pPr>
            <w:r>
              <w:rPr>
                <w:rFonts w:ascii="Arial" w:cs="Arial" w:eastAsia="Arial" w:hAnsi="Arial"/>
                <w:sz w:val="17"/>
                <w:szCs w:val="17"/>
                <w:color w:val="auto"/>
              </w:rPr>
              <w:t>December 31, 2022 or 2021</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9"/>
        </w:trPr>
        <w:tc>
          <w:tcPr>
            <w:tcW w:w="8480" w:type="dxa"/>
            <w:vAlign w:val="bottom"/>
            <w:shd w:val="clear" w:color="auto" w:fill="CCEEFF"/>
          </w:tcPr>
          <w:p>
            <w:pPr>
              <w:ind w:left="440"/>
              <w:spacing w:after="0" w:line="169" w:lineRule="exact"/>
              <w:rPr>
                <w:sz w:val="20"/>
                <w:szCs w:val="20"/>
                <w:color w:val="auto"/>
              </w:rPr>
            </w:pPr>
            <w:r>
              <w:rPr>
                <w:rFonts w:ascii="Arial" w:cs="Arial" w:eastAsia="Arial" w:hAnsi="Arial"/>
                <w:sz w:val="17"/>
                <w:szCs w:val="17"/>
                <w:color w:val="auto"/>
                <w:w w:val="95"/>
              </w:rPr>
              <w:t>Common stock, $0.0001 par value; 300,000 shares authorized; 188,560 shares and 185,468 shares issued and</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2"/>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outstanding at December 31, 2022 and 2021, respectively</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8480" w:type="dxa"/>
            <w:vAlign w:val="bottom"/>
          </w:tcPr>
          <w:p>
            <w:pPr>
              <w:ind w:left="440"/>
              <w:spacing w:after="0"/>
              <w:rPr>
                <w:sz w:val="20"/>
                <w:szCs w:val="20"/>
                <w:color w:val="auto"/>
              </w:rPr>
            </w:pPr>
            <w:r>
              <w:rPr>
                <w:rFonts w:ascii="Arial" w:cs="Arial" w:eastAsia="Arial" w:hAnsi="Arial"/>
                <w:sz w:val="17"/>
                <w:szCs w:val="17"/>
                <w:color w:val="auto"/>
              </w:rPr>
              <w:t>Capital in excess of par value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3,574,719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3,516,641</w:t>
            </w:r>
          </w:p>
        </w:tc>
      </w:tr>
      <w:tr>
        <w:trPr>
          <w:trHeight w:val="220"/>
        </w:trPr>
        <w:tc>
          <w:tcPr>
            <w:tcW w:w="8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r>
      <w:tr>
        <w:trPr>
          <w:trHeight w:val="218"/>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(3,201,193)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(2,832,995)</w:t>
            </w:r>
          </w:p>
        </w:tc>
      </w:tr>
      <w:tr>
        <w:trPr>
          <w:trHeight w:val="21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366,638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679,508</w:t>
            </w:r>
          </w:p>
        </w:tc>
      </w:tr>
      <w:tr>
        <w:trPr>
          <w:trHeight w:val="213"/>
        </w:trPr>
        <w:tc>
          <w:tcPr>
            <w:tcW w:w="848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710,600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1,117,189</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NEKTAR THERAPEUTICS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Arial" w:cs="Arial" w:eastAsia="Arial" w:hAnsi="Arial"/>
                <w:sz w:val="17"/>
                <w:szCs w:val="17"/>
                <w:color w:val="auto"/>
              </w:rPr>
              <w:t>Product sales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20,348</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23,725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17,504</w:t>
            </w:r>
          </w:p>
        </w:tc>
        <w:tc>
          <w:tcPr>
            <w:tcW w:w="0" w:type="dxa"/>
            <w:vAlign w:val="bottom"/>
          </w:tcPr>
          <w:p>
            <w:pPr>
              <w:spacing w:after="0"/>
              <w:rPr>
                <w:sz w:val="1"/>
                <w:szCs w:val="1"/>
                <w:color w:val="auto"/>
              </w:rPr>
            </w:pPr>
          </w:p>
        </w:tc>
      </w:tr>
      <w:tr>
        <w:trPr>
          <w:trHeight w:val="25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Royalty revenue</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30,999</w:t>
            </w: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Arial" w:cs="Arial" w:eastAsia="Arial" w:hAnsi="Arial"/>
                <w:sz w:val="17"/>
                <w:szCs w:val="17"/>
                <w:color w:val="auto"/>
              </w:rPr>
              <w:t>Non-cash royalty revenue related to the sales of future royalties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69,794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77,746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48,563</w:t>
            </w:r>
          </w:p>
        </w:tc>
        <w:tc>
          <w:tcPr>
            <w:tcW w:w="0" w:type="dxa"/>
            <w:vAlign w:val="bottom"/>
          </w:tcPr>
          <w:p>
            <w:pPr>
              <w:spacing w:after="0"/>
              <w:rPr>
                <w:sz w:val="1"/>
                <w:szCs w:val="1"/>
                <w:color w:val="auto"/>
              </w:rPr>
            </w:pPr>
          </w:p>
        </w:tc>
      </w:tr>
      <w:tr>
        <w:trPr>
          <w:trHeight w:val="25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License, collaboration and other revenue</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55,849</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92,055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101,907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152,915</w:t>
            </w:r>
          </w:p>
        </w:tc>
        <w:tc>
          <w:tcPr>
            <w:tcW w:w="0" w:type="dxa"/>
            <w:vAlign w:val="bottom"/>
          </w:tcPr>
          <w:p>
            <w:pPr>
              <w:spacing w:after="0"/>
              <w:rPr>
                <w:sz w:val="1"/>
                <w:szCs w:val="1"/>
                <w:color w:val="auto"/>
              </w:rPr>
            </w:pPr>
          </w:p>
        </w:tc>
      </w:tr>
      <w:tr>
        <w:trPr>
          <w:trHeight w:val="21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costs and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Arial" w:cs="Arial" w:eastAsia="Arial" w:hAnsi="Arial"/>
                <w:sz w:val="17"/>
                <w:szCs w:val="17"/>
                <w:color w:val="auto"/>
              </w:rPr>
              <w:t>Cost of goods sold</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21,635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24,897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19,477</w:t>
            </w:r>
          </w:p>
        </w:tc>
        <w:tc>
          <w:tcPr>
            <w:tcW w:w="0" w:type="dxa"/>
            <w:vAlign w:val="bottom"/>
          </w:tcPr>
          <w:p>
            <w:pPr>
              <w:spacing w:after="0"/>
              <w:rPr>
                <w:sz w:val="1"/>
                <w:szCs w:val="1"/>
                <w:color w:val="auto"/>
              </w:rPr>
            </w:pPr>
          </w:p>
        </w:tc>
      </w:tr>
      <w:tr>
        <w:trPr>
          <w:trHeight w:val="25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218,323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400,269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408,678</w:t>
            </w: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92,333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122,844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104,682</w:t>
            </w:r>
          </w:p>
        </w:tc>
        <w:tc>
          <w:tcPr>
            <w:tcW w:w="0" w:type="dxa"/>
            <w:vAlign w:val="bottom"/>
          </w:tcPr>
          <w:p>
            <w:pPr>
              <w:spacing w:after="0"/>
              <w:rPr>
                <w:sz w:val="1"/>
                <w:szCs w:val="1"/>
                <w:color w:val="auto"/>
              </w:rPr>
            </w:pPr>
          </w:p>
        </w:tc>
      </w:tr>
      <w:tr>
        <w:trPr>
          <w:trHeight w:val="25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impairment and other costs of terminated program</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45,189</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costs and expenses</w:t>
            </w: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468,221</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548,010</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578,026</w:t>
            </w:r>
          </w:p>
        </w:tc>
        <w:tc>
          <w:tcPr>
            <w:tcW w:w="0" w:type="dxa"/>
            <w:vAlign w:val="bottom"/>
          </w:tcPr>
          <w:p>
            <w:pPr>
              <w:spacing w:after="0"/>
              <w:rPr>
                <w:sz w:val="1"/>
                <w:szCs w:val="1"/>
                <w:color w:val="auto"/>
              </w:rPr>
            </w:pPr>
          </w:p>
        </w:tc>
      </w:tr>
      <w:tr>
        <w:trPr>
          <w:trHeight w:val="23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(376,166)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(446,103)</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(425,111)</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7"/>
                <w:szCs w:val="17"/>
                <w:color w:val="auto"/>
              </w:rPr>
              <w:t>Non-operating income (expense):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development derivative liability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Arial" w:cs="Arial" w:eastAsia="Arial" w:hAnsi="Arial"/>
                <w:sz w:val="17"/>
                <w:szCs w:val="17"/>
                <w:color w:val="auto"/>
              </w:rPr>
              <w:t>Non-cash interest expense on liabilities related to the sales of future royalties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(28,911)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(47,313)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(30,267)</w:t>
            </w:r>
          </w:p>
        </w:tc>
        <w:tc>
          <w:tcPr>
            <w:tcW w:w="0" w:type="dxa"/>
            <w:vAlign w:val="bottom"/>
          </w:tcPr>
          <w:p>
            <w:pPr>
              <w:spacing w:after="0"/>
              <w:rPr>
                <w:sz w:val="1"/>
                <w:szCs w:val="1"/>
                <w:color w:val="auto"/>
              </w:rPr>
            </w:pPr>
          </w:p>
        </w:tc>
      </w:tr>
      <w:tr>
        <w:trPr>
          <w:trHeight w:val="220"/>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revaluation of liability related to the sale of future royalties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Arial" w:cs="Arial" w:eastAsia="Arial" w:hAnsi="Arial"/>
                <w:sz w:val="17"/>
                <w:szCs w:val="17"/>
                <w:color w:val="auto"/>
              </w:rPr>
              <w:t>Interest income and other income (expense),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18,282</w:t>
            </w:r>
          </w:p>
        </w:tc>
        <w:tc>
          <w:tcPr>
            <w:tcW w:w="0" w:type="dxa"/>
            <w:vAlign w:val="bottom"/>
          </w:tcPr>
          <w:p>
            <w:pPr>
              <w:spacing w:after="0"/>
              <w:rPr>
                <w:sz w:val="1"/>
                <w:szCs w:val="1"/>
                <w:color w:val="auto"/>
              </w:rPr>
            </w:pPr>
          </w:p>
        </w:tc>
      </w:tr>
      <w:tr>
        <w:trPr>
          <w:trHeight w:val="259"/>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(6,851)</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non-operating income (expense), net</w:t>
            </w: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11,183</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(77,177)</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(18,836)</w:t>
            </w:r>
          </w:p>
        </w:tc>
        <w:tc>
          <w:tcPr>
            <w:tcW w:w="0" w:type="dxa"/>
            <w:vAlign w:val="bottom"/>
          </w:tcPr>
          <w:p>
            <w:pPr>
              <w:spacing w:after="0"/>
              <w:rPr>
                <w:sz w:val="1"/>
                <w:szCs w:val="1"/>
                <w:color w:val="auto"/>
              </w:rPr>
            </w:pPr>
          </w:p>
        </w:tc>
      </w:tr>
      <w:tr>
        <w:trPr>
          <w:trHeight w:val="239"/>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provision for income taxes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(364,983)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(523,280)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(443,947)</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32"/>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(368,198)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(444,440)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net loss per share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shares outstanding used in computing basic and diluted net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187,138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183,298</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178,581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NEKTAR THERAPEUTICS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(368,198)</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(444,440)</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unrealized gain (loss) on available-for-sale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r>
      <w:tr>
        <w:trPr>
          <w:trHeight w:val="21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foreign currency translation gain (loss)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w:t>
            </w:r>
          </w:p>
        </w:tc>
      </w:tr>
      <w:tr>
        <w:trPr>
          <w:trHeight w:val="213"/>
        </w:trPr>
        <w:tc>
          <w:tcPr>
            <w:tcW w:w="706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(370,948)</w:t>
            </w:r>
          </w:p>
        </w:tc>
        <w:tc>
          <w:tcPr>
            <w:tcW w:w="4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(525,699)</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(445,730)</w:t>
            </w: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NEKTAR THERAPEUTICS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ectPr>
          <w:pgSz w:w="11900" w:h="16838" w:orient="portrait"/>
          <w:cols w:equalWidth="0" w:num="1">
            <w:col w:w="11220"/>
          </w:cols>
          <w:pgMar w:left="320" w:top="127" w:right="359" w:bottom="1440" w:gutter="0" w:footer="0" w:header="0"/>
        </w:sect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8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2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5"/>
                <w:szCs w:val="15"/>
                <w:color w:val="auto"/>
              </w:rPr>
            </w:pPr>
          </w:p>
        </w:tc>
        <w:tc>
          <w:tcPr>
            <w:tcW w:w="1000" w:type="dxa"/>
            <w:vAlign w:val="bottom"/>
          </w:tcPr>
          <w:p>
            <w:pPr>
              <w:jc w:val="right"/>
              <w:ind w:right="396"/>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820" w:type="dxa"/>
            <w:vAlign w:val="bottom"/>
            <w:vMerge w:val="restart"/>
          </w:tcPr>
          <w:p>
            <w:pPr>
              <w:spacing w:after="0"/>
              <w:rPr>
                <w:sz w:val="20"/>
                <w:szCs w:val="20"/>
                <w:color w:val="auto"/>
              </w:rPr>
            </w:pPr>
            <w:r>
              <w:rPr>
                <w:rFonts w:ascii="Arial" w:cs="Arial" w:eastAsia="Arial" w:hAnsi="Arial"/>
                <w:sz w:val="17"/>
                <w:szCs w:val="17"/>
                <w:color w:val="auto"/>
              </w:rPr>
              <w:t>Balance at December 31, 2019</w:t>
            </w: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176,505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220"/>
              <w:spacing w:after="0" w:line="170" w:lineRule="exact"/>
              <w:rPr>
                <w:sz w:val="20"/>
                <w:szCs w:val="20"/>
                <w:color w:val="auto"/>
              </w:rPr>
            </w:pPr>
            <w:r>
              <w:rPr>
                <w:rFonts w:ascii="Arial" w:cs="Arial" w:eastAsia="Arial" w:hAnsi="Arial"/>
                <w:sz w:val="17"/>
                <w:szCs w:val="17"/>
                <w:color w:val="auto"/>
              </w:rPr>
              <w:t>Shares issued under equity</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7"/>
                <w:szCs w:val="17"/>
                <w:color w:val="auto"/>
              </w:rPr>
              <w:t>compensation plans</w:t>
            </w:r>
          </w:p>
        </w:tc>
        <w:tc>
          <w:tcPr>
            <w:tcW w:w="1300" w:type="dxa"/>
            <w:vAlign w:val="bottom"/>
          </w:tcPr>
          <w:p>
            <w:pPr>
              <w:jc w:val="right"/>
              <w:spacing w:after="0"/>
              <w:rPr>
                <w:sz w:val="20"/>
                <w:szCs w:val="20"/>
                <w:color w:val="auto"/>
              </w:rPr>
            </w:pPr>
            <w:r>
              <w:rPr>
                <w:rFonts w:ascii="Arial" w:cs="Arial" w:eastAsia="Arial" w:hAnsi="Arial"/>
                <w:sz w:val="17"/>
                <w:szCs w:val="17"/>
                <w:color w:val="auto"/>
              </w:rPr>
              <w:t>3,586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7"/>
                <w:szCs w:val="17"/>
                <w:color w:val="auto"/>
              </w:rPr>
              <w:t>Comprehensive loss</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rPr>
                <w:sz w:val="20"/>
                <w:szCs w:val="20"/>
                <w:color w:val="auto"/>
              </w:rPr>
            </w:pPr>
            <w:r>
              <w:rPr>
                <w:rFonts w:ascii="Arial" w:cs="Arial" w:eastAsia="Arial" w:hAnsi="Arial"/>
                <w:sz w:val="17"/>
                <w:szCs w:val="17"/>
                <w:color w:val="auto"/>
              </w:rPr>
              <w:t>Balance at December 31, 2020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180,091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220"/>
              <w:spacing w:after="0" w:line="170" w:lineRule="exact"/>
              <w:rPr>
                <w:sz w:val="20"/>
                <w:szCs w:val="20"/>
                <w:color w:val="auto"/>
              </w:rPr>
            </w:pPr>
            <w:r>
              <w:rPr>
                <w:rFonts w:ascii="Arial" w:cs="Arial" w:eastAsia="Arial" w:hAnsi="Arial"/>
                <w:sz w:val="17"/>
                <w:szCs w:val="17"/>
                <w:color w:val="auto"/>
              </w:rPr>
              <w:t>Shares issued under equity</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7"/>
                <w:szCs w:val="17"/>
                <w:color w:val="auto"/>
              </w:rPr>
              <w:t>compensation plans</w:t>
            </w:r>
          </w:p>
        </w:tc>
        <w:tc>
          <w:tcPr>
            <w:tcW w:w="1300" w:type="dxa"/>
            <w:vAlign w:val="bottom"/>
          </w:tcPr>
          <w:p>
            <w:pPr>
              <w:jc w:val="right"/>
              <w:spacing w:after="0"/>
              <w:rPr>
                <w:sz w:val="20"/>
                <w:szCs w:val="20"/>
                <w:color w:val="auto"/>
              </w:rPr>
            </w:pPr>
            <w:r>
              <w:rPr>
                <w:rFonts w:ascii="Arial" w:cs="Arial" w:eastAsia="Arial" w:hAnsi="Arial"/>
                <w:sz w:val="17"/>
                <w:szCs w:val="17"/>
                <w:color w:val="auto"/>
              </w:rPr>
              <w:t>5,377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7"/>
                <w:szCs w:val="17"/>
                <w:color w:val="auto"/>
              </w:rPr>
              <w:t>Comprehensive loss</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rPr>
                <w:sz w:val="20"/>
                <w:szCs w:val="20"/>
                <w:color w:val="auto"/>
              </w:rPr>
            </w:pPr>
            <w:r>
              <w:rPr>
                <w:rFonts w:ascii="Arial" w:cs="Arial" w:eastAsia="Arial" w:hAnsi="Arial"/>
                <w:sz w:val="17"/>
                <w:szCs w:val="17"/>
                <w:color w:val="auto"/>
              </w:rPr>
              <w:t>Balance at December 31, 2021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185,468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820" w:type="dxa"/>
            <w:vAlign w:val="bottom"/>
          </w:tcPr>
          <w:p>
            <w:pPr>
              <w:ind w:left="220"/>
              <w:spacing w:after="0" w:line="170" w:lineRule="exact"/>
              <w:rPr>
                <w:sz w:val="20"/>
                <w:szCs w:val="20"/>
                <w:color w:val="auto"/>
              </w:rPr>
            </w:pPr>
            <w:r>
              <w:rPr>
                <w:rFonts w:ascii="Arial" w:cs="Arial" w:eastAsia="Arial" w:hAnsi="Arial"/>
                <w:sz w:val="17"/>
                <w:szCs w:val="17"/>
                <w:color w:val="auto"/>
              </w:rPr>
              <w:t>Shares issued under equity</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7"/>
                <w:szCs w:val="17"/>
                <w:color w:val="auto"/>
              </w:rPr>
              <w:t>compensation plans</w:t>
            </w:r>
          </w:p>
        </w:tc>
        <w:tc>
          <w:tcPr>
            <w:tcW w:w="1300" w:type="dxa"/>
            <w:vAlign w:val="bottom"/>
          </w:tcPr>
          <w:p>
            <w:pPr>
              <w:jc w:val="right"/>
              <w:spacing w:after="0"/>
              <w:rPr>
                <w:sz w:val="20"/>
                <w:szCs w:val="20"/>
                <w:color w:val="auto"/>
              </w:rPr>
            </w:pPr>
            <w:r>
              <w:rPr>
                <w:rFonts w:ascii="Arial" w:cs="Arial" w:eastAsia="Arial" w:hAnsi="Arial"/>
                <w:sz w:val="17"/>
                <w:szCs w:val="17"/>
                <w:color w:val="auto"/>
              </w:rPr>
              <w:t>3,092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220"/>
              <w:spacing w:after="0"/>
              <w:rPr>
                <w:sz w:val="20"/>
                <w:szCs w:val="20"/>
                <w:color w:val="auto"/>
              </w:rPr>
            </w:pPr>
            <w:r>
              <w:rPr>
                <w:rFonts w:ascii="Arial" w:cs="Arial" w:eastAsia="Arial" w:hAnsi="Arial"/>
                <w:sz w:val="17"/>
                <w:szCs w:val="17"/>
                <w:color w:val="auto"/>
              </w:rPr>
              <w:t>Comprehensive loss</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20"/>
                <w:szCs w:val="20"/>
                <w:color w:val="auto"/>
              </w:rPr>
            </w:pPr>
            <w:r>
              <w:rPr>
                <w:rFonts w:ascii="Arial" w:cs="Arial" w:eastAsia="Arial" w:hAnsi="Arial"/>
                <w:sz w:val="17"/>
                <w:szCs w:val="17"/>
                <w:color w:val="auto"/>
              </w:rPr>
              <w:t>Balance at December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188,560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-1816735</wp:posOffset>
            </wp:positionV>
            <wp:extent cx="7105650" cy="139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-1137285</wp:posOffset>
            </wp:positionV>
            <wp:extent cx="710565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-457835</wp:posOffset>
            </wp:positionV>
            <wp:extent cx="7105650" cy="139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13906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-179705</wp:posOffset>
            </wp:positionV>
            <wp:extent cx="7105650" cy="16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1638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-859155</wp:posOffset>
            </wp:positionV>
            <wp:extent cx="7105650" cy="147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14732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-1538605</wp:posOffset>
            </wp:positionV>
            <wp:extent cx="7105650" cy="147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14732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-2218055</wp:posOffset>
            </wp:positionV>
            <wp:extent cx="7105650" cy="147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jc w:val="center"/>
              <w:ind w:right="377"/>
              <w:spacing w:after="0"/>
              <w:rPr>
                <w:sz w:val="20"/>
                <w:szCs w:val="20"/>
                <w:color w:val="auto"/>
              </w:rPr>
            </w:pPr>
            <w:r>
              <w:rPr>
                <w:rFonts w:ascii="Arial" w:cs="Arial" w:eastAsia="Arial" w:hAnsi="Arial"/>
                <w:sz w:val="14"/>
                <w:szCs w:val="14"/>
                <w:b w:val="1"/>
                <w:bCs w:val="1"/>
                <w:color w:val="auto"/>
                <w:w w:val="91"/>
              </w:rPr>
              <w:t>Capital in</w:t>
            </w:r>
          </w:p>
        </w:tc>
        <w:tc>
          <w:tcPr>
            <w:tcW w:w="1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5"/>
        </w:trPr>
        <w:tc>
          <w:tcPr>
            <w:tcW w:w="1040" w:type="dxa"/>
            <w:vAlign w:val="bottom"/>
          </w:tcPr>
          <w:p>
            <w:pPr>
              <w:jc w:val="center"/>
              <w:ind w:right="377"/>
              <w:spacing w:after="0" w:line="155" w:lineRule="exact"/>
              <w:rPr>
                <w:sz w:val="20"/>
                <w:szCs w:val="20"/>
                <w:color w:val="auto"/>
              </w:rPr>
            </w:pPr>
            <w:r>
              <w:rPr>
                <w:rFonts w:ascii="Arial" w:cs="Arial" w:eastAsia="Arial" w:hAnsi="Arial"/>
                <w:sz w:val="14"/>
                <w:szCs w:val="14"/>
                <w:b w:val="1"/>
                <w:bCs w:val="1"/>
                <w:color w:val="auto"/>
                <w:w w:val="82"/>
              </w:rPr>
              <w:t>Excess of</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7"/>
              </w:rPr>
              <w:t>Comprehensive</w:t>
            </w:r>
          </w:p>
        </w:tc>
        <w:tc>
          <w:tcPr>
            <w:tcW w:w="2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97"/>
              <w:spacing w:after="0" w:line="15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91"/>
        </w:trPr>
        <w:tc>
          <w:tcPr>
            <w:tcW w:w="1040" w:type="dxa"/>
            <w:vAlign w:val="bottom"/>
          </w:tcPr>
          <w:p>
            <w:pPr>
              <w:jc w:val="center"/>
              <w:ind w:right="377"/>
              <w:spacing w:after="0"/>
              <w:rPr>
                <w:sz w:val="20"/>
                <w:szCs w:val="20"/>
                <w:color w:val="auto"/>
              </w:rPr>
            </w:pPr>
            <w:r>
              <w:rPr>
                <w:rFonts w:ascii="Arial" w:cs="Arial" w:eastAsia="Arial" w:hAnsi="Arial"/>
                <w:sz w:val="14"/>
                <w:szCs w:val="14"/>
                <w:b w:val="1"/>
                <w:bCs w:val="1"/>
                <w:color w:val="auto"/>
                <w:w w:val="90"/>
              </w:rPr>
              <w:t>Par Value</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Loss</w:t>
            </w:r>
          </w:p>
        </w:tc>
        <w:tc>
          <w:tcPr>
            <w:tcW w:w="20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1040" w:type="dxa"/>
            <w:vAlign w:val="bottom"/>
            <w:vMerge w:val="restart"/>
          </w:tcPr>
          <w:p>
            <w:pPr>
              <w:jc w:val="right"/>
              <w:ind w:right="77"/>
              <w:spacing w:after="0"/>
              <w:rPr>
                <w:sz w:val="20"/>
                <w:szCs w:val="20"/>
                <w:color w:val="auto"/>
              </w:rPr>
            </w:pPr>
            <w:r>
              <w:rPr>
                <w:rFonts w:ascii="Arial" w:cs="Arial" w:eastAsia="Arial" w:hAnsi="Arial"/>
                <w:sz w:val="17"/>
                <w:szCs w:val="17"/>
                <w:color w:val="auto"/>
              </w:rPr>
              <w:t>3,271,097</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(1,005)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(1,864,718)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1,405,391</w:t>
            </w:r>
          </w:p>
        </w:tc>
        <w:tc>
          <w:tcPr>
            <w:tcW w:w="0" w:type="dxa"/>
            <w:vAlign w:val="bottom"/>
          </w:tcPr>
          <w:p>
            <w:pPr>
              <w:spacing w:after="0"/>
              <w:rPr>
                <w:sz w:val="1"/>
                <w:szCs w:val="1"/>
                <w:color w:val="auto"/>
              </w:rPr>
            </w:pPr>
          </w:p>
        </w:tc>
      </w:tr>
      <w:tr>
        <w:trPr>
          <w:trHeight w:val="400"/>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23,372</w:t>
            </w:r>
          </w:p>
        </w:tc>
        <w:tc>
          <w:tcPr>
            <w:tcW w:w="16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23,373</w:t>
            </w:r>
          </w:p>
        </w:tc>
        <w:tc>
          <w:tcPr>
            <w:tcW w:w="0" w:type="dxa"/>
            <w:vAlign w:val="bottom"/>
          </w:tcPr>
          <w:p>
            <w:pPr>
              <w:spacing w:after="0"/>
              <w:rPr>
                <w:sz w:val="1"/>
                <w:szCs w:val="1"/>
                <w:color w:val="auto"/>
              </w:rPr>
            </w:pPr>
          </w:p>
        </w:tc>
      </w:tr>
      <w:tr>
        <w:trPr>
          <w:trHeight w:val="219"/>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94,261</w:t>
            </w: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94,261</w:t>
            </w:r>
          </w:p>
        </w:tc>
        <w:tc>
          <w:tcPr>
            <w:tcW w:w="0" w:type="dxa"/>
            <w:vAlign w:val="bottom"/>
          </w:tcPr>
          <w:p>
            <w:pPr>
              <w:spacing w:after="0"/>
              <w:rPr>
                <w:sz w:val="1"/>
                <w:szCs w:val="1"/>
                <w:color w:val="auto"/>
              </w:rPr>
            </w:pPr>
          </w:p>
        </w:tc>
      </w:tr>
      <w:tr>
        <w:trPr>
          <w:trHeight w:val="219"/>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(444,440)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(445,730)</w:t>
            </w:r>
          </w:p>
        </w:tc>
        <w:tc>
          <w:tcPr>
            <w:tcW w:w="0" w:type="dxa"/>
            <w:vAlign w:val="bottom"/>
          </w:tcPr>
          <w:p>
            <w:pPr>
              <w:spacing w:after="0"/>
              <w:rPr>
                <w:sz w:val="1"/>
                <w:szCs w:val="1"/>
                <w:color w:val="auto"/>
              </w:rPr>
            </w:pPr>
          </w:p>
        </w:tc>
      </w:tr>
      <w:tr>
        <w:trPr>
          <w:trHeight w:val="212"/>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3,388,730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(2,309,158)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1,077,295</w:t>
            </w:r>
          </w:p>
        </w:tc>
        <w:tc>
          <w:tcPr>
            <w:tcW w:w="0" w:type="dxa"/>
            <w:vAlign w:val="bottom"/>
          </w:tcPr>
          <w:p>
            <w:pPr>
              <w:spacing w:after="0"/>
              <w:rPr>
                <w:sz w:val="1"/>
                <w:szCs w:val="1"/>
                <w:color w:val="auto"/>
              </w:rPr>
            </w:pPr>
          </w:p>
        </w:tc>
      </w:tr>
      <w:tr>
        <w:trPr>
          <w:trHeight w:val="400"/>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33,237</w:t>
            </w:r>
          </w:p>
        </w:tc>
        <w:tc>
          <w:tcPr>
            <w:tcW w:w="16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33,238</w:t>
            </w:r>
          </w:p>
        </w:tc>
        <w:tc>
          <w:tcPr>
            <w:tcW w:w="0" w:type="dxa"/>
            <w:vAlign w:val="bottom"/>
          </w:tcPr>
          <w:p>
            <w:pPr>
              <w:spacing w:after="0"/>
              <w:rPr>
                <w:sz w:val="1"/>
                <w:szCs w:val="1"/>
                <w:color w:val="auto"/>
              </w:rPr>
            </w:pPr>
          </w:p>
        </w:tc>
      </w:tr>
      <w:tr>
        <w:trPr>
          <w:trHeight w:val="219"/>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94,674</w:t>
            </w: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94,674</w:t>
            </w:r>
          </w:p>
        </w:tc>
        <w:tc>
          <w:tcPr>
            <w:tcW w:w="0" w:type="dxa"/>
            <w:vAlign w:val="bottom"/>
          </w:tcPr>
          <w:p>
            <w:pPr>
              <w:spacing w:after="0"/>
              <w:rPr>
                <w:sz w:val="1"/>
                <w:szCs w:val="1"/>
                <w:color w:val="auto"/>
              </w:rPr>
            </w:pPr>
          </w:p>
        </w:tc>
      </w:tr>
      <w:tr>
        <w:trPr>
          <w:trHeight w:val="219"/>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(523,837)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(525,699)</w:t>
            </w:r>
          </w:p>
        </w:tc>
        <w:tc>
          <w:tcPr>
            <w:tcW w:w="0" w:type="dxa"/>
            <w:vAlign w:val="bottom"/>
          </w:tcPr>
          <w:p>
            <w:pPr>
              <w:spacing w:after="0"/>
              <w:rPr>
                <w:sz w:val="1"/>
                <w:szCs w:val="1"/>
                <w:color w:val="auto"/>
              </w:rPr>
            </w:pPr>
          </w:p>
        </w:tc>
      </w:tr>
      <w:tr>
        <w:trPr>
          <w:trHeight w:val="212"/>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3,516,641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(2,832,995)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679,508</w:t>
            </w:r>
          </w:p>
        </w:tc>
        <w:tc>
          <w:tcPr>
            <w:tcW w:w="0" w:type="dxa"/>
            <w:vAlign w:val="bottom"/>
          </w:tcPr>
          <w:p>
            <w:pPr>
              <w:spacing w:after="0"/>
              <w:rPr>
                <w:sz w:val="1"/>
                <w:szCs w:val="1"/>
                <w:color w:val="auto"/>
              </w:rPr>
            </w:pPr>
          </w:p>
        </w:tc>
      </w:tr>
      <w:tr>
        <w:trPr>
          <w:trHeight w:val="400"/>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758</w:t>
            </w:r>
          </w:p>
        </w:tc>
        <w:tc>
          <w:tcPr>
            <w:tcW w:w="16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19"/>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57,320</w:t>
            </w: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57,320</w:t>
            </w:r>
          </w:p>
        </w:tc>
        <w:tc>
          <w:tcPr>
            <w:tcW w:w="0" w:type="dxa"/>
            <w:vAlign w:val="bottom"/>
          </w:tcPr>
          <w:p>
            <w:pPr>
              <w:spacing w:after="0"/>
              <w:rPr>
                <w:sz w:val="1"/>
                <w:szCs w:val="1"/>
                <w:color w:val="auto"/>
              </w:rPr>
            </w:pPr>
          </w:p>
        </w:tc>
      </w:tr>
      <w:tr>
        <w:trPr>
          <w:trHeight w:val="219"/>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(368,198)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(370,948)</w:t>
            </w:r>
          </w:p>
        </w:tc>
        <w:tc>
          <w:tcPr>
            <w:tcW w:w="0" w:type="dxa"/>
            <w:vAlign w:val="bottom"/>
          </w:tcPr>
          <w:p>
            <w:pPr>
              <w:spacing w:after="0"/>
              <w:rPr>
                <w:sz w:val="1"/>
                <w:szCs w:val="1"/>
                <w:color w:val="auto"/>
              </w:rPr>
            </w:pPr>
          </w:p>
        </w:tc>
      </w:tr>
      <w:tr>
        <w:trPr>
          <w:trHeight w:val="213"/>
        </w:trPr>
        <w:tc>
          <w:tcPr>
            <w:tcW w:w="1040" w:type="dxa"/>
            <w:vAlign w:val="bottom"/>
          </w:tcPr>
          <w:p>
            <w:pPr>
              <w:jc w:val="right"/>
              <w:ind w:right="77"/>
              <w:spacing w:after="0"/>
              <w:rPr>
                <w:sz w:val="20"/>
                <w:szCs w:val="20"/>
                <w:color w:val="auto"/>
              </w:rPr>
            </w:pPr>
            <w:r>
              <w:rPr>
                <w:rFonts w:ascii="Arial" w:cs="Arial" w:eastAsia="Arial" w:hAnsi="Arial"/>
                <w:sz w:val="17"/>
                <w:szCs w:val="17"/>
                <w:color w:val="auto"/>
              </w:rPr>
              <w:t>3,574,719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(3,201,193)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366,638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-7620</wp:posOffset>
            </wp:positionV>
            <wp:extent cx="8267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260"/>
            <w:col w:w="5200"/>
          </w:cols>
          <w:pgMar w:left="320" w:top="127" w:right="359" w:bottom="1440" w:gutter="0" w:footer="0" w:header="0"/>
          <w:type w:val="continuous"/>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NEKTAR THERAPEUTICS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5"/>
                <w:szCs w:val="15"/>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200"/>
        </w:trPr>
        <w:tc>
          <w:tcPr>
            <w:tcW w:w="70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2020</w:t>
            </w:r>
          </w:p>
        </w:tc>
      </w:tr>
      <w:tr>
        <w:trPr>
          <w:trHeight w:val="188"/>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5"/>
                <w:szCs w:val="15"/>
                <w:color w:val="auto"/>
              </w:rPr>
              <w:t>Net loss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(368,198)</w:t>
            </w: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(523,837)</w:t>
            </w: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(444,440)</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Non-cash royalty revenue related to the sales of future royalties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(69,794)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(77,746)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(48,563)</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Non-cash interest expense on liabilities related to sales of future royalties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28,911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30,267</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Loss on revaluation of liability related to the sale of future royalties</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24,410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of development derivative liability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Non-cash research and development expense</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4,951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16,703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57,320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94,261</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13,030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14,146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14,182</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Impairment of right-of-use asset and property, plant and equipment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65,761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loss on sale or disposal of property, plant and equipment,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Impairment of advance payments to contract manufacturers and equipment for terminated program</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20,351</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premiums (discounts), net and other non-cash transactions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3,943</w:t>
            </w:r>
          </w:p>
        </w:tc>
      </w:tr>
      <w:tr>
        <w:trPr>
          <w:trHeight w:val="203"/>
        </w:trPr>
        <w:tc>
          <w:tcPr>
            <w:tcW w:w="706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16,511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1,913</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Inventory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(2,627)</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leases,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2,743</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Other assets</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6,906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4,512</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2,382</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Accrued compensation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4,697</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8,644</w:t>
            </w:r>
          </w:p>
        </w:tc>
      </w:tr>
      <w:tr>
        <w:trPr>
          <w:trHeight w:val="203"/>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Deferred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(5,516)</w:t>
            </w:r>
          </w:p>
        </w:tc>
      </w:tr>
      <w:tr>
        <w:trPr>
          <w:trHeight w:val="202"/>
        </w:trPr>
        <w:tc>
          <w:tcPr>
            <w:tcW w:w="7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Net cash used in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(304,007)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(412,660)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(313,287)</w:t>
            </w:r>
          </w:p>
        </w:tc>
      </w:tr>
      <w:tr>
        <w:trPr>
          <w:trHeight w:val="184"/>
        </w:trPr>
        <w:tc>
          <w:tcPr>
            <w:tcW w:w="70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(467,914)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(960,689)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(987,533)</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Maturities of investments</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826,229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1,166,951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1,449,304</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Sales of investments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41,700</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(14,989)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(7,258)</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Sales of property, plant and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13,196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196"/>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Net cash provided by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365,835</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202,777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496,213</w:t>
            </w: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Proceeds from sale of future royalties, net of $3.8 million of transaction costs</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146,250</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 of senior notes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r>
      <w:tr>
        <w:trPr>
          <w:trHeight w:val="203"/>
        </w:trPr>
        <w:tc>
          <w:tcPr>
            <w:tcW w:w="7060" w:type="dxa"/>
            <w:vAlign w:val="bottom"/>
          </w:tcPr>
          <w:p>
            <w:pPr>
              <w:ind w:left="220"/>
              <w:spacing w:after="0"/>
              <w:rPr>
                <w:sz w:val="20"/>
                <w:szCs w:val="20"/>
                <w:color w:val="auto"/>
              </w:rPr>
            </w:pPr>
            <w:r>
              <w:rPr>
                <w:rFonts w:ascii="Arial" w:cs="Arial" w:eastAsia="Arial" w:hAnsi="Arial"/>
                <w:sz w:val="15"/>
                <w:szCs w:val="15"/>
                <w:color w:val="auto"/>
              </w:rPr>
              <w:t>Cash receipts from development derivative liability</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shares issued under equity compensation plans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33,238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23,396</w:t>
            </w:r>
          </w:p>
        </w:tc>
      </w:tr>
      <w:tr>
        <w:trPr>
          <w:trHeight w:val="196"/>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36,238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(80,354)</w:t>
            </w:r>
          </w:p>
        </w:tc>
      </w:t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foreign exchange rates on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w:t>
            </w:r>
          </w:p>
        </w:tc>
      </w:tr>
      <w:tr>
        <w:trPr>
          <w:trHeight w:val="196"/>
        </w:trPr>
        <w:tc>
          <w:tcPr>
            <w:tcW w:w="7060" w:type="dxa"/>
            <w:vAlign w:val="bottom"/>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63,009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(173,737)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102,592</w:t>
            </w:r>
          </w:p>
        </w:tc>
      </w:tr>
      <w:tr>
        <w:trPr>
          <w:trHeight w:val="206"/>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25,218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198,955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96,363</w:t>
            </w:r>
          </w:p>
        </w:tc>
      </w:tr>
      <w:tr>
        <w:trPr>
          <w:trHeight w:val="202"/>
        </w:trPr>
        <w:tc>
          <w:tcPr>
            <w:tcW w:w="7060" w:type="dxa"/>
            <w:vAlign w:val="bottom"/>
          </w:tcPr>
          <w:p>
            <w:pPr>
              <w:ind w:left="20"/>
              <w:spacing w:after="0"/>
              <w:rPr>
                <w:sz w:val="20"/>
                <w:szCs w:val="20"/>
                <w:color w:val="auto"/>
              </w:rPr>
            </w:pPr>
            <w:r>
              <w:rPr>
                <w:rFonts w:ascii="Arial" w:cs="Arial" w:eastAsia="Arial" w:hAnsi="Arial"/>
                <w:sz w:val="15"/>
                <w:szCs w:val="15"/>
                <w:color w:val="auto"/>
              </w:rPr>
              <w:t>Cash and cash equivalents at end of year</w:t>
            </w: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88,227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25,218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198,955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9,742</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539</w:t>
            </w:r>
          </w:p>
        </w:tc>
      </w:tr>
      <w:tr>
        <w:trPr>
          <w:trHeight w:val="203"/>
        </w:trPr>
        <w:tc>
          <w:tcPr>
            <w:tcW w:w="7060" w:type="dxa"/>
            <w:vAlign w:val="bottom"/>
          </w:tcPr>
          <w:p>
            <w:pPr>
              <w:ind w:left="20"/>
              <w:spacing w:after="0"/>
              <w:rPr>
                <w:sz w:val="20"/>
                <w:szCs w:val="20"/>
                <w:color w:val="auto"/>
              </w:rPr>
            </w:pPr>
            <w:r>
              <w:rPr>
                <w:rFonts w:ascii="Arial" w:cs="Arial" w:eastAsia="Arial" w:hAnsi="Arial"/>
                <w:sz w:val="15"/>
                <w:szCs w:val="15"/>
                <w:color w:val="auto"/>
              </w:rPr>
              <w:t>Operating lease right-of-use assets recognized in exchange for lease liabilities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1,057</w:t>
            </w: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2,133</w:t>
            </w: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recognized in exchange for long-term liabilities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4,000</w:t>
            </w:r>
          </w:p>
        </w:tc>
      </w:tr>
    </w:tbl>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NEKTAR THERAPEUTICS</w:t>
      </w:r>
    </w:p>
    <w:p>
      <w:pPr>
        <w:spacing w:after="0" w:line="114"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2022</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Organization and Summary of Significant Accounting Policies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Organization</w:t>
      </w:r>
    </w:p>
    <w:p>
      <w:pPr>
        <w:spacing w:after="0" w:line="114" w:lineRule="exact"/>
        <w:rPr>
          <w:sz w:val="20"/>
          <w:szCs w:val="20"/>
          <w:color w:val="auto"/>
        </w:rPr>
      </w:pPr>
    </w:p>
    <w:p>
      <w:pPr>
        <w:ind w:right="40" w:firstLine="169"/>
        <w:spacing w:after="0" w:line="262" w:lineRule="auto"/>
        <w:rPr>
          <w:sz w:val="20"/>
          <w:szCs w:val="20"/>
          <w:color w:val="auto"/>
        </w:rPr>
      </w:pPr>
      <w:r>
        <w:rPr>
          <w:rFonts w:ascii="Arial" w:cs="Arial" w:eastAsia="Arial" w:hAnsi="Arial"/>
          <w:sz w:val="17"/>
          <w:szCs w:val="17"/>
          <w:color w:val="auto"/>
        </w:rPr>
        <w:t>We are a research-based biopharmaceutical company headquartered in San Francisco, California and incorporated in Delaware. We are developing a pipeline of drug candidates that utilize our advanced polymer conjugate technology platforms, which are designed to enable the development of new molecular entities that target known mechanisms of action. Our research and development pipeline of new investigational drugs includes innovative medicines in the field of immunotherapy.</w:t>
      </w:r>
    </w:p>
    <w:p>
      <w:pPr>
        <w:spacing w:after="0" w:line="178" w:lineRule="exact"/>
        <w:rPr>
          <w:sz w:val="20"/>
          <w:szCs w:val="20"/>
          <w:color w:val="auto"/>
        </w:rPr>
      </w:pPr>
    </w:p>
    <w:p>
      <w:pPr>
        <w:ind w:firstLine="172"/>
        <w:spacing w:after="0" w:line="262" w:lineRule="auto"/>
        <w:rPr>
          <w:sz w:val="20"/>
          <w:szCs w:val="20"/>
          <w:color w:val="auto"/>
        </w:rPr>
      </w:pPr>
      <w:r>
        <w:rPr>
          <w:rFonts w:ascii="Arial" w:cs="Arial" w:eastAsia="Arial" w:hAnsi="Arial"/>
          <w:sz w:val="17"/>
          <w:szCs w:val="17"/>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At December 31, 2022, we had approximately $505.0 million in cash and investments in marketable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Bempegaldesleukin Program and the 2022 Restructuring Plan</w:t>
      </w:r>
    </w:p>
    <w:p>
      <w:pPr>
        <w:spacing w:after="0" w:line="159" w:lineRule="exact"/>
        <w:rPr>
          <w:sz w:val="20"/>
          <w:szCs w:val="20"/>
          <w:color w:val="auto"/>
        </w:rPr>
      </w:pPr>
    </w:p>
    <w:p>
      <w:pPr>
        <w:ind w:right="100" w:firstLine="541"/>
        <w:spacing w:after="0" w:line="259" w:lineRule="auto"/>
        <w:rPr>
          <w:sz w:val="20"/>
          <w:szCs w:val="20"/>
          <w:color w:val="auto"/>
        </w:rPr>
      </w:pPr>
      <w:r>
        <w:rPr>
          <w:rFonts w:ascii="Arial" w:cs="Arial" w:eastAsia="Arial" w:hAnsi="Arial"/>
          <w:sz w:val="16"/>
          <w:szCs w:val="16"/>
          <w:color w:val="auto"/>
        </w:rPr>
        <w:t>In March and April 2022, we announced the unsuccessful results from our clinical trials studying bempegaldesleukin in combination with Opdivo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under our Strategic Collaboration Agreement with Bristol-Myers Squibb Company (BMS). Based on these results, we decided to discontinue all of our ongoing clinical trials of bempegaldesleukin in combination with checkpoint inhibitors and tyrosine kinase inhibitors. In April 2022, we also announced new strategic reorganization and cost restructuring plans (together, the 2022 Restructuring Plan) for the Company’s future:</w:t>
      </w:r>
    </w:p>
    <w:p>
      <w:pPr>
        <w:spacing w:after="0" w:line="72" w:lineRule="exact"/>
        <w:rPr>
          <w:sz w:val="20"/>
          <w:szCs w:val="20"/>
          <w:color w:val="auto"/>
        </w:rPr>
      </w:pPr>
    </w:p>
    <w:p>
      <w:pPr>
        <w:jc w:val="both"/>
        <w:ind w:left="620" w:right="40" w:hanging="307"/>
        <w:spacing w:after="0" w:line="237"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March 14, 2022, BMS and we announced that the registrational trial for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metastatic melanoma did not meet its primary endpoints and that BMS and we decided to discontinue the registrational trials in metastatic melanoma and adjuvant melanoma. See Note 10 for additional information on our BMS Collaboration Agreement.</w:t>
      </w:r>
    </w:p>
    <w:p>
      <w:pPr>
        <w:spacing w:after="0" w:line="86" w:lineRule="exact"/>
        <w:rPr>
          <w:rFonts w:ascii="Arial" w:cs="Arial" w:eastAsia="Arial" w:hAnsi="Arial"/>
          <w:sz w:val="17"/>
          <w:szCs w:val="17"/>
          <w:color w:val="auto"/>
        </w:rPr>
      </w:pPr>
    </w:p>
    <w:p>
      <w:pPr>
        <w:ind w:left="620" w:right="40" w:hanging="307"/>
        <w:spacing w:after="0" w:line="257" w:lineRule="auto"/>
        <w:tabs>
          <w:tab w:leader="none" w:pos="6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April 14, 2022, we announced that each of our registrational trials for bempegaldesleukin in combination with Opdivo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in renal cell carcinoma and in cisplatin-ineligible, locally advanced or metastatic urothelial cancer did not meet their respective primary endpoints. Due to these results, BMS and we decided to discontinue these studies and all other ongoing studies for bempegaldesleukin in combination with Opdivo</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4" w:lineRule="exact"/>
        <w:rPr>
          <w:rFonts w:ascii="Arial" w:cs="Arial" w:eastAsia="Arial" w:hAnsi="Arial"/>
          <w:sz w:val="16"/>
          <w:szCs w:val="16"/>
          <w:color w:val="auto"/>
        </w:rPr>
      </w:pPr>
    </w:p>
    <w:p>
      <w:pPr>
        <w:ind w:left="620" w:right="140" w:hanging="307"/>
        <w:spacing w:after="0" w:line="23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April 14, 2022, we announced that, in consultation with SFJ Pharmaceuticals and based upon a recommendation from an independent Data Monitoring Committee, we decided to discontinue our Phase 2/3 study in bempegaldesleukin in combination with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patients with metastatic or unresectable recurrent squamous cell cancer of the head and neck under our Co-Development Agreement with SFJ Pharmaceuticals. See Note 6 for additional information regarding our Co-Development Agreement with SFJ Pharmaceuticals.</w:t>
      </w:r>
    </w:p>
    <w:p>
      <w:pPr>
        <w:spacing w:after="0" w:line="85" w:lineRule="exact"/>
        <w:rPr>
          <w:rFonts w:ascii="Arial" w:cs="Arial" w:eastAsia="Arial" w:hAnsi="Arial"/>
          <w:sz w:val="17"/>
          <w:szCs w:val="17"/>
          <w:color w:val="auto"/>
        </w:rPr>
      </w:pPr>
    </w:p>
    <w:p>
      <w:pPr>
        <w:jc w:val="both"/>
        <w:ind w:left="620" w:right="400" w:hanging="307"/>
        <w:spacing w:after="0" w:line="284" w:lineRule="auto"/>
        <w:tabs>
          <w:tab w:leader="none" w:pos="616"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also announced on April 14, 2022, the discontinuation of our Phase 1/2 PROPEL study of bempegaldesleukin in combination with Keytruda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locally advanced or metastatic solid tumors, including non-small cell lung cancer. With these announcements on April 14, 2022, subject to activities required for an orderly wind down of the studies, there will be no ongoing clinical development activities of bempegaldesleukin.</w:t>
      </w:r>
    </w:p>
    <w:p>
      <w:pPr>
        <w:spacing w:after="0" w:line="62" w:lineRule="exact"/>
        <w:rPr>
          <w:rFonts w:ascii="Arial" w:cs="Arial" w:eastAsia="Arial" w:hAnsi="Arial"/>
          <w:sz w:val="15"/>
          <w:szCs w:val="15"/>
          <w:color w:val="auto"/>
        </w:rPr>
      </w:pPr>
    </w:p>
    <w:p>
      <w:pPr>
        <w:ind w:left="620" w:right="40" w:hanging="307"/>
        <w:spacing w:after="0" w:line="262"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April 25, 2022, we announced our 2022 Restructuring Plan, which was reviewed and approved by our Board of Directors on April 14, 2022. Pursuant to the 2022 Restructuring Plan, on April 26, 2022, our duly authorized officers implemented certain strategic, operational and organizational steps, including the prioritization of key Phase 2 development programs to advance our early stage research pipeline. In addition, we announced our plan to reduce our workforce by approximately 70% and to close our research facility in India.</w:t>
      </w:r>
    </w:p>
    <w:p>
      <w:pPr>
        <w:spacing w:after="0" w:line="75" w:lineRule="exact"/>
        <w:rPr>
          <w:sz w:val="20"/>
          <w:szCs w:val="20"/>
          <w:color w:val="auto"/>
        </w:rPr>
      </w:pPr>
    </w:p>
    <w:p>
      <w:pPr>
        <w:ind w:right="40" w:firstLine="541"/>
        <w:spacing w:after="0" w:line="279" w:lineRule="auto"/>
        <w:rPr>
          <w:sz w:val="20"/>
          <w:szCs w:val="20"/>
          <w:color w:val="auto"/>
        </w:rPr>
      </w:pPr>
      <w:r>
        <w:rPr>
          <w:rFonts w:ascii="Arial" w:cs="Arial" w:eastAsia="Arial" w:hAnsi="Arial"/>
          <w:sz w:val="17"/>
          <w:szCs w:val="17"/>
          <w:color w:val="auto"/>
        </w:rPr>
        <w:t>We have incurred significant costs resulting from these decisions and plans. See Note 11 for additional information on the effect of the 2022 Restructuring Plan on our Consolidated Financial Statements.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Basis of Presentation, Principles of Consolidation and Use of Estimates</w:t>
      </w:r>
    </w:p>
    <w:p>
      <w:pPr>
        <w:spacing w:after="0" w:line="114" w:lineRule="exact"/>
        <w:rPr>
          <w:sz w:val="20"/>
          <w:szCs w:val="20"/>
          <w:color w:val="auto"/>
        </w:rPr>
      </w:pPr>
    </w:p>
    <w:p>
      <w:pPr>
        <w:ind w:right="720" w:firstLine="172"/>
        <w:spacing w:after="0" w:line="279" w:lineRule="auto"/>
        <w:rPr>
          <w:sz w:val="20"/>
          <w:szCs w:val="20"/>
          <w:color w:val="auto"/>
        </w:rPr>
      </w:pPr>
      <w:r>
        <w:rPr>
          <w:rFonts w:ascii="Arial" w:cs="Arial" w:eastAsia="Arial" w:hAnsi="Arial"/>
          <w:sz w:val="17"/>
          <w:szCs w:val="17"/>
          <w:color w:val="auto"/>
        </w:rPr>
        <w:t>Our Consolidated Financial Statements include the financial position, results of operations and cash flows of our wholly-owned subsidiaries. We have eliminated all intercompany accounts and transactions in consolidation.</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172"/>
        <w:spacing w:after="0" w:line="283" w:lineRule="auto"/>
        <w:rPr>
          <w:sz w:val="20"/>
          <w:szCs w:val="20"/>
          <w:color w:val="auto"/>
        </w:rPr>
      </w:pPr>
      <w:r>
        <w:rPr>
          <w:rFonts w:ascii="Arial" w:cs="Arial" w:eastAsia="Arial" w:hAnsi="Arial"/>
          <w:sz w:val="16"/>
          <w:szCs w:val="16"/>
          <w:color w:val="auto"/>
        </w:rPr>
        <w:t>Our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We include translation gains and losses in accumulated other comprehensive loss in the stockholders’ equity section of our Consolidated Balance Sheets. To date, such cumulative currency translation adjustments have not been significant to our consolidated financial position.</w:t>
      </w:r>
    </w:p>
    <w:p>
      <w:pPr>
        <w:spacing w:after="0" w:line="164" w:lineRule="exact"/>
        <w:rPr>
          <w:sz w:val="20"/>
          <w:szCs w:val="20"/>
          <w:color w:val="auto"/>
        </w:rPr>
      </w:pPr>
    </w:p>
    <w:p>
      <w:pPr>
        <w:ind w:right="140" w:firstLine="172"/>
        <w:spacing w:after="0" w:line="266" w:lineRule="auto"/>
        <w:rPr>
          <w:sz w:val="20"/>
          <w:szCs w:val="20"/>
          <w:color w:val="auto"/>
        </w:rPr>
      </w:pPr>
      <w:r>
        <w:rPr>
          <w:rFonts w:ascii="Arial" w:cs="Arial" w:eastAsia="Arial" w:hAnsi="Arial"/>
          <w:sz w:val="17"/>
          <w:szCs w:val="17"/>
          <w:color w:val="auto"/>
        </w:rPr>
        <w:t>Our comprehensive loss consists of our net loss plus our foreign currency translation gains and losses and unrealized holding gains and losses on available-for-sale securities. There were no significant reclassifications out of accumulated other comprehensive loss to the statements of operations during the years ended December 31, 2022, 2021 and 2020.</w:t>
      </w:r>
    </w:p>
    <w:p>
      <w:pPr>
        <w:spacing w:after="0" w:line="175" w:lineRule="exact"/>
        <w:rPr>
          <w:sz w:val="20"/>
          <w:szCs w:val="20"/>
          <w:color w:val="auto"/>
        </w:rPr>
      </w:pPr>
    </w:p>
    <w:p>
      <w:pPr>
        <w:ind w:firstLine="169"/>
        <w:spacing w:after="0" w:line="272"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 Actual results could differ materially from those estimates and assumptions. Our estimates include those related to the selling prices of performance obligations and amounts of variable consideration in collaboration agreements, royalty revenue, and other assumptions required for revenue recognition as described further below; the net realizable value of inventory; the fair value and impairment of investments, goodwill and long-lived assets; contingencies, accrued clinical trial, contract manufacturing and other expenses; income taxes; non-cash royalty revenue and non-cash interest expense from our liabilities related to our sales of future royalties; assumptions used in the valuation of our development derivative liability as further described in Note 6; our assumptions used in stock-based compensation; and ongoing litigation, among other estimates. We base our estimates on historical experience and on other assumptions that management believes are reasonable under the circumstances. These estimates form the basis for making judgments about the carrying values of assets and liabilities when these values are not readily apparent from other sources. As appropriate, we assess estimates each period, update them to reflect current information, and will generally reflect any changes in estimates in the period first identified.</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4"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The recorded amounts of certain financial instruments, including cash and cash equivalents, accounts receivable, accounts payable and accrued liabilities approximate their fair values due to their relatively short maturities. We record available-for-sale investments and cash equivalents at their estimated fair values, which are based on market prices from a variety of industry standard data providers and generally represent quoted prices for similar assets in active markets or have been derived from observable market data. As further described in Note 11, we estimated the fair value of our lease assets for recognizing impairment charges based on management’s estimates of several unobservable inputs, including estimated time to enter a sublease, sublease rental rates and free rent periods. As further described in Note 6, we recorded the development derivative liability at its estimated fair value based on management’s estimates of several unobservable inputs, including the probabilities of success of clinical trials and various other inputs.</w:t>
      </w:r>
    </w:p>
    <w:p>
      <w:pPr>
        <w:spacing w:after="0" w:line="66"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color w:val="auto"/>
        </w:rPr>
        <w:t xml:space="preserve">The fair value of our financial assets and liabilities are determined in accordance with the fair value hierarchy established in ASC 820-10,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as the exchange price that would be received for an asset or paid to transfer a liability (an</w:t>
      </w:r>
      <w:r>
        <w:rPr>
          <w:rFonts w:ascii="Arial" w:cs="Arial" w:eastAsia="Arial" w:hAnsi="Arial"/>
          <w:sz w:val="17"/>
          <w:szCs w:val="17"/>
          <w:i w:val="1"/>
          <w:iCs w:val="1"/>
          <w:color w:val="auto"/>
        </w:rPr>
        <w:t xml:space="preserve"> </w:t>
      </w:r>
      <w:r>
        <w:rPr>
          <w:rFonts w:ascii="Arial" w:cs="Arial" w:eastAsia="Arial" w:hAnsi="Arial"/>
          <w:sz w:val="17"/>
          <w:szCs w:val="17"/>
          <w:color w:val="auto"/>
        </w:rPr>
        <w:t>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in active markets for identical assets or liabilities.</w:t>
      </w:r>
    </w:p>
    <w:p>
      <w:pPr>
        <w:spacing w:after="0" w:line="114" w:lineRule="exact"/>
        <w:rPr>
          <w:sz w:val="20"/>
          <w:szCs w:val="20"/>
          <w:color w:val="auto"/>
        </w:rPr>
      </w:pPr>
    </w:p>
    <w:p>
      <w:pPr>
        <w:jc w:val="both"/>
        <w:ind w:left="620" w:right="180"/>
        <w:spacing w:after="0" w:line="262"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for similar assets or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identical or similar assets or liabilities in markets that are not active; or other inputs that are observable or can be corroborated by observable market data for substantially the full term of the assets or liabilities. For the years ended December 31, 2022 and 2021, there were no transfers between Level 1 and Level 2 of the fair value hierarchy.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Cash Equivalents, and Investments in Marketable Securities</w:t>
      </w:r>
    </w:p>
    <w:p>
      <w:pPr>
        <w:spacing w:after="0" w:line="114" w:lineRule="exact"/>
        <w:rPr>
          <w:sz w:val="20"/>
          <w:szCs w:val="20"/>
          <w:color w:val="auto"/>
        </w:rPr>
      </w:pPr>
    </w:p>
    <w:p>
      <w:pPr>
        <w:ind w:right="520" w:firstLine="169"/>
        <w:spacing w:after="0" w:line="279" w:lineRule="auto"/>
        <w:rPr>
          <w:sz w:val="20"/>
          <w:szCs w:val="20"/>
          <w:color w:val="auto"/>
        </w:rPr>
      </w:pPr>
      <w:r>
        <w:rPr>
          <w:rFonts w:ascii="Arial" w:cs="Arial" w:eastAsia="Arial" w:hAnsi="Arial"/>
          <w:sz w:val="17"/>
          <w:szCs w:val="17"/>
          <w:color w:val="auto"/>
        </w:rPr>
        <w:t>We consider all investments in marketable securities with an original maturity of three months or less when purchased to be cash equivalents. We classify investments in securities with remaining maturities of less than one year, or where our intent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is to use the investments to fund current operations or to make them available for current operations, as short-term investments. We classify investments in securities with remaining maturities of over one year as long-term investments.</w:t>
      </w:r>
    </w:p>
    <w:p>
      <w:pPr>
        <w:spacing w:after="0" w:line="61"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Our cash and investments are held or issued by financial institutions that management believes are of high credit quality. However, they are exposed to credit risk in the event of default by the third parties that hold or issue such assets. Our investment policy limits investments to fixed income securities denominated and payable in U.S. dollars such as corporate bonds, corporate commercial paper, U.S. government obligations, and money market funds and places restrictions on maturities and concentrations by type and issuer.</w:t>
      </w:r>
    </w:p>
    <w:p>
      <w:pPr>
        <w:spacing w:after="0" w:line="139"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For our available-for-sale securities, we have significant concentrations of issuers in the banking and financial services industry. While our investment policy requires that we only invest in highly-rated securities and limit our exposure to any single issuer, a variety of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factors result in downgrades below our minimum credit rating requirements and if we decide to sell these securities, we may experience losses on such sales.</w:t>
      </w:r>
    </w:p>
    <w:p>
      <w:pPr>
        <w:spacing w:after="0" w:line="183"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Investments are designated as available-for-sale and are carried at fair value with unrealized gains and losses reported in stockholders’ equity as accumulated other comprehensive income (loss). We review our portfolio of available-for-sale debt securities, using both quantitative and qualitative factors, to determine if declines in fair value below amortized cost have resulted from a credit-related loss or other factors. If the decline in fair value is due to credit-related factors, we recognize a loss in our Consolidated Statement of Operations, whereas if the decline in fair value is not due to credit-related factors, we recognize the loss in other comprehensive income (loss).</w:t>
      </w:r>
    </w:p>
    <w:p>
      <w:pPr>
        <w:spacing w:after="0" w:line="183" w:lineRule="exact"/>
        <w:rPr>
          <w:sz w:val="20"/>
          <w:szCs w:val="20"/>
          <w:color w:val="auto"/>
        </w:rPr>
      </w:pPr>
    </w:p>
    <w:p>
      <w:pPr>
        <w:ind w:right="180" w:firstLine="169"/>
        <w:spacing w:after="0" w:line="279" w:lineRule="auto"/>
        <w:rPr>
          <w:sz w:val="20"/>
          <w:szCs w:val="20"/>
          <w:color w:val="auto"/>
        </w:rPr>
      </w:pPr>
      <w:r>
        <w:rPr>
          <w:rFonts w:ascii="Arial" w:cs="Arial" w:eastAsia="Arial" w:hAnsi="Arial"/>
          <w:sz w:val="17"/>
          <w:szCs w:val="17"/>
          <w:color w:val="auto"/>
        </w:rPr>
        <w:t>We include coupon interest on securities classified as available-for-sale, as well as amortization of premiums and accretion of discounts to maturity, in interest income. The cost of securities sold is based on the specific identification method.</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Accounts Receivable and Significant Customer Concentrations</w:t>
      </w:r>
    </w:p>
    <w:p>
      <w:pPr>
        <w:spacing w:after="0" w:line="114" w:lineRule="exact"/>
        <w:rPr>
          <w:sz w:val="20"/>
          <w:szCs w:val="20"/>
          <w:color w:val="auto"/>
        </w:rPr>
      </w:pPr>
    </w:p>
    <w:p>
      <w:pPr>
        <w:ind w:right="80" w:firstLine="172"/>
        <w:spacing w:after="0" w:line="275" w:lineRule="auto"/>
        <w:rPr>
          <w:sz w:val="20"/>
          <w:szCs w:val="20"/>
          <w:color w:val="auto"/>
        </w:rPr>
      </w:pPr>
      <w:r>
        <w:rPr>
          <w:rFonts w:ascii="Arial" w:cs="Arial" w:eastAsia="Arial" w:hAnsi="Arial"/>
          <w:sz w:val="16"/>
          <w:szCs w:val="16"/>
          <w:color w:val="auto"/>
        </w:rPr>
        <w:t>Our customers are primarily pharmaceutical and biotechnology companies that are primarily located in the U.S. and Europe and with whom we have multi-year arrangements. Our accounts receivable balance contains billed and unbilled trade receivables from product sales, milestones (to the extent that they have been achieved and are due from the counterparty), other contingent payments, as well as reimbursable costs from collaborative research and development agreements. Our accounts receivable included $4.2 million and $21.4 million for unbilled net expense reimbursements from our collaboration partner Bristol-Myers Squibb Company (BMS) as of December 31, 2022 and December 31, 2021, respectively. The remaining accounts receivable related primarily to product sales. We perform a regular review of our partners’ credit risk and payment histories when circumstances warrant, including payments made subsequent to year-end. When appropriate, we provide for an allowance for doubtful accounts by reserving for specifically identified doubtful accounts, although historically we have not experienced credit losses from our accounts receivable.</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Inventory and Significant Supplier Concentrations</w:t>
      </w:r>
    </w:p>
    <w:p>
      <w:pPr>
        <w:spacing w:after="0" w:line="114" w:lineRule="exact"/>
        <w:rPr>
          <w:sz w:val="20"/>
          <w:szCs w:val="20"/>
          <w:color w:val="auto"/>
        </w:rPr>
      </w:pPr>
    </w:p>
    <w:p>
      <w:pPr>
        <w:ind w:firstLine="169"/>
        <w:spacing w:after="0" w:line="302" w:lineRule="auto"/>
        <w:rPr>
          <w:sz w:val="20"/>
          <w:szCs w:val="20"/>
          <w:color w:val="auto"/>
        </w:rPr>
      </w:pPr>
      <w:r>
        <w:rPr>
          <w:rFonts w:ascii="Arial" w:cs="Arial" w:eastAsia="Arial" w:hAnsi="Arial"/>
          <w:sz w:val="15"/>
          <w:szCs w:val="15"/>
          <w:color w:val="auto"/>
        </w:rPr>
        <w:t>We generally manufacture inventory upon receipt of firm purchase orders from our collaboration partners, and we may manufacture certain intermediate work-in-process materials and purchase raw materials based on purchase forecasts from our collaboration partners. Inventory includes direct materials, direct labor, and manufacturing overhead, and we determine cost on a first-in, first-out basis for raw materials and on a specific identification basis for work-in-process and finished goods. We value inventory at the lower of cost or net realizable value, and we write down defective or excess inventory to net realizable value based on historical experience or projected usage. We expense inventory related to our research and development activities when we purchase or manufacture it.</w:t>
      </w:r>
    </w:p>
    <w:p>
      <w:pPr>
        <w:spacing w:after="0" w:line="152" w:lineRule="exact"/>
        <w:rPr>
          <w:sz w:val="20"/>
          <w:szCs w:val="20"/>
          <w:color w:val="auto"/>
        </w:rPr>
      </w:pPr>
    </w:p>
    <w:p>
      <w:pPr>
        <w:ind w:right="80" w:firstLine="169"/>
        <w:spacing w:after="0" w:line="259" w:lineRule="auto"/>
        <w:rPr>
          <w:sz w:val="20"/>
          <w:szCs w:val="20"/>
          <w:color w:val="auto"/>
        </w:rPr>
      </w:pPr>
      <w:r>
        <w:rPr>
          <w:rFonts w:ascii="Arial" w:cs="Arial" w:eastAsia="Arial" w:hAnsi="Arial"/>
          <w:sz w:val="17"/>
          <w:szCs w:val="17"/>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Consequently, in the event that supplies are delayed or interrupted for any reason, our ability to develop and produce our drug candidates, our ability to supply comparator drugs for our clinical trials, or our ability to meet our supply obligations could be significantly impaired, which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w:t>
      </w:r>
    </w:p>
    <w:p>
      <w:pPr>
        <w:spacing w:after="0" w:line="165"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We recognize restructuring charges related to reorganization plans that have been committed to by management when liabilities have been incurred. In connection with these activities, we record restructuring charges at fair value for:</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contractual employee termination benefits provided that the obligations result from services already rendered based on vested rights to such benefits when the payment of benefits becomes probable and the amount can be reasonably estimated;</w:t>
      </w:r>
    </w:p>
    <w:p>
      <w:pPr>
        <w:spacing w:after="0" w:line="112" w:lineRule="exact"/>
        <w:rPr>
          <w:rFonts w:ascii="Arial" w:cs="Arial" w:eastAsia="Arial" w:hAnsi="Arial"/>
          <w:sz w:val="17"/>
          <w:szCs w:val="17"/>
          <w:color w:val="auto"/>
        </w:rPr>
      </w:pPr>
    </w:p>
    <w:p>
      <w:pPr>
        <w:ind w:left="620" w:right="220" w:hanging="307"/>
        <w:spacing w:after="0" w:line="266"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one-time employee termination benefits on the communication date from management to the employees provided that management has committed to a plan of termination, the plan identifies the employees and their expected termination dates, the details of termination benefits are complete, and it is unlikely that changes to the plan will be made or the plan will be withdrawn;</w:t>
      </w:r>
    </w:p>
    <w:p>
      <w:pPr>
        <w:spacing w:after="0" w:line="12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contract termination costs when we cancel the contract in accordance with its terms;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costs to be incurred over the remaining contract term without economic benefit to us at the cease-use date.</w:t>
      </w:r>
    </w:p>
    <w:p>
      <w:pPr>
        <w:spacing w:after="0" w:line="114" w:lineRule="exact"/>
        <w:rPr>
          <w:sz w:val="20"/>
          <w:szCs w:val="20"/>
          <w:color w:val="auto"/>
        </w:rPr>
      </w:pPr>
    </w:p>
    <w:p>
      <w:pPr>
        <w:ind w:right="420" w:firstLine="619"/>
        <w:spacing w:after="0" w:line="266" w:lineRule="auto"/>
        <w:rPr>
          <w:sz w:val="20"/>
          <w:szCs w:val="20"/>
          <w:color w:val="auto"/>
        </w:rPr>
      </w:pPr>
      <w:r>
        <w:rPr>
          <w:rFonts w:ascii="Arial" w:cs="Arial" w:eastAsia="Arial" w:hAnsi="Arial"/>
          <w:sz w:val="17"/>
          <w:szCs w:val="17"/>
          <w:color w:val="auto"/>
        </w:rPr>
        <w:t>For one-time employee terminations benefits, we recognize the liability in full on the communication date when future services are not required or amortize the liability ratably over the service period, if required. The fair value of termination benefits reflects our estimates of expected utilization of certain Company-funded post-employment benefits.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See Note 11 for additional information on the severance expense that we recognized for employees terminated in connection with our 2022 Restructuring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14" w:lineRule="exact"/>
        <w:rPr>
          <w:sz w:val="20"/>
          <w:szCs w:val="20"/>
          <w:color w:val="auto"/>
        </w:rPr>
      </w:pPr>
    </w:p>
    <w:p>
      <w:pPr>
        <w:jc w:val="both"/>
        <w:ind w:right="220" w:firstLine="169"/>
        <w:spacing w:after="0" w:line="262" w:lineRule="auto"/>
        <w:rPr>
          <w:sz w:val="20"/>
          <w:szCs w:val="20"/>
          <w:color w:val="auto"/>
        </w:rPr>
      </w:pPr>
      <w:r>
        <w:rPr>
          <w:rFonts w:ascii="Arial" w:cs="Arial" w:eastAsia="Arial" w:hAnsi="Arial"/>
          <w:sz w:val="17"/>
          <w:szCs w:val="17"/>
          <w:color w:val="auto"/>
        </w:rPr>
        <w:t>We report property, plant and equipment at cost, net of accumulated depreciation. We capitalize major improvements and expense maintenance and repairs as incurred. We generally recognize depreciation on a straight-line basis. We depreciate manufacturing, laboratory and other equipment over their estimated useful lives of generally three to ten years, depreciate buildings over the estimated useful life of generally twenty years and amortize leasehold improvements over the shorter of the estimated useful lives or the remaining term of the related lease.</w:t>
      </w:r>
    </w:p>
    <w:p>
      <w:pPr>
        <w:spacing w:after="0" w:line="178" w:lineRule="exact"/>
        <w:rPr>
          <w:sz w:val="20"/>
          <w:szCs w:val="20"/>
          <w:color w:val="auto"/>
        </w:rPr>
      </w:pPr>
    </w:p>
    <w:p>
      <w:pPr>
        <w:ind w:right="220" w:firstLine="172"/>
        <w:spacing w:after="0" w:line="290" w:lineRule="auto"/>
        <w:rPr>
          <w:sz w:val="20"/>
          <w:szCs w:val="20"/>
          <w:color w:val="auto"/>
        </w:rPr>
      </w:pPr>
      <w:r>
        <w:rPr>
          <w:rFonts w:ascii="Arial" w:cs="Arial" w:eastAsia="Arial" w:hAnsi="Arial"/>
          <w:sz w:val="16"/>
          <w:szCs w:val="16"/>
          <w:color w:val="auto"/>
        </w:rPr>
        <w:t>Goodwill represents the excess of the price paid for another entity over the fair value of the assets acquired and liabilities assumed in a business combination. We are organized in one reporting unit and evaluate the goodwill for the Company as a whole. Goodwill has an indefinite useful life and is not amortized, but instead tested for impairment at least annually in the fourth quarter of each year using an October 1 measurement date.</w:t>
      </w:r>
    </w:p>
    <w:p>
      <w:pPr>
        <w:spacing w:after="0" w:line="158" w:lineRule="exact"/>
        <w:rPr>
          <w:sz w:val="20"/>
          <w:szCs w:val="20"/>
          <w:color w:val="auto"/>
        </w:rPr>
      </w:pPr>
    </w:p>
    <w:p>
      <w:pPr>
        <w:ind w:right="20" w:firstLine="169"/>
        <w:spacing w:after="0" w:line="277" w:lineRule="auto"/>
        <w:rPr>
          <w:sz w:val="20"/>
          <w:szCs w:val="20"/>
          <w:color w:val="auto"/>
        </w:rPr>
      </w:pPr>
      <w:r>
        <w:rPr>
          <w:rFonts w:ascii="Arial" w:cs="Arial" w:eastAsia="Arial" w:hAnsi="Arial"/>
          <w:sz w:val="16"/>
          <w:szCs w:val="16"/>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discounted net cash flows associated with the asset. In the case of goodwill impairment, we compare the carrying value of the reporting unit to its fair value, which we generally measure using market capitalization for our single reporting unit. If an impairment exists, we write down goodwill such that the carrying value of the reporting unit equals its fair value.</w:t>
      </w:r>
    </w:p>
    <w:p>
      <w:pPr>
        <w:spacing w:after="0" w:line="6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See Note 11 for additional information on the long-lived asset impairment expense that we recognized in connection with our 2022 Restructuring Plan.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Leases</w:t>
      </w:r>
    </w:p>
    <w:p>
      <w:pPr>
        <w:spacing w:after="0" w:line="178" w:lineRule="exact"/>
        <w:rPr>
          <w:sz w:val="20"/>
          <w:szCs w:val="20"/>
          <w:color w:val="auto"/>
        </w:rPr>
      </w:pPr>
    </w:p>
    <w:p>
      <w:pPr>
        <w:ind w:right="140" w:firstLine="541"/>
        <w:spacing w:after="0" w:line="276" w:lineRule="auto"/>
        <w:rPr>
          <w:sz w:val="20"/>
          <w:szCs w:val="20"/>
          <w:color w:val="auto"/>
        </w:rPr>
      </w:pPr>
      <w:r>
        <w:rPr>
          <w:rFonts w:ascii="Arial" w:cs="Arial" w:eastAsia="Arial" w:hAnsi="Arial"/>
          <w:sz w:val="16"/>
          <w:szCs w:val="16"/>
          <w:color w:val="auto"/>
        </w:rPr>
        <w:t>We determine if an arrangement contains a lease at the inception of the arrangement. Right-of-use assets represent our right to use an underlying asset for the lease term, and lease liabilities represent our obligation to make lease payments arising from the lease. We recognize operating lease right-of-use assets and liabilities at the lease commencement date based on the present value of lease payments over the expected lease term. In determining the present value of lease payments, we use our incremental borrowing rate based on the information available at the lease commencement date. 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right-of-use assets for leases with an original term of twelve months or less.</w:t>
      </w:r>
    </w:p>
    <w:p>
      <w:pPr>
        <w:spacing w:after="0" w:line="143" w:lineRule="exact"/>
        <w:rPr>
          <w:sz w:val="20"/>
          <w:szCs w:val="20"/>
          <w:color w:val="auto"/>
        </w:rPr>
      </w:pPr>
    </w:p>
    <w:p>
      <w:pPr>
        <w:ind w:right="40" w:firstLine="541"/>
        <w:spacing w:after="0" w:line="262" w:lineRule="auto"/>
        <w:rPr>
          <w:sz w:val="20"/>
          <w:szCs w:val="20"/>
          <w:color w:val="auto"/>
        </w:rPr>
      </w:pPr>
      <w:r>
        <w:rPr>
          <w:rFonts w:ascii="Arial" w:cs="Arial" w:eastAsia="Arial" w:hAnsi="Arial"/>
          <w:sz w:val="17"/>
          <w:szCs w:val="17"/>
          <w:color w:val="auto"/>
        </w:rPr>
        <w:t>Our expected lease terms may include options to extend or terminate the lease when it is reasonably certain that we will exercise any such options. We recognize lease expense for our operating leases on a straight-line basis over the expected lease term. We have elected to recognize lease incentives, such as tenant improvement allowances, at the lease commencement date as a reduction of the right-of-use asset and lease liability until paid to us by the lessor to the extent that the lease provides a</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specified fixed or maximum level of reimbursement and we are reasonably certain to incur reimbursable costs at least equaling such amounts.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Please see Note 5 for additional information regarding our leases.</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Collaborative Arrangements</w:t>
      </w:r>
    </w:p>
    <w:p>
      <w:pPr>
        <w:spacing w:after="0" w:line="114" w:lineRule="exact"/>
        <w:rPr>
          <w:sz w:val="20"/>
          <w:szCs w:val="20"/>
          <w:color w:val="auto"/>
        </w:rPr>
      </w:pPr>
    </w:p>
    <w:p>
      <w:pPr>
        <w:ind w:right="20" w:firstLine="169"/>
        <w:spacing w:after="0" w:line="257" w:lineRule="auto"/>
        <w:rPr>
          <w:sz w:val="20"/>
          <w:szCs w:val="20"/>
          <w:color w:val="auto"/>
        </w:rPr>
      </w:pPr>
      <w:r>
        <w:rPr>
          <w:rFonts w:ascii="Arial" w:cs="Arial" w:eastAsia="Arial" w:hAnsi="Arial"/>
          <w:sz w:val="17"/>
          <w:szCs w:val="17"/>
          <w:color w:val="auto"/>
        </w:rPr>
        <w:t>We enter into collaboration arrangements with pharmaceutical and biotechnology collaboration partners, under which we may grant licenses to our collaboration partners to further develop and commercialize one of our drug candidates, either alone or in combination with the collaboration partners’ compounds, or grant licenses to partners to use our technology to research and develop their own drug candidates. We may also perform research, development, manufacturing and supply activities under our collaboration agreements. Consideration under these contracts may include an upfront payment, development and regulatory milestones and other contingent payments, expense reimbursements, royalties based on net sales of approved drugs, and commercial sales milestone payments. Additionally, these contracts may provide options for the customer to purchase our proprietary PEGylation materials, drug candidates or additional contract research and development services under separate contracts.</w:t>
      </w:r>
    </w:p>
    <w:p>
      <w:pPr>
        <w:spacing w:after="0" w:line="82" w:lineRule="exact"/>
        <w:rPr>
          <w:sz w:val="20"/>
          <w:szCs w:val="20"/>
          <w:color w:val="auto"/>
        </w:rPr>
      </w:pPr>
    </w:p>
    <w:p>
      <w:pPr>
        <w:ind w:firstLine="169"/>
        <w:spacing w:after="0" w:line="275" w:lineRule="auto"/>
        <w:rPr>
          <w:sz w:val="20"/>
          <w:szCs w:val="20"/>
          <w:color w:val="auto"/>
        </w:rPr>
      </w:pPr>
      <w:r>
        <w:rPr>
          <w:rFonts w:ascii="Arial" w:cs="Arial" w:eastAsia="Arial" w:hAnsi="Arial"/>
          <w:sz w:val="16"/>
          <w:szCs w:val="16"/>
          <w:color w:val="auto"/>
        </w:rPr>
        <w:t xml:space="preserve">When we enter into collaboration agreements, we assess whether the arrangements fall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based on whether the arrangements involve joint operating activities and whether both parties have active participation in the arrangement and are exposed to significant risks and rewards of the arrangement.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(ASC 606). However, if we conclude that our collaboration partner is not a customer for certain activities and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such as for certain collaborative research, development, manufacturing and commercial activities, we present such payments as a reduction of research and development expense or general and administrative expense, based on where we present the underlying expense.</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right="120" w:firstLine="172"/>
        <w:spacing w:after="0" w:line="276" w:lineRule="auto"/>
        <w:rPr>
          <w:sz w:val="20"/>
          <w:szCs w:val="20"/>
          <w:color w:val="auto"/>
        </w:rPr>
      </w:pPr>
      <w:r>
        <w:rPr>
          <w:rFonts w:ascii="Arial" w:cs="Arial" w:eastAsia="Arial" w:hAnsi="Arial"/>
          <w:sz w:val="16"/>
          <w:szCs w:val="16"/>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For arrangements that include multiple performance obligations, such as granting a license or performing contract research and development activities or participation on joint steering or other committees, we allocate upfront and milestone payments under a relative standalone selling price method. Accordingly, we develop assumptions that require judgment to determine the standalone selling price for each performance obligation identified in the contract. These key assumptions may include revenue forecasts, clinical development timelines and costs, discount rates and probabilities of clinical and regulatory success.</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Product sales</w:t>
      </w:r>
    </w:p>
    <w:p>
      <w:pPr>
        <w:spacing w:after="0" w:line="114" w:lineRule="exact"/>
        <w:rPr>
          <w:sz w:val="20"/>
          <w:szCs w:val="20"/>
          <w:color w:val="auto"/>
        </w:rPr>
      </w:pPr>
    </w:p>
    <w:p>
      <w:pPr>
        <w:ind w:right="80" w:firstLine="172"/>
        <w:spacing w:after="0" w:line="276" w:lineRule="auto"/>
        <w:rPr>
          <w:sz w:val="20"/>
          <w:szCs w:val="20"/>
          <w:color w:val="auto"/>
        </w:rPr>
      </w:pPr>
      <w:r>
        <w:rPr>
          <w:rFonts w:ascii="Arial" w:cs="Arial" w:eastAsia="Arial" w:hAnsi="Arial"/>
          <w:sz w:val="16"/>
          <w:szCs w:val="16"/>
          <w:color w:val="auto"/>
        </w:rPr>
        <w:t>Product sales are primarily derived from manufacturing and supply agreements with our customers. We have assessed our current manufacturing and supply arrangements and have generally determined that they provide the customer an option to purchase our proprietary PEGylation materials. Accordingly, we treat each purchase order as a discrete exercise of the customer’s option (i.e. a separate contract) rather than as a component of the overall arrangement. The pricing for the manufacturing and supply is generally at a fixed price and may be subject to annual producer price index (PPI) adjustments. We invoice and recognize product sales when title and risk of loss pass to the customer, which generally occurs upon shipment. Customer payments are generally due 30 days from receipt of an invoice. We test our products for adherence to technical specifications before shipment; accordingly, we have not experienced any significant returns from our customers. We recognize costs related to shipping and handling of product to customers in cost of goods sold.</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Royalty revenue, including Non-cash royalty revenue</w:t>
      </w:r>
    </w:p>
    <w:p>
      <w:pPr>
        <w:spacing w:after="0" w:line="114" w:lineRule="exact"/>
        <w:rPr>
          <w:sz w:val="20"/>
          <w:szCs w:val="20"/>
          <w:color w:val="auto"/>
        </w:rPr>
      </w:pPr>
    </w:p>
    <w:p>
      <w:pPr>
        <w:ind w:right="20" w:firstLine="619"/>
        <w:spacing w:after="0" w:line="261" w:lineRule="auto"/>
        <w:rPr>
          <w:sz w:val="20"/>
          <w:szCs w:val="20"/>
          <w:color w:val="auto"/>
        </w:rPr>
      </w:pPr>
      <w:r>
        <w:rPr>
          <w:rFonts w:ascii="Arial" w:cs="Arial" w:eastAsia="Arial" w:hAnsi="Arial"/>
          <w:sz w:val="16"/>
          <w:szCs w:val="16"/>
          <w:color w:val="auto"/>
        </w:rPr>
        <w:t>Generally, for our collaboration arrangements that include sales-based royalties, we have granted our collaboration partner a license to our intellectual property. Pursuant to these arrangements, our collaboration partners are typically obligated to pay a royalty that is based on the net sales of their approved drugs that are sold in the countries where we have intellectual property rights covering their drugs. We have sold our rights to receive sales-based royalties for CIMZIA</w:t>
      </w:r>
      <w:r>
        <w:rPr>
          <w:rFonts w:ascii="Arial" w:cs="Arial" w:eastAsia="Arial" w:hAnsi="Arial"/>
          <w:sz w:val="10"/>
          <w:szCs w:val="10"/>
          <w:color w:val="auto"/>
        </w:rPr>
        <w:t>®</w:t>
      </w:r>
      <w:r>
        <w:rPr>
          <w:rFonts w:ascii="Arial" w:cs="Arial" w:eastAsia="Arial" w:hAnsi="Arial"/>
          <w:sz w:val="16"/>
          <w:szCs w:val="16"/>
          <w:color w:val="auto"/>
        </w:rPr>
        <w:t>, MIRCERA</w:t>
      </w:r>
      <w:r>
        <w:rPr>
          <w:rFonts w:ascii="Arial" w:cs="Arial" w:eastAsia="Arial" w:hAnsi="Arial"/>
          <w:sz w:val="10"/>
          <w:szCs w:val="10"/>
          <w:color w:val="auto"/>
        </w:rPr>
        <w:t>®</w:t>
      </w:r>
      <w:r>
        <w:rPr>
          <w:rFonts w:ascii="Arial" w:cs="Arial" w:eastAsia="Arial" w:hAnsi="Arial"/>
          <w:sz w:val="16"/>
          <w:szCs w:val="16"/>
          <w:color w:val="auto"/>
        </w:rPr>
        <w:t>, MOVANTIK</w:t>
      </w:r>
      <w:r>
        <w:rPr>
          <w:rFonts w:ascii="Arial" w:cs="Arial" w:eastAsia="Arial" w:hAnsi="Arial"/>
          <w:sz w:val="21"/>
          <w:szCs w:val="21"/>
          <w:color w:val="auto"/>
          <w:vertAlign w:val="superscript"/>
        </w:rPr>
        <w:t>®</w:t>
      </w:r>
      <w:r>
        <w:rPr>
          <w:rFonts w:ascii="Arial" w:cs="Arial" w:eastAsia="Arial" w:hAnsi="Arial"/>
          <w:sz w:val="16"/>
          <w:szCs w:val="16"/>
          <w:color w:val="auto"/>
        </w:rPr>
        <w:t>, ADYNOVATE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REBINYN</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as further described in Note 7. For collaboration arrangements that include sales-based royalties, we have concluded that the license is the predominant item to which the royalties relate, which include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commercial milestone payments based on the level of sales. Accordingly, we recognize royalty revenue when the underlying sales occur based on our best estimates of sales of the drugs. Our aggregate royalty and non-cash royalty revenue of $69.8 million, $77.7 million and $79.6 million for the years ended December 31, 2022, 2021 and 2020, respectively, represents revenue for granting licenses for which we had satisfied in prior periods. Our partners generally pay royalties or commercial milestones after the end of the calendar quarter in accordance with contractual terms. We present commercial milestone payments within license, collaboration and other revenue.</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License, collaboration and other revenue</w:t>
      </w:r>
    </w:p>
    <w:p>
      <w:pPr>
        <w:spacing w:after="0" w:line="114" w:lineRule="exact"/>
        <w:rPr>
          <w:sz w:val="20"/>
          <w:szCs w:val="20"/>
          <w:color w:val="auto"/>
        </w:rPr>
      </w:pPr>
    </w:p>
    <w:p>
      <w:pPr>
        <w:ind w:right="320" w:firstLine="172"/>
        <w:spacing w:after="0" w:line="279" w:lineRule="auto"/>
        <w:rPr>
          <w:sz w:val="20"/>
          <w:szCs w:val="20"/>
          <w:color w:val="auto"/>
        </w:rPr>
      </w:pPr>
      <w:r>
        <w:rPr>
          <w:rFonts w:ascii="Arial" w:cs="Arial" w:eastAsia="Arial" w:hAnsi="Arial"/>
          <w:sz w:val="16"/>
          <w:szCs w:val="16"/>
          <w:i w:val="1"/>
          <w:iCs w:val="1"/>
          <w:color w:val="auto"/>
        </w:rPr>
        <w:t>License Grants</w:t>
      </w:r>
      <w:r>
        <w:rPr>
          <w:rFonts w:ascii="Arial" w:cs="Arial" w:eastAsia="Arial" w:hAnsi="Arial"/>
          <w:sz w:val="16"/>
          <w:szCs w:val="16"/>
          <w:color w:val="auto"/>
        </w:rPr>
        <w:t>: For collaboration arrangements that include a grant of a license to our intellectual property, we consider whether the license grant is distinct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other performance obligations included in the arrangement. Generally, we would conclude that the license is distinct if the customer is able to benefit from the license with the resources available to it. For licenses that are distinct, we recognize revenues from nonrefundable, upfront payments and other consideration allocated to the license when the license term has begun and we have provided all necessary information regarding the underlying intellectual property to the customer, which generally occurs at or near the inception of the arrangement.</w:t>
      </w:r>
    </w:p>
    <w:p>
      <w:pPr>
        <w:spacing w:after="0" w:line="65" w:lineRule="exact"/>
        <w:rPr>
          <w:sz w:val="20"/>
          <w:szCs w:val="20"/>
          <w:color w:val="auto"/>
        </w:rPr>
      </w:pPr>
    </w:p>
    <w:p>
      <w:pPr>
        <w:ind w:firstLine="172"/>
        <w:spacing w:after="0" w:line="274"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At the inception of the arrangement and at each reporting date thereafter, we assess whether we should include any milestone payments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forms of variable consideration in the transaction price, based on whether a significant reversal of revenue previously recognized is not probable upon resolution of the uncertainty. Since milestone payments may become payable to us upon the initiation of a clinical study, filing for or receipt of regulatory approval or the first commercial sale of a product, we review the relevant facts and circumstances to determine when we should update the transaction price, which may occur before the triggering event. When we do update the transaction price for milestone payments, we allocate it on a relative standalone selling price basis and record revenue on a cumulative catch-up basis, which results in recognizing revenue for previously satisfied performance obligations in such period. As described further in Note 10, we recognized $50.0 million of milestones in the year ended December 31, 2020 because we had previously satisfied the performance obligation. If we update the transaction price before the triggering event, we recognize the increase in the transaction price as a contract asset. Our partners generally pay development milestones subsequent to achievement of the triggering event.</w:t>
      </w:r>
    </w:p>
    <w:p>
      <w:pPr>
        <w:spacing w:after="0" w:line="69" w:lineRule="exact"/>
        <w:rPr>
          <w:sz w:val="20"/>
          <w:szCs w:val="20"/>
          <w:color w:val="auto"/>
        </w:rPr>
      </w:pPr>
    </w:p>
    <w:p>
      <w:pPr>
        <w:ind w:right="100" w:firstLine="172"/>
        <w:spacing w:after="0" w:line="349" w:lineRule="auto"/>
        <w:rPr>
          <w:sz w:val="20"/>
          <w:szCs w:val="20"/>
          <w:color w:val="auto"/>
        </w:rPr>
      </w:pPr>
      <w:r>
        <w:rPr>
          <w:rFonts w:ascii="Arial" w:cs="Arial" w:eastAsia="Arial" w:hAnsi="Arial"/>
          <w:sz w:val="15"/>
          <w:szCs w:val="15"/>
          <w:i w:val="1"/>
          <w:iCs w:val="1"/>
          <w:color w:val="auto"/>
        </w:rPr>
        <w:t>Research and Development Services</w:t>
      </w:r>
      <w:r>
        <w:rPr>
          <w:rFonts w:ascii="Arial" w:cs="Arial" w:eastAsia="Arial" w:hAnsi="Arial"/>
          <w:sz w:val="15"/>
          <w:szCs w:val="15"/>
          <w:color w:val="auto"/>
        </w:rPr>
        <w:t>: For amounts allocated to our research and development obligations in a collaboration arrangement, we recognize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over time using a proportional performance model, representing the transfer of goods or services as we perform activities over the term of the agreement.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14" w:lineRule="exact"/>
        <w:rPr>
          <w:sz w:val="20"/>
          <w:szCs w:val="20"/>
          <w:color w:val="auto"/>
        </w:rPr>
      </w:pPr>
    </w:p>
    <w:p>
      <w:pPr>
        <w:ind w:firstLine="172"/>
        <w:spacing w:after="0" w:line="302" w:lineRule="auto"/>
        <w:rPr>
          <w:sz w:val="20"/>
          <w:szCs w:val="20"/>
          <w:color w:val="auto"/>
        </w:rPr>
      </w:pPr>
      <w:r>
        <w:rPr>
          <w:rFonts w:ascii="Arial" w:cs="Arial" w:eastAsia="Arial" w:hAnsi="Arial"/>
          <w:sz w:val="15"/>
          <w:szCs w:val="15"/>
          <w:color w:val="auto"/>
        </w:rPr>
        <w:t>Research and development costs are expensed as incurred and include salaries, benefits and other operating costs such as outside services, supplies and allocated overhead costs. We perform research and development activities for our drug candidates and technology development and for certain third parties under collaboration agreements. For our drug candidates and our internal technology development programs, we invest our own funds without reimbursement from a third party. Where we perform research and development activities under a joint development collaboration, such as our collaboration with BMS, we record the cost reimbursement from our partner as a reduction to research and development expense when reimbursement amounts are due to us under the agreement.</w:t>
      </w:r>
    </w:p>
    <w:p>
      <w:pPr>
        <w:spacing w:after="0" w:line="152" w:lineRule="exact"/>
        <w:rPr>
          <w:sz w:val="20"/>
          <w:szCs w:val="20"/>
          <w:color w:val="auto"/>
        </w:rPr>
      </w:pPr>
    </w:p>
    <w:p>
      <w:pPr>
        <w:ind w:right="20" w:firstLine="169"/>
        <w:spacing w:after="0" w:line="257" w:lineRule="auto"/>
        <w:rPr>
          <w:sz w:val="20"/>
          <w:szCs w:val="20"/>
          <w:color w:val="auto"/>
        </w:rPr>
      </w:pPr>
      <w:r>
        <w:rPr>
          <w:rFonts w:ascii="Arial" w:cs="Arial" w:eastAsia="Arial" w:hAnsi="Arial"/>
          <w:sz w:val="17"/>
          <w:szCs w:val="17"/>
          <w:color w:val="auto"/>
        </w:rPr>
        <w:t>We record an accrued expense for the estimated unbilled costs of our clinical study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 party vendors, including our contract research organizations. We may also accrue expenses based on the total estimated cost of the treatment phase on a per patient basis and expense the per patient cost ratably over the estimated patient treatment period. In specific circumstances, such as for certain time-based costs, we recognize clinical trial expenses ratably over the service period, as we believe that this methodology may be more reflective of the timing of costs incurred.</w:t>
      </w:r>
    </w:p>
    <w:p>
      <w:pPr>
        <w:spacing w:after="0" w:line="182" w:lineRule="exact"/>
        <w:rPr>
          <w:sz w:val="20"/>
          <w:szCs w:val="20"/>
          <w:color w:val="auto"/>
        </w:rPr>
      </w:pPr>
    </w:p>
    <w:p>
      <w:pPr>
        <w:ind w:firstLine="169"/>
        <w:spacing w:after="0" w:line="279" w:lineRule="auto"/>
        <w:rPr>
          <w:sz w:val="20"/>
          <w:szCs w:val="20"/>
          <w:color w:val="auto"/>
        </w:rPr>
      </w:pPr>
      <w:r>
        <w:rPr>
          <w:rFonts w:ascii="Arial" w:cs="Arial" w:eastAsia="Arial" w:hAnsi="Arial"/>
          <w:sz w:val="16"/>
          <w:szCs w:val="16"/>
          <w:color w:val="auto"/>
        </w:rPr>
        <w:t>We record an accrued expense for the estimated costs of our contract manufacturing activities performed by third parties. The financial terms of these agreements are subject to negotiation, vary from contract to contract and may result in uneven payment flows to our vendors. Payments under the contracts include upfront payments and milestone payments, which depend on factors such as the achievement of the completion of certain stages of the manufacturing process. For purposes of recognizing expense, we assess whether we consider the production process to be sufficiently defined such that the resulting product can be considered the delivery of a good, as evidenced by predictive or contractually required yields in the production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process or payment terms based on the actual yield, or the delivery of a service, where processes and yields are developing and less certain. If we consider the process to be the delivery of a good, we recognize expense when the drug product is delivered, or we otherwise bear risk of loss. If we consider the process to be the delivery of a service, we recognize expense based on our best estimates of the contract manufacturer’s progress towards completion of the stages in the contracts. We recognize and amortize upfront payments and accrue liabilities based on the specific terms of each arrangement. Certain arrangements may provide upfront payments for certain stages of the arrangement and milestone payments for the completion of certain stages, and, accordingly, we may record advance payments for services that have not been completed or goods not delivered and liabilities for stages where the contract manufacturer is entitled to a milestone payment.</w:t>
      </w:r>
    </w:p>
    <w:p>
      <w:pPr>
        <w:spacing w:after="0" w:line="185" w:lineRule="exact"/>
        <w:rPr>
          <w:sz w:val="20"/>
          <w:szCs w:val="20"/>
          <w:color w:val="auto"/>
        </w:rPr>
      </w:pPr>
    </w:p>
    <w:p>
      <w:pPr>
        <w:ind w:right="120" w:firstLine="169"/>
        <w:spacing w:after="0" w:line="279" w:lineRule="auto"/>
        <w:rPr>
          <w:sz w:val="20"/>
          <w:szCs w:val="20"/>
          <w:color w:val="auto"/>
        </w:rPr>
      </w:pPr>
      <w:r>
        <w:rPr>
          <w:rFonts w:ascii="Arial" w:cs="Arial" w:eastAsia="Arial" w:hAnsi="Arial"/>
          <w:sz w:val="16"/>
          <w:szCs w:val="16"/>
          <w:color w:val="auto"/>
        </w:rPr>
        <w:t>We capitalize advance payments for goods or services that will be used or rendered for future research and development activities and recognize expense as the related goods are delivered or services performed. We base our estimates on the best information available at the time. However, additional information may become available to us in the future which may allow us to make a more accurate estimate in future periods. In this event, we may be required to record adjustments to research and development expenses in future periods when the actual level of activity becomes more certain. We generally consider such increases or decreases in cost as changes in estimates and reflect them in research and development expenses in the period identified.</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Restructuring, Impairment and Other Costs for Terminated Program</w:t>
      </w:r>
    </w:p>
    <w:p>
      <w:pPr>
        <w:spacing w:after="0" w:line="114" w:lineRule="exact"/>
        <w:rPr>
          <w:sz w:val="20"/>
          <w:szCs w:val="20"/>
          <w:color w:val="auto"/>
        </w:rPr>
      </w:pPr>
    </w:p>
    <w:p>
      <w:pPr>
        <w:ind w:right="160" w:firstLine="541"/>
        <w:spacing w:after="0" w:line="279" w:lineRule="auto"/>
        <w:rPr>
          <w:sz w:val="20"/>
          <w:szCs w:val="20"/>
          <w:color w:val="auto"/>
        </w:rPr>
      </w:pPr>
      <w:r>
        <w:rPr>
          <w:rFonts w:ascii="Arial" w:cs="Arial" w:eastAsia="Arial" w:hAnsi="Arial"/>
          <w:sz w:val="17"/>
          <w:szCs w:val="17"/>
          <w:color w:val="auto"/>
        </w:rPr>
        <w:t>Amounts recorded as restructuring, impairment and other costs for terminated program for the year ended December 31, 2022 relate to the termination of the bempegaldesleukin program and the 2022 Restructuring Plan. See Note 11 for additional information.</w:t>
      </w:r>
    </w:p>
    <w:p>
      <w:pPr>
        <w:spacing w:after="0" w:line="61" w:lineRule="exact"/>
        <w:rPr>
          <w:sz w:val="20"/>
          <w:szCs w:val="20"/>
          <w:color w:val="auto"/>
        </w:rPr>
      </w:pPr>
    </w:p>
    <w:p>
      <w:pPr>
        <w:ind w:right="140" w:firstLine="541"/>
        <w:spacing w:after="0" w:line="279" w:lineRule="auto"/>
        <w:rPr>
          <w:sz w:val="20"/>
          <w:szCs w:val="20"/>
          <w:color w:val="auto"/>
        </w:rPr>
      </w:pPr>
      <w:r>
        <w:rPr>
          <w:rFonts w:ascii="Arial" w:cs="Arial" w:eastAsia="Arial" w:hAnsi="Arial"/>
          <w:sz w:val="16"/>
          <w:szCs w:val="16"/>
          <w:color w:val="auto"/>
        </w:rPr>
        <w:t>Amounts recorded as restructuring, impairment and other costs for terminated program for the year ended December 31, 2020 relate to the termination of the NKTR-181 program. On January 14, 2020, the joint FDA Anesthetic Drug Products Advisory Committee and Drug Safety and Risk Management Committee did not recommend approval of our NDA for NKTR-181. As a result, we withdrew our NDA and wound down Inheris and the NKTR-181 program. As a result, we wrote off $45.2 million, including $19.7 million of advance payments to contract manufacturers for commercial batches of NKTR-181 and $25.5 million of additional costs, primarily for non-cancellable commitments to our contract manufacturers and certain severance costs.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jc w:val="both"/>
        <w:ind w:right="580" w:firstLine="172"/>
        <w:spacing w:after="0" w:line="266" w:lineRule="auto"/>
        <w:rPr>
          <w:sz w:val="20"/>
          <w:szCs w:val="20"/>
          <w:color w:val="auto"/>
        </w:rPr>
      </w:pPr>
      <w:r>
        <w:rPr>
          <w:rFonts w:ascii="Arial" w:cs="Arial" w:eastAsia="Arial" w:hAnsi="Arial"/>
          <w:sz w:val="17"/>
          <w:szCs w:val="17"/>
          <w:color w:val="auto"/>
        </w:rPr>
        <w:t>Stock-based compensation arrangements include grants of stock options, restricted stock units (RSUs), performance stock units (PSUs) under our equity incentive plans, as well as shares issued under our Employee Stock Purchase Plan (ESPP), through which employees may purchase our common stock at a discount to the market price.</w:t>
      </w:r>
    </w:p>
    <w:p>
      <w:pPr>
        <w:spacing w:after="0" w:line="175" w:lineRule="exact"/>
        <w:rPr>
          <w:sz w:val="20"/>
          <w:szCs w:val="20"/>
          <w:color w:val="auto"/>
        </w:rPr>
      </w:pPr>
    </w:p>
    <w:p>
      <w:pPr>
        <w:ind w:right="40" w:firstLine="169"/>
        <w:spacing w:after="0" w:line="275" w:lineRule="auto"/>
        <w:rPr>
          <w:sz w:val="20"/>
          <w:szCs w:val="20"/>
          <w:color w:val="auto"/>
        </w:rPr>
      </w:pPr>
      <w:r>
        <w:rPr>
          <w:rFonts w:ascii="Arial" w:cs="Arial" w:eastAsia="Arial" w:hAnsi="Arial"/>
          <w:sz w:val="16"/>
          <w:szCs w:val="16"/>
          <w:color w:val="auto"/>
        </w:rPr>
        <w:t>We expense the grant date fair value of options, RSUs, PSUs and ESPP shares on a straight-line basis over the requisite service periods in our Consolidated Statements of Operations and recognize forfeitures of options, RSUs and PSUs as they occur. For options and RSUs that vest upon the achievement of performance milestones, we recognize expense provided that we believe that the performance milestones are probable of achievement, and we estimate the vesting period based on our evaluation of the estimated date of achievement of these milestones. For PSUs, we recognize expense based on the grant date fair value regardless of whether the market condition is met. Additionally, we do not adjust the expense based on the number of shares ultimately issued, which may be higher or lower than the grant amount. We report expense amounts in cost of goods sold, research and development expense, and general and administrative expense based on the function of the applicable employee. Stock-based compensation charges are non-cash charges and have no effect on our reported cash flows. We estimate the grant date fair value of our stock-based compensation awards as follows:</w:t>
      </w:r>
    </w:p>
    <w:p>
      <w:pPr>
        <w:spacing w:after="0" w:line="170" w:lineRule="exact"/>
        <w:rPr>
          <w:sz w:val="20"/>
          <w:szCs w:val="20"/>
          <w:color w:val="auto"/>
        </w:rPr>
      </w:pPr>
    </w:p>
    <w:p>
      <w:pPr>
        <w:ind w:left="620" w:hanging="307"/>
        <w:spacing w:after="0" w:line="262"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use the Black-Scholes option pricing model for the respective grant to determine the estimated fair value of the option on the date of grant (grant date fair value) and the estimated fair value of common stock purchased under the ESPP. The Black-Scholes option pricing model requires the input of highly subjective assumptions, including but not limited to, our stock price volatility over the term of the awards, and actual and projected employee stock option exercise behaviors.</w:t>
      </w:r>
    </w:p>
    <w:p>
      <w:pPr>
        <w:spacing w:after="0" w:line="177" w:lineRule="exact"/>
        <w:rPr>
          <w:rFonts w:ascii="Arial" w:cs="Arial" w:eastAsia="Arial" w:hAnsi="Arial"/>
          <w:sz w:val="17"/>
          <w:szCs w:val="17"/>
          <w:color w:val="auto"/>
        </w:rPr>
      </w:pPr>
    </w:p>
    <w:p>
      <w:pPr>
        <w:ind w:left="620" w:right="200" w:hanging="307"/>
        <w:spacing w:after="0" w:line="262"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number of shares issuable under PSUs is based on our total shareholder return as compared to other companies within the Nasdaq biotechnology index over the measurement period and may be capped based on our absolute total shareholder return over such period. We use the Monte Carlo simulation model to determine the estimated grant date fair value. The Monte Carlo simulation model incorporates assumptions such as the volatility of our stock,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volatility of the stock of other peer companies within the index, and the correlation of both our stock and our peer companies’ stock to the index.</w:t>
      </w:r>
    </w:p>
    <w:p>
      <w:pPr>
        <w:spacing w:after="0" w:line="217"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fair value of an RSU is equal to the closing price of our common stock on the grant date.</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right="200" w:firstLine="169"/>
        <w:spacing w:after="0" w:line="258" w:lineRule="auto"/>
        <w:rPr>
          <w:sz w:val="20"/>
          <w:szCs w:val="20"/>
          <w:color w:val="auto"/>
        </w:rPr>
      </w:pPr>
      <w:r>
        <w:rPr>
          <w:rFonts w:ascii="Arial" w:cs="Arial" w:eastAsia="Arial" w:hAnsi="Arial"/>
          <w:sz w:val="17"/>
          <w:szCs w:val="17"/>
          <w:color w:val="auto"/>
        </w:rPr>
        <w:t>We account for income taxes under the liability method. Under this method, we determine deferred tax assets and liabilities based on differences between the financial reporting and tax reporting bases of assets and liabilities, measured using enacted tax rates and laws that we expect to be in effect when we expect the differences to reverse. Realization of deferred tax assets is dependent upon future earnings, the timing and amount of which are uncertain. We record a valuation allowance against deferred tax assets to reduce their carrying value to an amount that is more likely than not to be realized. When we establish or reduce the valuation allowance related to the deferred tax assets, our provision for income taxes will increase or decrease, respectively, in the period we make such determination.</w:t>
      </w:r>
    </w:p>
    <w:p>
      <w:pPr>
        <w:spacing w:after="0" w:line="183" w:lineRule="exact"/>
        <w:rPr>
          <w:sz w:val="20"/>
          <w:szCs w:val="20"/>
          <w:color w:val="auto"/>
        </w:rPr>
      </w:pPr>
    </w:p>
    <w:p>
      <w:pPr>
        <w:ind w:right="20" w:firstLine="169"/>
        <w:spacing w:after="0" w:line="262" w:lineRule="auto"/>
        <w:rPr>
          <w:sz w:val="20"/>
          <w:szCs w:val="20"/>
          <w:color w:val="auto"/>
        </w:rPr>
      </w:pPr>
      <w:r>
        <w:rPr>
          <w:rFonts w:ascii="Arial" w:cs="Arial" w:eastAsia="Arial" w:hAnsi="Arial"/>
          <w:sz w:val="17"/>
          <w:szCs w:val="17"/>
          <w:color w:val="auto"/>
        </w:rPr>
        <w:t>We utilize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of benefit, determined on a cumulative probability basis, that is more than 50% likely of being realized upon ultimate settlement.</w:t>
      </w:r>
    </w:p>
    <w:p>
      <w:pPr>
        <w:spacing w:after="0" w:line="178"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For the years ended December 31, 2022, 2021 and 2020, our income tax provision primarily relates to our Nektar India subsidiary. As a result of the 2022 Restructuring Plan and our intent to wind down our foreign subsidiaries, we have recorded a provision for the repatriation of accumulated earnings and profits from India. See Note 13 for additional information.</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14" w:lineRule="exact"/>
        <w:rPr>
          <w:sz w:val="20"/>
          <w:szCs w:val="20"/>
          <w:color w:val="auto"/>
        </w:rPr>
      </w:pPr>
    </w:p>
    <w:p>
      <w:pPr>
        <w:ind w:right="60" w:firstLine="172"/>
        <w:spacing w:after="0" w:line="279" w:lineRule="auto"/>
        <w:rPr>
          <w:sz w:val="20"/>
          <w:szCs w:val="20"/>
          <w:color w:val="auto"/>
        </w:rPr>
      </w:pPr>
      <w:r>
        <w:rPr>
          <w:rFonts w:ascii="Arial" w:cs="Arial" w:eastAsia="Arial" w:hAnsi="Arial"/>
          <w:sz w:val="16"/>
          <w:szCs w:val="16"/>
          <w:color w:val="auto"/>
        </w:rPr>
        <w:t>For all periods presented in the Consolidated Statements of Operations, the net loss available to common stockholders is equal to the reported net loss. We calculate basic net loss per share based on the weighted-average number of common shares outstanding during the periods presented. For the years ended December 31, 2022, 2021 and 2020, basic and diluted net loss per share are the same due to our net losses and the requirement to exclude potentially dilutive securities which would have an antidilutive effect on net loss per share. We excluded shares underlying the weighted average outstanding stock options, RSUs and PSUs, which totaled 21.2 million, 18.4 million and 17.4 million for the years ended December 31, 2022, 2021 and 2020, respectively.</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14" w:lineRule="exact"/>
        <w:rPr>
          <w:sz w:val="20"/>
          <w:szCs w:val="20"/>
          <w:color w:val="auto"/>
        </w:rPr>
      </w:pPr>
    </w:p>
    <w:p>
      <w:pPr>
        <w:jc w:val="both"/>
        <w:ind w:right="160" w:firstLine="172"/>
        <w:spacing w:after="0" w:line="290" w:lineRule="auto"/>
        <w:rPr>
          <w:sz w:val="20"/>
          <w:szCs w:val="20"/>
          <w:color w:val="auto"/>
        </w:rPr>
      </w:pPr>
      <w:r>
        <w:rPr>
          <w:rFonts w:ascii="Arial" w:cs="Arial" w:eastAsia="Arial" w:hAnsi="Arial"/>
          <w:sz w:val="16"/>
          <w:szCs w:val="16"/>
          <w:color w:val="auto"/>
        </w:rPr>
        <w:t>Comprehensive loss is the change in stockholders’ equity from transactions and other events and circumstances other than those resulting from investments by stockholders and distributions to stockholders. Our comprehensive loss includes our net loss, gains and losses from the foreign currency translation of the assets and liabilities of our foreign subsidiaries, and unrealized gains and losses on investments in available-for-sale securities.</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4" w:lineRule="exact"/>
        <w:rPr>
          <w:sz w:val="20"/>
          <w:szCs w:val="20"/>
          <w:color w:val="auto"/>
        </w:rPr>
      </w:pPr>
    </w:p>
    <w:p>
      <w:pPr>
        <w:ind w:right="540" w:firstLine="541"/>
        <w:spacing w:after="0" w:line="279" w:lineRule="auto"/>
        <w:rPr>
          <w:sz w:val="20"/>
          <w:szCs w:val="20"/>
          <w:color w:val="auto"/>
        </w:rPr>
      </w:pPr>
      <w:r>
        <w:rPr>
          <w:rFonts w:ascii="Arial" w:cs="Arial" w:eastAsia="Arial" w:hAnsi="Arial"/>
          <w:sz w:val="17"/>
          <w:szCs w:val="17"/>
          <w:color w:val="auto"/>
        </w:rPr>
        <w:t>We have reviewed recent accounting pronouncements and concluded they are either not applicable to us or that we do not expect adoption to have a material effect on our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Cash and Investments in Marketable Securities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and investments in marketable securities, including cash equivalents,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Estimated Fair Value at</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6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ind w:left="80"/>
              <w:spacing w:after="0" w:line="125"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0"/>
                <w:szCs w:val="10"/>
                <w:color w:val="auto"/>
              </w:rPr>
            </w:pPr>
          </w:p>
        </w:tc>
        <w:tc>
          <w:tcPr>
            <w:tcW w:w="1140" w:type="dxa"/>
            <w:vAlign w:val="bottom"/>
          </w:tcPr>
          <w:p>
            <w:pPr>
              <w:jc w:val="right"/>
              <w:ind w:right="180"/>
              <w:spacing w:after="0" w:line="12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4"/>
        </w:trPr>
        <w:tc>
          <w:tcPr>
            <w:tcW w:w="4640" w:type="dxa"/>
            <w:vAlign w:val="bottom"/>
            <w:tcBorders>
              <w:bottom w:val="single" w:sz="8" w:color="CFF0FC"/>
            </w:tcBorders>
          </w:tcPr>
          <w:p>
            <w:pPr>
              <w:spacing w:after="0"/>
              <w:rPr>
                <w:sz w:val="16"/>
                <w:szCs w:val="16"/>
                <w:color w:val="auto"/>
              </w:rPr>
            </w:pPr>
          </w:p>
        </w:tc>
        <w:tc>
          <w:tcPr>
            <w:tcW w:w="38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4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and cash equivalents</w:t>
            </w:r>
          </w:p>
        </w:tc>
        <w:tc>
          <w:tcPr>
            <w:tcW w:w="4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88,227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25,218</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416,750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708,737</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Long-term investments</w:t>
            </w:r>
          </w:p>
        </w:tc>
        <w:tc>
          <w:tcPr>
            <w:tcW w:w="3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64,828</w:t>
            </w: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Arial" w:cs="Arial" w:eastAsia="Arial" w:hAnsi="Arial"/>
                <w:sz w:val="17"/>
                <w:szCs w:val="17"/>
                <w:color w:val="auto"/>
              </w:rPr>
              <w:t>Total cash and investments in marketable securities</w:t>
            </w:r>
          </w:p>
        </w:tc>
        <w:tc>
          <w:tcPr>
            <w:tcW w:w="4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504,977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798,783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840" w:type="dxa"/>
            <w:vAlign w:val="bottom"/>
            <w:vMerge w:val="restart"/>
          </w:tcPr>
          <w:p>
            <w:pPr>
              <w:jc w:val="right"/>
              <w:ind w:right="2694"/>
              <w:spacing w:after="0"/>
              <w:rPr>
                <w:sz w:val="20"/>
                <w:szCs w:val="20"/>
                <w:color w:val="auto"/>
              </w:rPr>
            </w:pPr>
            <w:r>
              <w:rPr>
                <w:rFonts w:ascii="Arial" w:cs="Arial" w:eastAsia="Arial" w:hAnsi="Arial"/>
                <w:sz w:val="17"/>
                <w:szCs w:val="17"/>
                <w:color w:val="auto"/>
              </w:rPr>
              <w:t>74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6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firstLine="169"/>
        <w:spacing w:after="0" w:line="266" w:lineRule="auto"/>
        <w:rPr>
          <w:sz w:val="20"/>
          <w:szCs w:val="20"/>
          <w:color w:val="auto"/>
        </w:rPr>
      </w:pPr>
      <w:r>
        <w:rPr>
          <w:rFonts w:ascii="Arial" w:cs="Arial" w:eastAsia="Arial" w:hAnsi="Arial"/>
          <w:sz w:val="17"/>
          <w:szCs w:val="17"/>
          <w:color w:val="auto"/>
        </w:rPr>
        <w:t>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 All of our long-term investments as of December 31, 2021 had maturities between one and two years.</w:t>
      </w:r>
    </w:p>
    <w:p>
      <w:pPr>
        <w:spacing w:after="0" w:line="175" w:lineRule="exact"/>
        <w:rPr>
          <w:sz w:val="20"/>
          <w:szCs w:val="20"/>
          <w:color w:val="auto"/>
        </w:rPr>
      </w:pPr>
    </w:p>
    <w:p>
      <w:pPr>
        <w:ind w:right="80" w:firstLine="172"/>
        <w:spacing w:after="0" w:line="312" w:lineRule="auto"/>
        <w:rPr>
          <w:sz w:val="20"/>
          <w:szCs w:val="20"/>
          <w:color w:val="auto"/>
        </w:rPr>
      </w:pPr>
      <w:r>
        <w:rPr>
          <w:rFonts w:ascii="Arial" w:cs="Arial" w:eastAsia="Arial" w:hAnsi="Arial"/>
          <w:sz w:val="16"/>
          <w:szCs w:val="16"/>
          <w:color w:val="auto"/>
        </w:rPr>
        <w:t>During the year ended December 31, 2022 we sold no available-for-sale securities. During the years ended December 31, 2021 and 2020, we sold available-for-sale securities totaling $11.5 million and $41.7 million, respectively. Gross realized gains and losses on those sales were not significant.</w:t>
      </w:r>
    </w:p>
    <w:p>
      <w:pPr>
        <w:spacing w:after="0" w:line="102" w:lineRule="exact"/>
        <w:rPr>
          <w:sz w:val="20"/>
          <w:szCs w:val="20"/>
          <w:color w:val="auto"/>
        </w:rPr>
      </w:pPr>
    </w:p>
    <w:p>
      <w:pPr>
        <w:ind w:right="40" w:firstLine="541"/>
        <w:spacing w:after="0" w:line="279" w:lineRule="auto"/>
        <w:rPr>
          <w:sz w:val="20"/>
          <w:szCs w:val="20"/>
          <w:color w:val="auto"/>
        </w:rPr>
      </w:pPr>
      <w:r>
        <w:rPr>
          <w:rFonts w:ascii="Arial" w:cs="Arial" w:eastAsia="Arial" w:hAnsi="Arial"/>
          <w:sz w:val="17"/>
          <w:szCs w:val="17"/>
          <w:color w:val="auto"/>
        </w:rPr>
        <w:t>We report our accrued interest receivable, which totaled $0.7 million and $1.4 million at December 31, 2022 and December 31, 2021, respectively, in other current assets on our Consolidated Balance Sheets.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portfolio of cash and investments in marketable securities includes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8"/>
              <w:spacing w:after="0"/>
              <w:rPr>
                <w:sz w:val="20"/>
                <w:szCs w:val="20"/>
                <w:color w:val="auto"/>
              </w:rPr>
            </w:pPr>
            <w:r>
              <w:rPr>
                <w:rFonts w:ascii="Arial" w:cs="Arial" w:eastAsia="Arial" w:hAnsi="Arial"/>
                <w:sz w:val="14"/>
                <w:szCs w:val="14"/>
                <w:b w:val="1"/>
                <w:bCs w:val="1"/>
                <w:color w:val="auto"/>
                <w:w w:val="85"/>
              </w:rPr>
              <w:t>December 31, 2021</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9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Gross Unrealized</w:t>
            </w: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Gross Unrealized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2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Hierarchy</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vMerge w:val="restart"/>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39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 and bonds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278,121</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Corporate commercial paper</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345,125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344,204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478,629</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of U.S. government agencies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5,875</w:t>
            </w:r>
          </w:p>
        </w:tc>
        <w:tc>
          <w:tcPr>
            <w:tcW w:w="0" w:type="dxa"/>
            <w:vAlign w:val="bottom"/>
          </w:tcPr>
          <w:p>
            <w:pPr>
              <w:spacing w:after="0"/>
              <w:rPr>
                <w:sz w:val="1"/>
                <w:szCs w:val="1"/>
                <w:color w:val="auto"/>
              </w:rPr>
            </w:pPr>
          </w:p>
        </w:tc>
      </w:tr>
      <w:tr>
        <w:trPr>
          <w:trHeight w:val="211"/>
        </w:trPr>
        <w:tc>
          <w:tcPr>
            <w:tcW w:w="3980" w:type="dxa"/>
            <w:vAlign w:val="bottom"/>
          </w:tcPr>
          <w:p>
            <w:pPr>
              <w:ind w:left="140"/>
              <w:spacing w:after="0"/>
              <w:rPr>
                <w:sz w:val="20"/>
                <w:szCs w:val="20"/>
                <w:color w:val="auto"/>
              </w:rPr>
            </w:pPr>
            <w:r>
              <w:rPr>
                <w:rFonts w:ascii="Arial" w:cs="Arial" w:eastAsia="Arial" w:hAnsi="Arial"/>
                <w:sz w:val="17"/>
                <w:szCs w:val="17"/>
                <w:color w:val="auto"/>
              </w:rPr>
              <w:t>Available-for-sale investments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429,502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427,726</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762,625</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23,968</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Certificates of deposit</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21,399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10,940</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8"/>
              </w:rPr>
              <w:t>N/A</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3"/>
        </w:trPr>
        <w:tc>
          <w:tcPr>
            <w:tcW w:w="3980" w:type="dxa"/>
            <w:vAlign w:val="bottom"/>
          </w:tcPr>
          <w:p>
            <w:pPr>
              <w:ind w:left="140"/>
              <w:spacing w:after="0"/>
              <w:rPr>
                <w:sz w:val="20"/>
                <w:szCs w:val="20"/>
                <w:color w:val="auto"/>
              </w:rPr>
            </w:pPr>
            <w:r>
              <w:rPr>
                <w:rFonts w:ascii="Arial" w:cs="Arial" w:eastAsia="Arial" w:hAnsi="Arial"/>
                <w:sz w:val="17"/>
                <w:szCs w:val="17"/>
                <w:color w:val="auto"/>
                <w:w w:val="97"/>
              </w:rPr>
              <w:t>Total cash and investments in marketable securities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504,977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798,783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40" w:firstLine="162"/>
        <w:spacing w:after="0" w:line="266" w:lineRule="auto"/>
        <w:rPr>
          <w:sz w:val="20"/>
          <w:szCs w:val="20"/>
          <w:color w:val="auto"/>
        </w:rPr>
      </w:pPr>
      <w:r>
        <w:rPr>
          <w:rFonts w:ascii="Arial" w:cs="Arial" w:eastAsia="Arial" w:hAnsi="Arial"/>
          <w:sz w:val="17"/>
          <w:szCs w:val="17"/>
          <w:color w:val="auto"/>
        </w:rPr>
        <w:t>At December 31, 2021, our gross unrealized losses totaled $0.7 million. Our gross unrealized gains were not significant. As of December 31, 2022 and 2021, we assessed our marketable securities with unrealized losses and concluded that the losses were not attributable to credit. Accordingly, we have not recorded an allowance for credit losses for these securities.</w:t>
      </w:r>
    </w:p>
    <w:p>
      <w:pPr>
        <w:spacing w:after="0" w:line="175"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At both December 31, 2022 and 2021, we had letter of credit arrangements in favor of our landlords and certain vendors totaling $7.5 million and $8.1 million, respectively. These letters of credit are secured by investments of similar amounts.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Inventory</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Inventory consists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r>
      <w:tr>
        <w:trPr>
          <w:trHeight w:val="24"/>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84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9,342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3,293</w:t>
            </w:r>
          </w:p>
        </w:tc>
      </w:tr>
      <w:tr>
        <w:trPr>
          <w:trHeight w:val="213"/>
        </w:trPr>
        <w:tc>
          <w:tcPr>
            <w:tcW w:w="8480" w:type="dxa"/>
            <w:vAlign w:val="bottom"/>
          </w:tcPr>
          <w:p>
            <w:pPr>
              <w:ind w:left="220"/>
              <w:spacing w:after="0"/>
              <w:rPr>
                <w:sz w:val="20"/>
                <w:szCs w:val="20"/>
                <w:color w:val="auto"/>
              </w:rPr>
            </w:pPr>
            <w:r>
              <w:rPr>
                <w:rFonts w:ascii="Arial" w:cs="Arial" w:eastAsia="Arial" w:hAnsi="Arial"/>
                <w:sz w:val="17"/>
                <w:szCs w:val="17"/>
                <w:color w:val="auto"/>
              </w:rPr>
              <w:t>Total inventory</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19,202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15,801</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Property, Plant and Equipment</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Property, plant and equipment consists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r>
      <w:tr>
        <w:trPr>
          <w:trHeight w:val="24"/>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84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19"/>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Building and leasehold improvements</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74,889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97,385</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42,704</w:t>
            </w: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Computer equipment and software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26,205</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28,829</w:t>
            </w:r>
          </w:p>
        </w:tc>
      </w:tr>
      <w:tr>
        <w:trPr>
          <w:trHeight w:val="218"/>
        </w:trPr>
        <w:tc>
          <w:tcPr>
            <w:tcW w:w="8480" w:type="dxa"/>
            <w:vAlign w:val="bottom"/>
          </w:tcPr>
          <w:p>
            <w:pPr>
              <w:ind w:left="20"/>
              <w:spacing w:after="0"/>
              <w:rPr>
                <w:sz w:val="20"/>
                <w:szCs w:val="20"/>
                <w:color w:val="auto"/>
              </w:rPr>
            </w:pPr>
            <w:r>
              <w:rPr>
                <w:rFonts w:ascii="Arial" w:cs="Arial" w:eastAsia="Arial" w:hAnsi="Arial"/>
                <w:sz w:val="17"/>
                <w:szCs w:val="17"/>
                <w:color w:val="auto"/>
              </w:rPr>
              <w:t>Manufacturing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25,052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22,374</w:t>
            </w: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Furniture, fixtures, and other</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4,263</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10,094</w:t>
            </w:r>
          </w:p>
        </w:tc>
      </w:tr>
      <w:tr>
        <w:trPr>
          <w:trHeight w:val="211"/>
        </w:trPr>
        <w:tc>
          <w:tcPr>
            <w:tcW w:w="8480" w:type="dxa"/>
            <w:vAlign w:val="bottom"/>
          </w:tcPr>
          <w:p>
            <w:pPr>
              <w:ind w:left="220"/>
              <w:spacing w:after="0"/>
              <w:rPr>
                <w:sz w:val="20"/>
                <w:szCs w:val="20"/>
                <w:color w:val="auto"/>
              </w:rPr>
            </w:pPr>
            <w:r>
              <w:rPr>
                <w:rFonts w:ascii="Arial" w:cs="Arial" w:eastAsia="Arial" w:hAnsi="Arial"/>
                <w:sz w:val="17"/>
                <w:szCs w:val="17"/>
                <w:color w:val="auto"/>
              </w:rPr>
              <w:t>Depreciable property, plant and equipment at cost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154,652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201,386</w:t>
            </w:r>
          </w:p>
        </w:tc>
      </w:tr>
      <w:tr>
        <w:trPr>
          <w:trHeight w:val="220"/>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(124,731)</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(148,039)</w:t>
            </w:r>
          </w:p>
        </w:tc>
      </w:tr>
      <w:tr>
        <w:trPr>
          <w:trHeight w:val="211"/>
        </w:trPr>
        <w:tc>
          <w:tcPr>
            <w:tcW w:w="8480" w:type="dxa"/>
            <w:vAlign w:val="bottom"/>
          </w:tcPr>
          <w:p>
            <w:pPr>
              <w:ind w:left="220"/>
              <w:spacing w:after="0"/>
              <w:rPr>
                <w:sz w:val="20"/>
                <w:szCs w:val="20"/>
                <w:color w:val="auto"/>
              </w:rPr>
            </w:pPr>
            <w:r>
              <w:rPr>
                <w:rFonts w:ascii="Arial" w:cs="Arial" w:eastAsia="Arial" w:hAnsi="Arial"/>
                <w:sz w:val="17"/>
                <w:szCs w:val="17"/>
                <w:color w:val="auto"/>
              </w:rPr>
              <w:t>Depreciable property, plant and equipment,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29,921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53,347</w:t>
            </w:r>
          </w:p>
        </w:tc>
      </w:tr>
      <w:tr>
        <w:trPr>
          <w:trHeight w:val="219"/>
        </w:trPr>
        <w:tc>
          <w:tcPr>
            <w:tcW w:w="84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Construction-in-progress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2,530</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7,163</w:t>
            </w:r>
          </w:p>
        </w:tc>
      </w:tr>
      <w:tr>
        <w:trPr>
          <w:trHeight w:val="213"/>
        </w:trPr>
        <w:tc>
          <w:tcPr>
            <w:tcW w:w="8480" w:type="dxa"/>
            <w:vAlign w:val="bottom"/>
          </w:tcPr>
          <w:p>
            <w:pPr>
              <w:ind w:left="44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32,451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60,510</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20" w:firstLine="172"/>
        <w:spacing w:after="0" w:line="279" w:lineRule="auto"/>
        <w:rPr>
          <w:sz w:val="20"/>
          <w:szCs w:val="20"/>
          <w:color w:val="auto"/>
        </w:rPr>
      </w:pPr>
      <w:r>
        <w:rPr>
          <w:rFonts w:ascii="Arial" w:cs="Arial" w:eastAsia="Arial" w:hAnsi="Arial"/>
          <w:sz w:val="17"/>
          <w:szCs w:val="17"/>
          <w:color w:val="auto"/>
        </w:rPr>
        <w:t>Laboratory and manufacturing equipment, including construction-in-process, include assets that support both our manufacturing and research and development activities.</w:t>
      </w:r>
    </w:p>
    <w:p>
      <w:pPr>
        <w:spacing w:after="0" w:line="164" w:lineRule="exact"/>
        <w:rPr>
          <w:sz w:val="20"/>
          <w:szCs w:val="20"/>
          <w:color w:val="auto"/>
        </w:rPr>
      </w:pPr>
    </w:p>
    <w:p>
      <w:pPr>
        <w:ind w:right="160" w:firstLine="619"/>
        <w:spacing w:after="0" w:line="290" w:lineRule="auto"/>
        <w:rPr>
          <w:sz w:val="20"/>
          <w:szCs w:val="20"/>
          <w:color w:val="auto"/>
        </w:rPr>
      </w:pPr>
      <w:r>
        <w:rPr>
          <w:rFonts w:ascii="Arial" w:cs="Arial" w:eastAsia="Arial" w:hAnsi="Arial"/>
          <w:sz w:val="16"/>
          <w:szCs w:val="16"/>
          <w:color w:val="auto"/>
        </w:rPr>
        <w:t>Property, plant and equipment decreased significantly for the year ended December 31, 2022 as a result of our 2022 Restructuring Plan. As further disclosed in Note 11, we sold our research and development facility in India, we sold or disposed of laboratory equipment and certain computer software, and we recognized impairment charges for leasehold improvements and certain furniture and fixtures for spaces we seek to sublease.</w:t>
      </w:r>
    </w:p>
    <w:p>
      <w:pPr>
        <w:spacing w:after="0" w:line="158" w:lineRule="exact"/>
        <w:rPr>
          <w:sz w:val="20"/>
          <w:szCs w:val="20"/>
          <w:color w:val="auto"/>
        </w:rPr>
      </w:pPr>
    </w:p>
    <w:p>
      <w:pPr>
        <w:ind w:right="380" w:firstLine="172"/>
        <w:spacing w:after="0" w:line="279" w:lineRule="auto"/>
        <w:rPr>
          <w:sz w:val="20"/>
          <w:szCs w:val="20"/>
          <w:color w:val="auto"/>
        </w:rPr>
      </w:pPr>
      <w:r>
        <w:rPr>
          <w:rFonts w:ascii="Arial" w:cs="Arial" w:eastAsia="Arial" w:hAnsi="Arial"/>
          <w:sz w:val="17"/>
          <w:szCs w:val="17"/>
          <w:color w:val="auto"/>
        </w:rPr>
        <w:t>Depreciation and amortization expense for property, plant and equipment for the years ended December 31, 2022, 2021, and 2020 was $12.2 million, $13.0 million, and $12.5 million,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Operating Leases</w:t>
      </w:r>
    </w:p>
    <w:p>
      <w:pPr>
        <w:spacing w:after="0" w:line="120" w:lineRule="exact"/>
        <w:rPr>
          <w:sz w:val="20"/>
          <w:szCs w:val="20"/>
          <w:color w:val="auto"/>
        </w:rPr>
      </w:pPr>
    </w:p>
    <w:p>
      <w:pPr>
        <w:ind w:firstLine="172"/>
        <w:spacing w:after="0" w:line="278" w:lineRule="auto"/>
        <w:rPr>
          <w:sz w:val="20"/>
          <w:szCs w:val="20"/>
          <w:color w:val="auto"/>
        </w:rPr>
      </w:pPr>
      <w:r>
        <w:rPr>
          <w:rFonts w:ascii="Arial" w:cs="Arial" w:eastAsia="Arial" w:hAnsi="Arial"/>
          <w:sz w:val="16"/>
          <w:szCs w:val="16"/>
          <w:color w:val="auto"/>
        </w:rPr>
        <w:t>Our leases consist of a Lease Agreement (the Mission Bay Lease) with ARE-San Francisco No. 19, LLC (ARE) for our 155,215 square foot corporate office and R&amp;D facility located at 455 Mission Bay Boulevard South, San Francisco, California (the Mission Bay Facility) and a Lease Agreement (the Third Street Lease) with Kilroy Realty Finance Partnership, L.P. (Kilroy) for an additional 135,936 square foot of office space at 360 Third Street, San Francisco, California (the Third Street Facility). The following table presents key information regarding these leases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0" w:type="dxa"/>
            <w:vAlign w:val="bottom"/>
          </w:tcPr>
          <w:p>
            <w:pPr>
              <w:spacing w:after="0"/>
              <w:rPr>
                <w:sz w:val="15"/>
                <w:szCs w:val="15"/>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Mission Bay Facility</w:t>
            </w:r>
          </w:p>
        </w:tc>
        <w:tc>
          <w:tcPr>
            <w:tcW w:w="1740" w:type="dxa"/>
            <w:vAlign w:val="bottom"/>
          </w:tcPr>
          <w:p>
            <w:pPr>
              <w:jc w:val="right"/>
              <w:ind w:right="178"/>
              <w:spacing w:after="0"/>
              <w:rPr>
                <w:sz w:val="20"/>
                <w:szCs w:val="20"/>
                <w:color w:val="auto"/>
              </w:rPr>
            </w:pPr>
            <w:r>
              <w:rPr>
                <w:rFonts w:ascii="Arial" w:cs="Arial" w:eastAsia="Arial" w:hAnsi="Arial"/>
                <w:sz w:val="14"/>
                <w:szCs w:val="14"/>
                <w:b w:val="1"/>
                <w:bCs w:val="1"/>
                <w:color w:val="auto"/>
              </w:rPr>
              <w:t>Third Street Facility</w:t>
            </w:r>
          </w:p>
        </w:tc>
      </w:tr>
      <w:tr>
        <w:trPr>
          <w:trHeight w:val="24"/>
        </w:trPr>
        <w:tc>
          <w:tcPr>
            <w:tcW w:w="76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commencement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September 2017</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2018</w:t>
            </w:r>
          </w:p>
        </w:tc>
      </w:tr>
      <w:tr>
        <w:trPr>
          <w:trHeight w:val="218"/>
        </w:trPr>
        <w:tc>
          <w:tcPr>
            <w:tcW w:w="7600" w:type="dxa"/>
            <w:vAlign w:val="bottom"/>
          </w:tcPr>
          <w:p>
            <w:pPr>
              <w:ind w:left="20"/>
              <w:spacing w:after="0"/>
              <w:rPr>
                <w:sz w:val="20"/>
                <w:szCs w:val="20"/>
                <w:color w:val="auto"/>
              </w:rPr>
            </w:pPr>
            <w:r>
              <w:rPr>
                <w:rFonts w:ascii="Arial" w:cs="Arial" w:eastAsia="Arial" w:hAnsi="Arial"/>
                <w:sz w:val="17"/>
                <w:szCs w:val="17"/>
                <w:color w:val="auto"/>
              </w:rPr>
              <w:t>Lease term</w:t>
            </w:r>
          </w:p>
        </w:tc>
        <w:tc>
          <w:tcPr>
            <w:tcW w:w="1900" w:type="dxa"/>
            <w:vAlign w:val="bottom"/>
            <w:gridSpan w:val="2"/>
          </w:tcPr>
          <w:p>
            <w:pPr>
              <w:jc w:val="right"/>
              <w:ind w:right="160"/>
              <w:spacing w:after="0"/>
              <w:rPr>
                <w:sz w:val="20"/>
                <w:szCs w:val="20"/>
                <w:color w:val="auto"/>
              </w:rPr>
            </w:pPr>
            <w:r>
              <w:rPr>
                <w:rFonts w:ascii="Arial" w:cs="Arial" w:eastAsia="Arial" w:hAnsi="Arial"/>
                <w:sz w:val="17"/>
                <w:szCs w:val="17"/>
                <w:color w:val="auto"/>
              </w:rPr>
              <w:t>January 2030</w:t>
            </w:r>
          </w:p>
        </w:tc>
        <w:tc>
          <w:tcPr>
            <w:tcW w:w="1740" w:type="dxa"/>
            <w:vAlign w:val="bottom"/>
          </w:tcPr>
          <w:p>
            <w:pPr>
              <w:jc w:val="right"/>
              <w:spacing w:after="0"/>
              <w:rPr>
                <w:sz w:val="20"/>
                <w:szCs w:val="20"/>
                <w:color w:val="auto"/>
              </w:rPr>
            </w:pPr>
            <w:r>
              <w:rPr>
                <w:rFonts w:ascii="Arial" w:cs="Arial" w:eastAsia="Arial" w:hAnsi="Arial"/>
                <w:sz w:val="17"/>
                <w:szCs w:val="17"/>
                <w:color w:val="auto"/>
              </w:rPr>
              <w:t>January 2030</w:t>
            </w:r>
          </w:p>
        </w:tc>
      </w:tr>
      <w:tr>
        <w:trPr>
          <w:trHeight w:val="169"/>
        </w:trPr>
        <w:tc>
          <w:tcPr>
            <w:tcW w:w="76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Renewal terms</w:t>
            </w:r>
          </w:p>
        </w:tc>
        <w:tc>
          <w:tcPr>
            <w:tcW w:w="19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7"/>
                <w:szCs w:val="17"/>
                <w:color w:val="auto"/>
              </w:rPr>
              <w:t>Two consecutive five-</w:t>
            </w:r>
          </w:p>
        </w:tc>
        <w:tc>
          <w:tcPr>
            <w:tcW w:w="174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One five-year term</w:t>
            </w:r>
          </w:p>
        </w:tc>
      </w:tr>
      <w:tr>
        <w:trPr>
          <w:trHeight w:val="232"/>
        </w:trPr>
        <w:tc>
          <w:tcPr>
            <w:tcW w:w="76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year terms</w:t>
            </w:r>
          </w:p>
        </w:tc>
        <w:tc>
          <w:tcPr>
            <w:tcW w:w="1740" w:type="dxa"/>
            <w:vAlign w:val="bottom"/>
            <w:shd w:val="clear" w:color="auto" w:fill="CCEEFF"/>
          </w:tcPr>
          <w:p>
            <w:pPr>
              <w:spacing w:after="0"/>
              <w:rPr>
                <w:sz w:val="20"/>
                <w:szCs w:val="20"/>
                <w:color w:val="auto"/>
              </w:rPr>
            </w:pPr>
          </w:p>
        </w:tc>
      </w:tr>
    </w:tbl>
    <w:p>
      <w:pPr>
        <w:spacing w:after="0" w:line="271"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monthly base rent for both facilities will escalate over the term of the lease at various intervals.</w:t>
      </w:r>
    </w:p>
    <w:p>
      <w:pPr>
        <w:spacing w:after="0" w:line="217" w:lineRule="exact"/>
        <w:rPr>
          <w:rFonts w:ascii="Arial" w:cs="Arial" w:eastAsia="Arial" w:hAnsi="Arial"/>
          <w:sz w:val="17"/>
          <w:szCs w:val="17"/>
          <w:color w:val="auto"/>
        </w:rPr>
      </w:pPr>
    </w:p>
    <w:p>
      <w:pPr>
        <w:ind w:left="620" w:right="6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Both leases include various covenants, indemnities, defaults, termination rights, security deposits and other provisions customary for lease transactions of this nature.</w:t>
      </w:r>
    </w:p>
    <w:p>
      <w:pPr>
        <w:spacing w:after="0" w:line="164" w:lineRule="exact"/>
        <w:rPr>
          <w:rFonts w:ascii="Arial" w:cs="Arial" w:eastAsia="Arial" w:hAnsi="Arial"/>
          <w:sz w:val="17"/>
          <w:szCs w:val="17"/>
          <w:color w:val="auto"/>
        </w:rPr>
      </w:pPr>
    </w:p>
    <w:p>
      <w:pPr>
        <w:ind w:left="620" w:right="58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During the term of the Mission Bay Lease, we are responsible for paying our share of operating expenses specified in the lease, including utilities, common area maintenance, insurance costs and taxes.</w:t>
      </w:r>
    </w:p>
    <w:p>
      <w:pPr>
        <w:spacing w:after="0" w:line="164"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the Third Street Lease, our fixed annual base rent on an industrial gross lease basis includes certain expenses and property taxes paid directly by the landlord. We have a one-time right of first offer with respect to certain additional rental space at the Third Street Facility.</w:t>
      </w:r>
    </w:p>
    <w:p>
      <w:pPr>
        <w:spacing w:after="0" w:line="164"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Due to our 2022 Restructuring Plan, during the year ended December 31, 2022, we recorded impairment charges of $54.6 million for our right-of-use assets which we are seeking to sublease. See Note 11 for additional information.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We generally recognize lease expense for our operating leases on a straight-line basis over the lease term, and we continue to recognize lease expense on a straight-line basis for spaces for which we did not recognize an impairment. For spaces where we did recognize an impairment charge, the aggregate lease expense recognized over the remaining term is reduced by the amount of the impairment charge, but we recognize the remaining lease expense on an accelerated basis. The components of lease expense, which we include in operating expenses in our Consolidated Statements of Operations, were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6"/>
          </w:tcPr>
          <w:p>
            <w:pPr>
              <w:jc w:val="right"/>
              <w:ind w:right="134"/>
              <w:spacing w:after="0"/>
              <w:rPr>
                <w:sz w:val="20"/>
                <w:szCs w:val="20"/>
                <w:color w:val="auto"/>
              </w:rPr>
            </w:pPr>
            <w:r>
              <w:rPr>
                <w:rFonts w:ascii="Arial" w:cs="Arial" w:eastAsia="Arial" w:hAnsi="Arial"/>
                <w:sz w:val="14"/>
                <w:szCs w:val="14"/>
                <w:b w:val="1"/>
                <w:bCs w:val="1"/>
                <w:color w:val="auto"/>
                <w:w w:val="88"/>
              </w:rPr>
              <w:t>Year Ended December 31,</w:t>
            </w:r>
          </w:p>
        </w:tc>
        <w:tc>
          <w:tcPr>
            <w:tcW w:w="860" w:type="dxa"/>
            <w:vAlign w:val="bottom"/>
          </w:tcPr>
          <w:p>
            <w:pPr>
              <w:spacing w:after="0"/>
              <w:rPr>
                <w:sz w:val="15"/>
                <w:szCs w:val="15"/>
                <w:color w:val="auto"/>
              </w:rPr>
            </w:pPr>
          </w:p>
        </w:tc>
      </w:tr>
      <w:tr>
        <w:trPr>
          <w:trHeight w:val="24"/>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9"/>
        </w:trPr>
        <w:tc>
          <w:tcPr>
            <w:tcW w:w="75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17,057</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18,985</w:t>
            </w:r>
          </w:p>
        </w:tc>
      </w:tr>
      <w:tr>
        <w:trPr>
          <w:trHeight w:val="21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expense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8,179</w:t>
            </w:r>
          </w:p>
        </w:tc>
      </w:tr>
      <w:tr>
        <w:trPr>
          <w:trHeight w:val="233"/>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27,757</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27,164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80" w:firstLine="172"/>
        <w:spacing w:after="0" w:line="312" w:lineRule="auto"/>
        <w:rPr>
          <w:sz w:val="20"/>
          <w:szCs w:val="20"/>
          <w:color w:val="auto"/>
        </w:rPr>
      </w:pPr>
      <w:r>
        <w:rPr>
          <w:rFonts w:ascii="Arial" w:cs="Arial" w:eastAsia="Arial" w:hAnsi="Arial"/>
          <w:sz w:val="16"/>
          <w:szCs w:val="16"/>
          <w:color w:val="auto"/>
        </w:rPr>
        <w:t>During the years ended December 31, 2022, 2021 and 2010, we paid $20.1 million, $16.8 million and $16.2 million, respectively, of operating lease payments related to our lease liabilities, which we include in net cash used in operating activities in our Consolidated Statements of Cash Flows.</w:t>
      </w:r>
    </w:p>
    <w:p>
      <w:pPr>
        <w:sectPr>
          <w:pgSz w:w="11900" w:h="16838" w:orient="portrait"/>
          <w:cols w:equalWidth="0" w:num="1">
            <w:col w:w="11240"/>
          </w:cols>
          <w:pgMar w:left="320" w:top="127" w:right="339" w:bottom="1440" w:gutter="0" w:footer="0" w:header="0"/>
        </w:sectPr>
      </w:pPr>
    </w:p>
    <w:p>
      <w:pPr>
        <w:spacing w:after="0" w:line="1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December 31, 2022, the maturities of our operating lease liabilities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7138670" cy="163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Year ending December 31,</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2024</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2026</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2028 and thereafter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163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Less: portion representing interest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163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Less: current portion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liabilities, less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580" w:hanging="573"/>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19,216</w:t>
      </w:r>
    </w:p>
    <w:p>
      <w:pPr>
        <w:spacing w:after="0" w:line="23"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21,572</w:t>
      </w:r>
    </w:p>
    <w:p>
      <w:pPr>
        <w:spacing w:after="0" w:line="23"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22,254</w:t>
      </w:r>
    </w:p>
    <w:p>
      <w:pPr>
        <w:spacing w:after="0" w:line="23"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22,958</w:t>
      </w:r>
    </w:p>
    <w:p>
      <w:pPr>
        <w:spacing w:after="0" w:line="23"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23,681</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51,732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200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161,413</w:t>
      </w:r>
    </w:p>
    <w:p>
      <w:pPr>
        <w:spacing w:after="0" w:line="7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(29,917)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20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131,496</w:t>
      </w:r>
    </w:p>
    <w:p>
      <w:pPr>
        <w:spacing w:after="0" w:line="7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(18,667)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200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 w:lineRule="exact"/>
        <w:rPr>
          <w:sz w:val="20"/>
          <w:szCs w:val="20"/>
          <w:color w:val="auto"/>
        </w:rPr>
      </w:pPr>
    </w:p>
    <w:p>
      <w:pPr>
        <w:ind w:left="500" w:hanging="493"/>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112,829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7200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7200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400" w:space="720"/>
            <w:col w:w="1120"/>
          </w:cols>
          <w:pgMar w:left="320" w:top="127" w:right="339" w:bottom="1440" w:gutter="0" w:footer="0" w:header="0"/>
          <w:type w:val="continuous"/>
        </w:sectPr>
      </w:pPr>
    </w:p>
    <w:p>
      <w:pPr>
        <w:spacing w:after="0" w:line="159" w:lineRule="exact"/>
        <w:rPr>
          <w:sz w:val="20"/>
          <w:szCs w:val="20"/>
          <w:color w:val="auto"/>
        </w:rPr>
      </w:pPr>
    </w:p>
    <w:p>
      <w:pPr>
        <w:ind w:right="120" w:firstLine="162"/>
        <w:spacing w:after="0" w:line="279" w:lineRule="auto"/>
        <w:rPr>
          <w:sz w:val="20"/>
          <w:szCs w:val="20"/>
          <w:color w:val="auto"/>
        </w:rPr>
      </w:pPr>
      <w:r>
        <w:rPr>
          <w:rFonts w:ascii="Arial" w:cs="Arial" w:eastAsia="Arial" w:hAnsi="Arial"/>
          <w:sz w:val="17"/>
          <w:szCs w:val="17"/>
          <w:color w:val="auto"/>
        </w:rPr>
        <w:t>As of December 31, 2022, the weighted-average remaining lease term is 7.1 years and the weighted-average discount rate used to determine the operating lease liability was 5.8%.</w:t>
      </w:r>
    </w:p>
    <w:p>
      <w:pPr>
        <w:spacing w:after="0" w:line="164" w:lineRule="exact"/>
        <w:rPr>
          <w:sz w:val="20"/>
          <w:szCs w:val="20"/>
          <w:color w:val="auto"/>
        </w:rPr>
      </w:pPr>
    </w:p>
    <w:p>
      <w:pPr>
        <w:ind w:right="180" w:firstLine="619"/>
        <w:spacing w:after="0" w:line="312" w:lineRule="auto"/>
        <w:rPr>
          <w:sz w:val="20"/>
          <w:szCs w:val="20"/>
          <w:color w:val="auto"/>
        </w:rPr>
      </w:pPr>
      <w:r>
        <w:rPr>
          <w:rFonts w:ascii="Arial" w:cs="Arial" w:eastAsia="Arial" w:hAnsi="Arial"/>
          <w:sz w:val="16"/>
          <w:szCs w:val="16"/>
          <w:color w:val="auto"/>
        </w:rPr>
        <w:t>We have entered into subleases for certain spaces that provide recovery of $10.5 million in aggregate lease payments, as well as the subtenants' share of operating expenses. The reduction to lease expense for the year ended December 31, 2022, was not significant but will increase in future periods.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Co-Development Agreement with SFJ Pharmaceuticals and Development Derivative Liability</w:t>
      </w:r>
    </w:p>
    <w:p>
      <w:pPr>
        <w:spacing w:after="0" w:line="171" w:lineRule="exact"/>
        <w:rPr>
          <w:sz w:val="20"/>
          <w:szCs w:val="20"/>
          <w:color w:val="auto"/>
        </w:rPr>
      </w:pPr>
    </w:p>
    <w:p>
      <w:pPr>
        <w:ind w:right="140" w:firstLine="541"/>
        <w:spacing w:after="0" w:line="245" w:lineRule="auto"/>
        <w:rPr>
          <w:sz w:val="20"/>
          <w:szCs w:val="20"/>
          <w:color w:val="auto"/>
        </w:rPr>
      </w:pPr>
      <w:r>
        <w:rPr>
          <w:rFonts w:ascii="Arial" w:cs="Arial" w:eastAsia="Arial" w:hAnsi="Arial"/>
          <w:sz w:val="17"/>
          <w:szCs w:val="17"/>
          <w:color w:val="auto"/>
        </w:rPr>
        <w:t>On February 12, 2021, we entered into a Co-Development Agreement (the SFJ Agreement) with SFJ Pharmaceuticals XII, L.P., a SFJ Pharmaceuticals Group company (SFJ), pursuant to which SFJ would pay up to $150.0 million in committed funding to support a Phase 2/3 study of bempegaldesleukin in combination with Keytruda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(pembrolizumab) for first-line treatment of patients with metastatic or unresectable recurrent squamous cell carcinoma of the head and neck (the SCCHN Clinical Trial) whose tumors express PD-L1 (the SCCHN Indication). SFJ has primary responsibility for the clinical trial management of the SCCHN Clinical Trial, and we are the sponsor of the SCCHN Clinical Trial. The SFJ Agreement provided for us to pay up to $637.5 million in Success Payments in the event of FDA approval of bempegaldesleukin for the metastatic melanoma, the SCCHN Indication, or both, and in the event of FDA approval of one additional bempegaldesleukin indication.</w:t>
      </w:r>
    </w:p>
    <w:p>
      <w:pPr>
        <w:spacing w:after="0" w:line="92" w:lineRule="exact"/>
        <w:rPr>
          <w:sz w:val="20"/>
          <w:szCs w:val="20"/>
          <w:color w:val="auto"/>
        </w:rPr>
      </w:pPr>
    </w:p>
    <w:p>
      <w:pPr>
        <w:ind w:right="140" w:firstLine="541"/>
        <w:spacing w:after="0" w:line="259" w:lineRule="auto"/>
        <w:rPr>
          <w:sz w:val="20"/>
          <w:szCs w:val="20"/>
          <w:color w:val="auto"/>
        </w:rPr>
      </w:pPr>
      <w:r>
        <w:rPr>
          <w:rFonts w:ascii="Arial" w:cs="Arial" w:eastAsia="Arial" w:hAnsi="Arial"/>
          <w:sz w:val="17"/>
          <w:szCs w:val="17"/>
          <w:color w:val="auto"/>
        </w:rPr>
        <w:t>We presented the SFJ Agreement as a Development derivative liability in our Consolidated Balance Sheets, which we remeasured to fair value at each reporting date. As SFJ conducted the SCCHN Clinical Trial, we recorded non-cash research and development expense with a corresponding increase to the development derivative liability, and as SFJ remitted funding to us to support our internal costs of conducting the trial, we also recorded a corresponding increase to the development derivative liability. We presented the gain (loss) from the remeasurement as change in fair value of development derivative liability in our Consolidated Statements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presents the changes in the development derivative liability: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1040" w:type="dxa"/>
            <w:vAlign w:val="bottom"/>
            <w:gridSpan w:val="2"/>
            <w:vMerge w:val="restart"/>
          </w:tcPr>
          <w:p>
            <w:pPr>
              <w:jc w:val="center"/>
              <w:ind w:right="140"/>
              <w:spacing w:after="0" w:line="157" w:lineRule="exact"/>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7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7100" w:type="dxa"/>
            <w:vAlign w:val="bottom"/>
          </w:tcPr>
          <w:p>
            <w:pPr>
              <w:spacing w:after="0"/>
              <w:rPr>
                <w:sz w:val="12"/>
                <w:szCs w:val="12"/>
                <w:color w:val="auto"/>
              </w:rPr>
            </w:pPr>
          </w:p>
        </w:tc>
        <w:tc>
          <w:tcPr>
            <w:tcW w:w="10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Hierarchy</w:t>
            </w:r>
          </w:p>
        </w:tc>
        <w:tc>
          <w:tcPr>
            <w:tcW w:w="360" w:type="dxa"/>
            <w:vAlign w:val="bottom"/>
          </w:tcPr>
          <w:p>
            <w:pPr>
              <w:spacing w:after="0"/>
              <w:rPr>
                <w:sz w:val="12"/>
                <w:szCs w:val="12"/>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Level</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as of December 31, 2021 and February 12, 2021 (inception), respectively</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27,726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7"/>
                <w:szCs w:val="17"/>
                <w:color w:val="auto"/>
              </w:rPr>
              <w:t>Non-cash research and development expense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4,951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16,703</w:t>
            </w:r>
          </w:p>
        </w:tc>
        <w:tc>
          <w:tcPr>
            <w:tcW w:w="0" w:type="dxa"/>
            <w:vAlign w:val="bottom"/>
          </w:tcPr>
          <w:p>
            <w:pPr>
              <w:spacing w:after="0"/>
              <w:rPr>
                <w:sz w:val="1"/>
                <w:szCs w:val="1"/>
                <w:color w:val="auto"/>
              </w:rPr>
            </w:pPr>
          </w:p>
        </w:tc>
      </w:tr>
      <w:tr>
        <w:trPr>
          <w:trHeight w:val="220"/>
        </w:trPr>
        <w:tc>
          <w:tcPr>
            <w:tcW w:w="7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receipts from SFJ</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Change in the fair value of development derivative liability</w:t>
            </w: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8,023</w:t>
            </w:r>
          </w:p>
        </w:tc>
        <w:tc>
          <w:tcPr>
            <w:tcW w:w="0" w:type="dxa"/>
            <w:vAlign w:val="bottom"/>
          </w:tcPr>
          <w:p>
            <w:pPr>
              <w:spacing w:after="0"/>
              <w:rPr>
                <w:sz w:val="1"/>
                <w:szCs w:val="1"/>
                <w:color w:val="auto"/>
              </w:rPr>
            </w:pPr>
          </w:p>
        </w:tc>
      </w:tr>
      <w:tr>
        <w:trPr>
          <w:trHeight w:val="233"/>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end of period</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60" w:firstLine="541"/>
        <w:spacing w:after="0" w:line="259" w:lineRule="auto"/>
        <w:rPr>
          <w:sz w:val="20"/>
          <w:szCs w:val="20"/>
          <w:color w:val="auto"/>
        </w:rPr>
      </w:pPr>
      <w:r>
        <w:rPr>
          <w:rFonts w:ascii="Arial" w:cs="Arial" w:eastAsia="Arial" w:hAnsi="Arial"/>
          <w:sz w:val="17"/>
          <w:szCs w:val="17"/>
          <w:color w:val="auto"/>
        </w:rPr>
        <w:t>As of December 31, 2021, we valued the derivative using a scenario-based discounted cash flow method, whereby each scenario makes assumptions about the probability and timing of cash flows, and we discount such cash flows to present value using a risk-adjusted rate. The key inputs to the valuation included our estimates of the following: (i) the probability of the bempegaldesleukin trials meeting their primary endpoints, and if successful, the probability and timing of achieving FDA approval, (ii) the timing and the amount of costs incurred by SFJ for the SCCHN Clinical Trial, including the probability of early termination of the study based on an interim futility analysis, and (iii) each party’s cost of borrowing.</w:t>
      </w:r>
    </w:p>
    <w:p>
      <w:pPr>
        <w:spacing w:after="0" w:line="80" w:lineRule="exact"/>
        <w:rPr>
          <w:sz w:val="20"/>
          <w:szCs w:val="20"/>
          <w:color w:val="auto"/>
        </w:rPr>
      </w:pPr>
    </w:p>
    <w:p>
      <w:pPr>
        <w:ind w:right="40" w:firstLine="541"/>
        <w:spacing w:after="0" w:line="245" w:lineRule="auto"/>
        <w:rPr>
          <w:sz w:val="20"/>
          <w:szCs w:val="20"/>
          <w:color w:val="auto"/>
        </w:rPr>
      </w:pPr>
      <w:r>
        <w:rPr>
          <w:rFonts w:ascii="Arial" w:cs="Arial" w:eastAsia="Arial" w:hAnsi="Arial"/>
          <w:sz w:val="17"/>
          <w:szCs w:val="17"/>
          <w:color w:val="auto"/>
        </w:rPr>
        <w:t>As of March 31, 2022, due to the negative results of the metastatic melanoma trial and initial discussions with SFJ, we concluded that it was remote that SFJ and we would continue the SCCHN Clinical Trial. Accordingly, the fair value of the development derivative liability was reduced to zero as of March 31, 2022, and we recognized a corresponding gain in the Change in fair value of development derivative liability. As discussed in Note 1, on April 14, 2022, BMS and we decided to end the development for bempegaldesleukin in combination with Opdivo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that all other ongoing studies in the bempegaldesleukin program would be discontinued. We also announced that SFJ and we agreed to discontinue the SCCHN Clinical Trial. Accordingly, SFJ will not be entitled to any Success Payments, and SFJ has the responsibility to wind down the SCCHN Clinical Trial at its sole cost. SFJ has no right to seek reimbursement from us for any costs incurred for the SCCHN Clinical Trial.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Liabilities Related to the Sales of Future Royalties</w:t>
      </w:r>
    </w:p>
    <w:p>
      <w:pPr>
        <w:spacing w:after="0" w:line="120" w:lineRule="exact"/>
        <w:rPr>
          <w:sz w:val="20"/>
          <w:szCs w:val="20"/>
          <w:color w:val="auto"/>
        </w:rPr>
      </w:pPr>
    </w:p>
    <w:p>
      <w:pPr>
        <w:ind w:firstLine="172"/>
        <w:spacing w:after="0" w:line="244" w:lineRule="auto"/>
        <w:rPr>
          <w:sz w:val="20"/>
          <w:szCs w:val="20"/>
          <w:color w:val="auto"/>
        </w:rPr>
      </w:pPr>
      <w:r>
        <w:rPr>
          <w:rFonts w:ascii="Arial" w:cs="Arial" w:eastAsia="Arial" w:hAnsi="Arial"/>
          <w:sz w:val="16"/>
          <w:szCs w:val="16"/>
          <w:color w:val="auto"/>
        </w:rPr>
        <w:t>On February 24, 2012, we entered into a purchase and sale agreement (the 2012 Purchase and Sale Agreement) with RPI Finance Trust (RPI), an affiliate of Royalty Pharma, pursuant to which we sold, and RPI purchased, our right to receive royalty payments (the 2012 Transaction Royalties) arising from the worldwide net sales, from and after January 1, 2012, of (a) CIMZIA</w:t>
      </w:r>
      <w:r>
        <w:rPr>
          <w:rFonts w:ascii="Arial" w:cs="Arial" w:eastAsia="Arial" w:hAnsi="Arial"/>
          <w:sz w:val="21"/>
          <w:szCs w:val="21"/>
          <w:color w:val="auto"/>
          <w:vertAlign w:val="superscript"/>
        </w:rPr>
        <w:t>®</w:t>
      </w:r>
      <w:r>
        <w:rPr>
          <w:rFonts w:ascii="Arial" w:cs="Arial" w:eastAsia="Arial" w:hAnsi="Arial"/>
          <w:sz w:val="16"/>
          <w:szCs w:val="16"/>
          <w:color w:val="auto"/>
        </w:rPr>
        <w:t>, under our license, manufacturing and supply agreement with UCB Pharma (UCB), and</w:t>
      </w:r>
    </w:p>
    <w:p>
      <w:pPr>
        <w:ind w:left="240" w:hanging="237"/>
        <w:spacing w:after="0" w:line="218" w:lineRule="auto"/>
        <w:tabs>
          <w:tab w:leader="none" w:pos="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MIRCERA</w:t>
      </w:r>
      <w:r>
        <w:rPr>
          <w:rFonts w:ascii="Arial" w:cs="Arial" w:eastAsia="Arial" w:hAnsi="Arial"/>
          <w:sz w:val="21"/>
          <w:szCs w:val="21"/>
          <w:color w:val="auto"/>
          <w:vertAlign w:val="superscript"/>
        </w:rPr>
        <w:t>®</w:t>
      </w:r>
      <w:r>
        <w:rPr>
          <w:rFonts w:ascii="Arial" w:cs="Arial" w:eastAsia="Arial" w:hAnsi="Arial"/>
          <w:sz w:val="16"/>
          <w:szCs w:val="16"/>
          <w:color w:val="auto"/>
        </w:rPr>
        <w:t>, under our license, manufacturing and supply agreement with F. Hoffmann-La Roche Ltd and Hoffmann-La Roche Inc. (together referred to as</w:t>
      </w:r>
    </w:p>
    <w:p>
      <w:pPr>
        <w:ind w:right="40"/>
        <w:spacing w:after="0" w:line="255" w:lineRule="auto"/>
        <w:rPr>
          <w:rFonts w:ascii="Arial" w:cs="Arial" w:eastAsia="Arial" w:hAnsi="Arial"/>
          <w:sz w:val="16"/>
          <w:szCs w:val="16"/>
          <w:color w:val="auto"/>
        </w:rPr>
      </w:pPr>
      <w:r>
        <w:rPr>
          <w:rFonts w:ascii="Arial" w:cs="Arial" w:eastAsia="Arial" w:hAnsi="Arial"/>
          <w:sz w:val="16"/>
          <w:szCs w:val="16"/>
          <w:color w:val="auto"/>
        </w:rPr>
        <w:t>Roche). We received aggregate cash proceeds of $124.0 million for the 2012 Transaction Royalties. Although we sold all of our rights to receive royalties from the CIMZIA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products, as a result of our ongoing manufacturing and supply obligations related to the generation of these royalties, we continue to account for these royalties as revenue. We recorded the $124.0 million in proceeds from this transaction as a liability (the 2012 Royalty Obligation) that is amortized using the effective interest method over the estimated life of the 2012 Purchase and Sale Agreement as royalties from the CIMZIA</w:t>
      </w:r>
      <w:r>
        <w:rPr>
          <w:rFonts w:ascii="Arial" w:cs="Arial" w:eastAsia="Arial" w:hAnsi="Arial"/>
          <w:sz w:val="10"/>
          <w:szCs w:val="10"/>
          <w:color w:val="auto"/>
        </w:rPr>
        <w:t>®</w:t>
      </w:r>
      <w:r>
        <w:rPr>
          <w:rFonts w:ascii="Arial" w:cs="Arial" w:eastAsia="Arial" w:hAnsi="Arial"/>
          <w:sz w:val="16"/>
          <w:szCs w:val="16"/>
          <w:color w:val="auto"/>
        </w:rPr>
        <w:t xml:space="preserve"> and MIRCERA</w:t>
      </w:r>
      <w:r>
        <w:rPr>
          <w:rFonts w:ascii="Arial" w:cs="Arial" w:eastAsia="Arial" w:hAnsi="Arial"/>
          <w:sz w:val="10"/>
          <w:szCs w:val="10"/>
          <w:color w:val="auto"/>
        </w:rPr>
        <w:t>®</w:t>
      </w:r>
      <w:r>
        <w:rPr>
          <w:rFonts w:ascii="Arial" w:cs="Arial" w:eastAsia="Arial" w:hAnsi="Arial"/>
          <w:sz w:val="16"/>
          <w:szCs w:val="16"/>
          <w:color w:val="auto"/>
        </w:rPr>
        <w:t xml:space="preserve"> products are remitted directly to RPI. As of December 31, 2022, our prospective effective interest rate used to amortize the liability is 10%.</w:t>
      </w:r>
    </w:p>
    <w:p>
      <w:pPr>
        <w:spacing w:after="0" w:line="82"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On June 5, 2020, UCB served notice of a Declaratory Judgment of Patent Invalidity, filed in the United States District Court for the District of Delaware, seeking a declaration of invalidity of certain of our patents that we had licensed to UCB and pursued similar actions in other jurisdictions. On October 14, 2021, RPI and we entered into a Letter Agreement which permitted us to enter into a Settlement Agreement, effective October 13, 2021, with UCB to effect the negotiation between RPI and UCB in which UCB and RPI agreed to a reduction in the royalty term and annual decreases in the royalty rate over the remaining royalty term in exchange for UCB’s withdrawal of all of UCB’s litigation and challenges.</w:t>
      </w:r>
    </w:p>
    <w:p>
      <w:pPr>
        <w:spacing w:after="0" w:line="80"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We concluded that we should account for the decrease in royalty payments to RPI as a result of these agreements as a modification of our liability. Due to the significance of the change in the estimated royalty payments, we concluded that we should treat the modification as an extinguishment of the prior liability and recognize a new liability based on the revised royalty payments and term, discounted to fair value. Accordingly, we estimated the fair value to be approximately $84.7 million, reflecting a discount rate of 16.0%. As a result, we recognized a loss of $23.5 million on the revaluation of the prior liability in the three months ended December 31, 2021, and we wrote off the remaining $0.9 million of unamortized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color w:val="auto"/>
        </w:rPr>
        <w:t>transaction costs. We present these charges in Loss on revaluation of liability related to the sale of future royalties line in our Consolidated Statement of Operations.</w:t>
      </w:r>
    </w:p>
    <w:p>
      <w:pPr>
        <w:spacing w:after="0" w:line="61" w:lineRule="exact"/>
        <w:rPr>
          <w:sz w:val="20"/>
          <w:szCs w:val="20"/>
          <w:color w:val="auto"/>
        </w:rPr>
      </w:pPr>
    </w:p>
    <w:p>
      <w:pPr>
        <w:ind w:right="40" w:firstLine="619"/>
        <w:spacing w:after="0" w:line="265" w:lineRule="auto"/>
        <w:rPr>
          <w:sz w:val="20"/>
          <w:szCs w:val="20"/>
          <w:color w:val="auto"/>
        </w:rPr>
      </w:pPr>
      <w:r>
        <w:rPr>
          <w:rFonts w:ascii="Arial" w:cs="Arial" w:eastAsia="Arial" w:hAnsi="Arial"/>
          <w:sz w:val="15"/>
          <w:szCs w:val="15"/>
          <w:color w:val="auto"/>
        </w:rPr>
        <w:t>On December 16, 2020, we entered into a purchase and sale agreement (the 2020 Purchase and Sale Agreement) with entities managed by Healthcare Royalty Management, LLC (collectively, HCR). Pursuant to the 2020 Purchase and Sale Agreement, we agreed to sell to HCR certain of our rights to receive royalty payments (the 2020 Transaction Royalties) arising from the worldwide net sales, from and after October 1, 2020 until such time that certain return thresholds are met as described below, of (a) MOVANTIK</w:t>
      </w:r>
      <w:r>
        <w:rPr>
          <w:rFonts w:ascii="Arial" w:cs="Arial" w:eastAsia="Arial" w:hAnsi="Arial"/>
          <w:sz w:val="19"/>
          <w:szCs w:val="19"/>
          <w:color w:val="auto"/>
          <w:vertAlign w:val="superscript"/>
        </w:rPr>
        <w:t>®</w:t>
      </w:r>
      <w:r>
        <w:rPr>
          <w:rFonts w:ascii="Arial" w:cs="Arial" w:eastAsia="Arial" w:hAnsi="Arial"/>
          <w:sz w:val="15"/>
          <w:szCs w:val="15"/>
          <w:color w:val="auto"/>
        </w:rPr>
        <w:t xml:space="preserve"> under that certain License Agreement, dated September 20, 2009, by and between Nektar and AstraZeneca AB, as amended, (b) ADYNOVATE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under that certain Exclusive Research, Development, License and Manufacturing and Supply Agreement, dated September 26, 2005, by and among Nektar, Baxalta US Inc. and Baxalta GmbH, as amended, (c) REBINYN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under that certain Settlement and License Agreement, dated December 21, 2016, by and among Nektar, Novo Nordisk Inc., Novo Nordisk A/S and Novo Nordisk A/G and (d) licensed products under that certain Right to Sublicense Agreement, dated October 27, 2017, by and among Nektar, Baxalta Incorporated, Baxalta US Inc. and Baxalta GmbH.</w:t>
      </w:r>
    </w:p>
    <w:p>
      <w:pPr>
        <w:spacing w:after="0" w:line="77"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2020 Purchase and Sale Agreement will automatically expire, and the payment of the 2020 Transaction Royalties to HCR will cease, when HCR has received payments of the 2020 Transaction Royalties equal to $210.0 million (the 2025 Threshold), if the 2025 Threshold is achieved on or prior to December 31, 2025, or $240.0 million, if the 2025 Threshold is not achieved on or prior to December 31, 2025 (or, if earlier, the date on which the last royalty payment under the relevant license agreements is made). If HCR has received payments of the 2020 Transaction Royalties equal to at least $208.0 million on or prior to December 31, 2025, we have the option to pay the difference between the 2025 Threshold and such 2020 Transaction Royalties, and the 2025 Threshold will be met and the 2020 Purchase and Sale Agreement will expire. After the 2020 Purchase and Sale Agreement expires, all rights to receive the 2020 Transaction Royalties return to Nektar.</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December 30, 2020, we received aggregate cash proceeds of $150.0 million for the 2020 Transaction Royalties. As part of the sale, we incurred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$3.8 million in transaction costs, which will be amortized to interest expense over the estimated life of the 2020 Purchase and Sale Agreement.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Although we sold all of our rights to receive royalties from these products up to the cap, as a result of the limits on the 2020 Transaction Royalties to be received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by HCR and our ongoing manufacturing and supply obligations related to the generation of these royalties, we will continue to account for these non-cash royalties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 revenue, commencing with royalties for the three months ended December 31, 2020, to be received by HCR in the first quarter of 2021. We recorded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$150.0 million in proceeds from this transaction as a liability (the 2020 Royalty Obligation) that will be amortized using the effective interest method over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estimated life of the 2020 Purchase and Sale Agreement. As of December 31, 2022, our prospective effective interest rate used to amortize the liability is 20%.</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the activity within the liability account of each arrangement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6"/>
          </w:tcPr>
          <w:p>
            <w:pPr>
              <w:jc w:val="center"/>
              <w:ind w:left="737"/>
              <w:spacing w:after="0"/>
              <w:rPr>
                <w:sz w:val="20"/>
                <w:szCs w:val="20"/>
                <w:color w:val="auto"/>
              </w:rPr>
            </w:pPr>
            <w:r>
              <w:rPr>
                <w:rFonts w:ascii="Arial" w:cs="Arial" w:eastAsia="Arial" w:hAnsi="Arial"/>
                <w:sz w:val="14"/>
                <w:szCs w:val="14"/>
                <w:b w:val="1"/>
                <w:bCs w:val="1"/>
                <w:color w:val="auto"/>
                <w:w w:val="88"/>
              </w:rPr>
              <w:t>Year-Ended December 31, 2022</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40" w:type="dxa"/>
            <w:vAlign w:val="bottom"/>
            <w:gridSpan w:val="7"/>
          </w:tcPr>
          <w:p>
            <w:pPr>
              <w:jc w:val="center"/>
              <w:ind w:right="76"/>
              <w:spacing w:after="0"/>
              <w:rPr>
                <w:sz w:val="20"/>
                <w:szCs w:val="20"/>
                <w:color w:val="auto"/>
              </w:rPr>
            </w:pPr>
            <w:r>
              <w:rPr>
                <w:rFonts w:ascii="Arial" w:cs="Arial" w:eastAsia="Arial" w:hAnsi="Arial"/>
                <w:sz w:val="14"/>
                <w:szCs w:val="14"/>
                <w:b w:val="1"/>
                <w:bCs w:val="1"/>
                <w:color w:val="auto"/>
                <w:w w:val="88"/>
              </w:rPr>
              <w:t>Period from inception to December 31, 2022</w:t>
            </w: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40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88"/>
              </w:rPr>
              <w:t>2012 Purchase and</w:t>
            </w:r>
          </w:p>
        </w:tc>
        <w:tc>
          <w:tcPr>
            <w:tcW w:w="140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6"/>
              </w:rPr>
              <w:t>2020 Purchase and</w:t>
            </w:r>
          </w:p>
        </w:tc>
        <w:tc>
          <w:tcPr>
            <w:tcW w:w="34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6"/>
              </w:rPr>
              <w:t>2012 Purchase and</w:t>
            </w:r>
          </w:p>
        </w:tc>
        <w:tc>
          <w:tcPr>
            <w:tcW w:w="138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86"/>
              </w:rPr>
              <w:t>2020 Purchase and</w:t>
            </w:r>
          </w:p>
        </w:tc>
        <w:tc>
          <w:tcPr>
            <w:tcW w:w="320" w:type="dxa"/>
            <w:vAlign w:val="bottom"/>
          </w:tcPr>
          <w:p>
            <w:pPr>
              <w:spacing w:after="0"/>
              <w:rPr>
                <w:sz w:val="10"/>
                <w:szCs w:val="10"/>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Sale Agreement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Sale Agreement</w:t>
            </w:r>
          </w:p>
        </w:tc>
        <w:tc>
          <w:tcPr>
            <w:tcW w:w="3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Sale Agreement</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Sale Agreement</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96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Liabilities related to the sales of future</w:t>
            </w: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royalties—beginning</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960" w:type="dxa"/>
            <w:vAlign w:val="bottom"/>
          </w:tcPr>
          <w:p>
            <w:pPr>
              <w:ind w:left="220"/>
              <w:spacing w:after="0"/>
              <w:rPr>
                <w:sz w:val="20"/>
                <w:szCs w:val="20"/>
                <w:color w:val="auto"/>
              </w:rPr>
            </w:pPr>
            <w:r>
              <w:rPr>
                <w:rFonts w:ascii="Arial" w:cs="Arial" w:eastAsia="Arial" w:hAnsi="Arial"/>
                <w:sz w:val="17"/>
                <w:szCs w:val="17"/>
                <w:color w:val="auto"/>
              </w:rPr>
              <w:t>Royalty monetization proceeds</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274,000</w:t>
            </w: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royalty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(403,245)</w:t>
            </w:r>
          </w:p>
        </w:tc>
        <w:tc>
          <w:tcPr>
            <w:tcW w:w="0" w:type="dxa"/>
            <w:vAlign w:val="bottom"/>
          </w:tcPr>
          <w:p>
            <w:pPr>
              <w:spacing w:after="0"/>
              <w:rPr>
                <w:sz w:val="1"/>
                <w:szCs w:val="1"/>
                <w:color w:val="auto"/>
              </w:rPr>
            </w:pPr>
          </w:p>
        </w:tc>
      </w:tr>
      <w:tr>
        <w:trPr>
          <w:trHeight w:val="218"/>
        </w:trPr>
        <w:tc>
          <w:tcPr>
            <w:tcW w:w="2960" w:type="dxa"/>
            <w:vAlign w:val="bottom"/>
          </w:tcPr>
          <w:p>
            <w:pPr>
              <w:ind w:left="220"/>
              <w:spacing w:after="0"/>
              <w:rPr>
                <w:sz w:val="20"/>
                <w:szCs w:val="20"/>
                <w:color w:val="auto"/>
              </w:rPr>
            </w:pPr>
            <w:r>
              <w:rPr>
                <w:rFonts w:ascii="Arial" w:cs="Arial" w:eastAsia="Arial" w:hAnsi="Arial"/>
                <w:sz w:val="17"/>
                <w:szCs w:val="17"/>
                <w:color w:val="auto"/>
              </w:rPr>
              <w:t>Non-cash interest expense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234,168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39,016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273,184</w:t>
            </w: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to RPI</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168"/>
        </w:trPr>
        <w:tc>
          <w:tcPr>
            <w:tcW w:w="2960" w:type="dxa"/>
            <w:vAlign w:val="bottom"/>
          </w:tcPr>
          <w:p>
            <w:pPr>
              <w:ind w:left="220"/>
              <w:spacing w:after="0" w:line="168" w:lineRule="exact"/>
              <w:rPr>
                <w:sz w:val="20"/>
                <w:szCs w:val="20"/>
                <w:color w:val="auto"/>
              </w:rPr>
            </w:pPr>
            <w:r>
              <w:rPr>
                <w:rFonts w:ascii="Arial" w:cs="Arial" w:eastAsia="Arial" w:hAnsi="Arial"/>
                <w:sz w:val="17"/>
                <w:szCs w:val="17"/>
                <w:color w:val="auto"/>
                <w:w w:val="97"/>
              </w:rPr>
              <w:t>Loss on revaluation of liability related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960" w:type="dxa"/>
            <w:vAlign w:val="bottom"/>
          </w:tcPr>
          <w:p>
            <w:pPr>
              <w:ind w:left="220"/>
              <w:spacing w:after="0"/>
              <w:rPr>
                <w:sz w:val="20"/>
                <w:szCs w:val="20"/>
                <w:color w:val="auto"/>
              </w:rPr>
            </w:pPr>
            <w:r>
              <w:rPr>
                <w:rFonts w:ascii="Arial" w:cs="Arial" w:eastAsia="Arial" w:hAnsi="Arial"/>
                <w:sz w:val="17"/>
                <w:szCs w:val="17"/>
                <w:color w:val="auto"/>
              </w:rPr>
              <w:t>to the sale of future royalties</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23,522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23,522</w:t>
            </w:r>
          </w:p>
        </w:tc>
        <w:tc>
          <w:tcPr>
            <w:tcW w:w="0" w:type="dxa"/>
            <w:vAlign w:val="bottom"/>
          </w:tcPr>
          <w:p>
            <w:pPr>
              <w:spacing w:after="0"/>
              <w:rPr>
                <w:sz w:val="1"/>
                <w:szCs w:val="1"/>
                <w:color w:val="auto"/>
              </w:rPr>
            </w:pPr>
          </w:p>
        </w:tc>
      </w:tr>
      <w:tr>
        <w:trPr>
          <w:trHeight w:val="149"/>
        </w:trPr>
        <w:tc>
          <w:tcPr>
            <w:tcW w:w="29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Liabilities related to the sales of future</w:t>
            </w: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royalties – ending balance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157,461</w:t>
            </w:r>
          </w:p>
        </w:tc>
        <w:tc>
          <w:tcPr>
            <w:tcW w:w="0" w:type="dxa"/>
            <w:vAlign w:val="bottom"/>
          </w:tcPr>
          <w:p>
            <w:pPr>
              <w:spacing w:after="0"/>
              <w:rPr>
                <w:sz w:val="1"/>
                <w:szCs w:val="1"/>
                <w:color w:val="auto"/>
              </w:rPr>
            </w:pPr>
          </w:p>
        </w:tc>
      </w:tr>
      <w:tr>
        <w:trPr>
          <w:trHeight w:val="218"/>
        </w:trPr>
        <w:tc>
          <w:tcPr>
            <w:tcW w:w="2960" w:type="dxa"/>
            <w:vAlign w:val="bottom"/>
          </w:tcPr>
          <w:p>
            <w:pPr>
              <w:ind w:left="220"/>
              <w:spacing w:after="0"/>
              <w:rPr>
                <w:sz w:val="20"/>
                <w:szCs w:val="20"/>
                <w:color w:val="auto"/>
              </w:rPr>
            </w:pPr>
            <w:r>
              <w:rPr>
                <w:rFonts w:ascii="Arial" w:cs="Arial" w:eastAsia="Arial" w:hAnsi="Arial"/>
                <w:sz w:val="17"/>
                <w:szCs w:val="17"/>
                <w:color w:val="auto"/>
              </w:rPr>
              <w:t>Less: unamortized transaction costs</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149"/>
        </w:trPr>
        <w:tc>
          <w:tcPr>
            <w:tcW w:w="29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Liabilities related to the sales of future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55,167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100,211</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155,378</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55,167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100,211</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155,378</w:t>
            </w:r>
          </w:p>
        </w:tc>
        <w:tc>
          <w:tcPr>
            <w:tcW w:w="0" w:type="dxa"/>
            <w:vAlign w:val="bottom"/>
          </w:tcPr>
          <w:p>
            <w:pPr>
              <w:spacing w:after="0"/>
              <w:rPr>
                <w:sz w:val="1"/>
                <w:szCs w:val="1"/>
                <w:color w:val="auto"/>
              </w:rPr>
            </w:pPr>
          </w:p>
        </w:tc>
      </w:tr>
      <w:tr>
        <w:trPr>
          <w:trHeight w:val="22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royalties, net</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right="40" w:firstLine="172"/>
        <w:spacing w:after="0" w:line="279" w:lineRule="auto"/>
        <w:rPr>
          <w:sz w:val="20"/>
          <w:szCs w:val="20"/>
          <w:color w:val="auto"/>
        </w:rPr>
      </w:pPr>
      <w:r>
        <w:rPr>
          <w:rFonts w:ascii="Arial" w:cs="Arial" w:eastAsia="Arial" w:hAnsi="Arial"/>
          <w:sz w:val="17"/>
          <w:szCs w:val="17"/>
          <w:color w:val="auto"/>
        </w:rPr>
        <w:t>Pursuant to the 2012 Purchase and Sale Agreement, in March 2014 and March 2013, we were required to pay RPI $7.0 million and $3.0 million, respectively, as a result of worldwide net sales of MIRCERA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12 month periods ended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December 31, 2013 and 2012 not reaching certain minimum thresholds. The 2012 Purchase and Sale Agreement does not include any other potential payments related to minimum net sales thresholds and, therefore, we do not expect to make any further payments to RPI related to this agreement.</w:t>
      </w:r>
    </w:p>
    <w:p>
      <w:pPr>
        <w:spacing w:after="0" w:line="37" w:lineRule="exact"/>
        <w:rPr>
          <w:sz w:val="20"/>
          <w:szCs w:val="20"/>
          <w:color w:val="auto"/>
        </w:rPr>
      </w:pPr>
    </w:p>
    <w:p>
      <w:pPr>
        <w:ind w:right="20" w:firstLine="162"/>
        <w:spacing w:after="0" w:line="258" w:lineRule="auto"/>
        <w:rPr>
          <w:sz w:val="20"/>
          <w:szCs w:val="20"/>
          <w:color w:val="auto"/>
        </w:rPr>
      </w:pPr>
      <w:r>
        <w:rPr>
          <w:rFonts w:ascii="Arial" w:cs="Arial" w:eastAsia="Arial" w:hAnsi="Arial"/>
          <w:sz w:val="17"/>
          <w:szCs w:val="17"/>
          <w:color w:val="auto"/>
        </w:rPr>
        <w:t>As royalties are remitted to RPI and HCR by our licensees, the balances of the respective Royalty Obligations will be effectively repaid over the lives of the agreements. To determine the amortization of the Royalty Obligations, we are required to estimate the total amount of future royalty payments to be received by RPI and HCR, respectively. The sum of these amounts less the net proceeds we received will be recorded as non-cash interest expense, as well as the loss on the revaluation described above, over the lives of the respective Royalty Obligations. We periodically assess the estimated royalty payments to RPI and HCR from our licensees and to the extent the amount or timing of such payments is materially different than our original estimates, we will prospectively adjust the imputed interest rate and the related amortization of the appropriate Royalty Obligation.</w:t>
      </w:r>
    </w:p>
    <w:p>
      <w:pPr>
        <w:spacing w:after="0" w:line="80" w:lineRule="exact"/>
        <w:rPr>
          <w:sz w:val="20"/>
          <w:szCs w:val="20"/>
          <w:color w:val="auto"/>
        </w:rPr>
      </w:pPr>
    </w:p>
    <w:p>
      <w:pPr>
        <w:ind w:right="40" w:firstLine="169"/>
        <w:spacing w:after="0" w:line="275" w:lineRule="auto"/>
        <w:rPr>
          <w:sz w:val="20"/>
          <w:szCs w:val="20"/>
          <w:color w:val="auto"/>
        </w:rPr>
      </w:pPr>
      <w:r>
        <w:rPr>
          <w:rFonts w:ascii="Arial" w:cs="Arial" w:eastAsia="Arial" w:hAnsi="Arial"/>
          <w:sz w:val="16"/>
          <w:szCs w:val="16"/>
          <w:color w:val="auto"/>
        </w:rPr>
        <w:t>There are a number of factors that could materially affect the amount and timing of royalty payments from our licensees, most of which are not within our control. Such factors include, but are not limited to, changing standards of care, the introduction of competing products, manufacturing or other delays, biosimilar competition, intellectual property matters, adverse events that result in governmental health authority imposed restrictions on the use of the drug products, significant changes in foreign exchange rates as the royalties remitted to RPI or HCR are made in U.S. dollars (USD) while significant portions of the underlying sales of the products of our licensees are made in currencies other than USD, and other events or circumstances that could result in reduced royalty payments from our licensees, all of which would result in a reduction of non-cash royalty revenues and the non-cash interest expense over the life of the respective Royalty Obligation. Conversely, for the 2012 Purchase and Sale Agreement, if sales of these products are more than expected, the non-cash royalty revenues and the non-cash interest expense recorded by us would be greater over the term of the 2012 Royalty Obligation.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Commitments and Contingencies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114" w:lineRule="exact"/>
        <w:rPr>
          <w:sz w:val="20"/>
          <w:szCs w:val="20"/>
          <w:color w:val="auto"/>
        </w:rPr>
      </w:pPr>
    </w:p>
    <w:p>
      <w:pPr>
        <w:ind w:right="260" w:firstLine="172"/>
        <w:spacing w:after="0" w:line="279" w:lineRule="auto"/>
        <w:rPr>
          <w:sz w:val="20"/>
          <w:szCs w:val="20"/>
          <w:color w:val="auto"/>
        </w:rPr>
      </w:pPr>
      <w:r>
        <w:rPr>
          <w:rFonts w:ascii="Arial" w:cs="Arial" w:eastAsia="Arial" w:hAnsi="Arial"/>
          <w:sz w:val="17"/>
          <w:szCs w:val="17"/>
          <w:color w:val="auto"/>
        </w:rPr>
        <w:t>In the normal course of business, we enter into various firm purchase commitments related to contract manufacturing, clinical development and certain other items. As of December 31, 2022, these commitments were not significant.</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Legal Matters</w:t>
      </w:r>
    </w:p>
    <w:p>
      <w:pPr>
        <w:spacing w:after="0" w:line="114" w:lineRule="exact"/>
        <w:rPr>
          <w:sz w:val="20"/>
          <w:szCs w:val="20"/>
          <w:color w:val="auto"/>
        </w:rPr>
      </w:pPr>
    </w:p>
    <w:p>
      <w:pPr>
        <w:ind w:firstLine="172"/>
        <w:spacing w:after="0" w:line="258" w:lineRule="auto"/>
        <w:rPr>
          <w:sz w:val="20"/>
          <w:szCs w:val="20"/>
          <w:color w:val="auto"/>
        </w:rPr>
      </w:pPr>
      <w:r>
        <w:rPr>
          <w:rFonts w:ascii="Arial" w:cs="Arial" w:eastAsia="Arial" w:hAnsi="Arial"/>
          <w:sz w:val="17"/>
          <w:szCs w:val="17"/>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recorded no liability for any litigation matters in our Consolidated Balance Sheets at either December 31, 2022 or December 31, 2021.</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Foreign Operations</w:t>
      </w:r>
    </w:p>
    <w:p>
      <w:pPr>
        <w:spacing w:after="0" w:line="114" w:lineRule="exact"/>
        <w:rPr>
          <w:sz w:val="20"/>
          <w:szCs w:val="20"/>
          <w:color w:val="auto"/>
        </w:rPr>
      </w:pPr>
    </w:p>
    <w:p>
      <w:pPr>
        <w:ind w:right="40" w:firstLine="169"/>
        <w:spacing w:after="0" w:line="318" w:lineRule="auto"/>
        <w:rPr>
          <w:sz w:val="20"/>
          <w:szCs w:val="20"/>
          <w:color w:val="auto"/>
        </w:rPr>
      </w:pPr>
      <w:r>
        <w:rPr>
          <w:rFonts w:ascii="Arial" w:cs="Arial" w:eastAsia="Arial" w:hAnsi="Arial"/>
          <w:sz w:val="15"/>
          <w:szCs w:val="15"/>
          <w:color w:val="auto"/>
        </w:rPr>
        <w:t>We have operated in a number of foreign countries, but we are in the process of winding down our foreign subsidiaries. As of December 31, 2022, we no longer have any foreign properties and only a few remaining employees in foreign locations. We are subject to numerous local laws and regulations that can result in claims made by foreign government agencies or other third parties that are often difficult to predict even after the application of good faith compliance efforts.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Indemnification Obligations</w:t>
      </w:r>
    </w:p>
    <w:p>
      <w:pPr>
        <w:spacing w:after="0" w:line="114" w:lineRule="exact"/>
        <w:rPr>
          <w:sz w:val="20"/>
          <w:szCs w:val="20"/>
          <w:color w:val="auto"/>
        </w:rPr>
      </w:pPr>
    </w:p>
    <w:p>
      <w:pPr>
        <w:ind w:right="180" w:firstLine="172"/>
        <w:spacing w:after="0" w:line="277" w:lineRule="auto"/>
        <w:rPr>
          <w:sz w:val="20"/>
          <w:szCs w:val="20"/>
          <w:color w:val="auto"/>
        </w:rPr>
      </w:pPr>
      <w:r>
        <w:rPr>
          <w:rFonts w:ascii="Arial" w:cs="Arial" w:eastAsia="Arial" w:hAnsi="Arial"/>
          <w:sz w:val="16"/>
          <w:szCs w:val="16"/>
          <w:color w:val="auto"/>
        </w:rPr>
        <w:t>During the course of our normal operating activities, we have agreed to certain contingent indemnification obligations as further described below. The term of our indemnification obligations is generally perpetual. There is generally no limitation on the potential amount of future payments we could be required to make under these indemnification obligations. To date, we have not incurred significant costs to defend lawsuits or settle claims based on our indemnification obligations. If any of our indemnification obligations is triggered, we may incur substantial liabilities. Because the aggregate amount of any of these potential indemnification obligations is not a stated amount, we cannot reasonably estimate the overall maximum amount of any such obligations. We have recorded no liabilities for these obligations in our Consolidated Balance Sheets at either December 31, 2022 or December 31, 2021.</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Indemnifications in Connection with Commercial Agreements</w:t>
      </w:r>
    </w:p>
    <w:p>
      <w:pPr>
        <w:spacing w:after="0" w:line="11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As part of our collaboration agreements with our partners related to the license, development, manufacture and supply of drugs and PEGylation materials based on our proprietary technologies and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80"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80" w:lineRule="exact"/>
        <w:rPr>
          <w:sz w:val="20"/>
          <w:szCs w:val="20"/>
          <w:color w:val="auto"/>
        </w:rPr>
      </w:pPr>
    </w:p>
    <w:p>
      <w:pPr>
        <w:ind w:firstLine="541"/>
        <w:spacing w:after="0" w:line="266" w:lineRule="auto"/>
        <w:rPr>
          <w:sz w:val="20"/>
          <w:szCs w:val="20"/>
          <w:color w:val="auto"/>
        </w:rPr>
      </w:pPr>
      <w:r>
        <w:rPr>
          <w:rFonts w:ascii="Arial" w:cs="Arial" w:eastAsia="Arial" w:hAnsi="Arial"/>
          <w:sz w:val="17"/>
          <w:szCs w:val="17"/>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Indemnification of Underwriters and Initial Purchasers of our Securities</w:t>
      </w:r>
    </w:p>
    <w:p>
      <w:pPr>
        <w:spacing w:after="0" w:line="114" w:lineRule="exact"/>
        <w:rPr>
          <w:sz w:val="20"/>
          <w:szCs w:val="20"/>
          <w:color w:val="auto"/>
        </w:rPr>
      </w:pPr>
    </w:p>
    <w:p>
      <w:pPr>
        <w:ind w:right="260" w:firstLine="172"/>
        <w:spacing w:after="0" w:line="279" w:lineRule="auto"/>
        <w:rPr>
          <w:sz w:val="20"/>
          <w:szCs w:val="20"/>
          <w:color w:val="auto"/>
        </w:rPr>
      </w:pPr>
      <w:r>
        <w:rPr>
          <w:rFonts w:ascii="Arial" w:cs="Arial" w:eastAsia="Arial" w:hAnsi="Arial"/>
          <w:sz w:val="17"/>
          <w:szCs w:val="17"/>
          <w:color w:val="auto"/>
        </w:rPr>
        <w:t>In connection with our sale of equity we have agreed to defend, indemnify and hold harmless our underwriters or initial purchasers, as applicable, as well as certain related parties from and against certain liabilities, including liabilities under the Securities Act of 1933, as amended.</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Director and Officer Indemnifications</w:t>
      </w:r>
    </w:p>
    <w:p>
      <w:pPr>
        <w:spacing w:after="0" w:line="114" w:lineRule="exact"/>
        <w:rPr>
          <w:sz w:val="20"/>
          <w:szCs w:val="20"/>
          <w:color w:val="auto"/>
        </w:rPr>
      </w:pPr>
    </w:p>
    <w:p>
      <w:pPr>
        <w:ind w:right="100" w:firstLine="162"/>
        <w:spacing w:after="0" w:line="256" w:lineRule="auto"/>
        <w:rPr>
          <w:sz w:val="20"/>
          <w:szCs w:val="20"/>
          <w:color w:val="auto"/>
        </w:rPr>
      </w:pPr>
      <w:r>
        <w:rPr>
          <w:rFonts w:ascii="Arial" w:cs="Arial" w:eastAsia="Arial" w:hAnsi="Arial"/>
          <w:sz w:val="17"/>
          <w:szCs w:val="17"/>
          <w:color w:val="auto"/>
        </w:rPr>
        <w:t>As permitted under Delaware law, and as set forth in our Certificate of Incorporation and our Bylaws, we indemnify our directors, executive officers, other officers, employees, and other agents for certain events or occurrences that may arise while in such capacity. The maximum potential amount of future payments we could be required to make under this indemnification is unlimited; however, we have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any obligations under this indemnification would not be material, other than retention of up to $10.0 million per incident for merger and acquisition related claims, $10.0 million per incident for securities related claims and $10.0 million per incident for non-securities related claims per our insurance policy. However,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Stockholders’ Equity</w:t>
      </w:r>
    </w:p>
    <w:p>
      <w:pPr>
        <w:spacing w:after="0" w:line="120" w:lineRule="exact"/>
        <w:rPr>
          <w:sz w:val="20"/>
          <w:szCs w:val="20"/>
          <w:color w:val="auto"/>
        </w:rPr>
      </w:pPr>
    </w:p>
    <w:p>
      <w:pPr>
        <w:ind w:right="260" w:firstLine="162"/>
        <w:spacing w:after="0" w:line="279" w:lineRule="auto"/>
        <w:rPr>
          <w:sz w:val="20"/>
          <w:szCs w:val="20"/>
          <w:color w:val="auto"/>
        </w:rPr>
      </w:pPr>
      <w:r>
        <w:rPr>
          <w:rFonts w:ascii="Arial" w:cs="Arial" w:eastAsia="Arial" w:hAnsi="Arial"/>
          <w:sz w:val="17"/>
          <w:szCs w:val="17"/>
          <w:color w:val="auto"/>
        </w:rPr>
        <w:t>As discussed in Note 10, on April 3, 2018, we completed the issuance and sale of 8,284,600 shares of our common stock under a Share Purchase Agreement with BMS. These shares are unregistered and subject to certain lock-up and stand-still provisions for a five-year period.</w:t>
      </w:r>
    </w:p>
    <w:p>
      <w:pPr>
        <w:spacing w:after="0" w:line="61" w:lineRule="exact"/>
        <w:rPr>
          <w:sz w:val="20"/>
          <w:szCs w:val="20"/>
          <w:color w:val="auto"/>
        </w:rPr>
      </w:pPr>
    </w:p>
    <w:p>
      <w:pPr>
        <w:ind w:right="140" w:firstLine="619"/>
        <w:spacing w:after="0" w:line="276" w:lineRule="auto"/>
        <w:rPr>
          <w:sz w:val="20"/>
          <w:szCs w:val="20"/>
          <w:color w:val="auto"/>
        </w:rPr>
      </w:pPr>
      <w:r>
        <w:rPr>
          <w:rFonts w:ascii="Arial" w:cs="Arial" w:eastAsia="Arial" w:hAnsi="Arial"/>
          <w:sz w:val="16"/>
          <w:szCs w:val="16"/>
          <w:color w:val="auto"/>
        </w:rPr>
        <w:t>Prior to the filing of this Annual Report on Form 10-K, we had an effective shelf registration statement on Form S-3 (the 2021 Shelf Registration Statement) on file with the SEC. The 2021 Shelf Registration Statement permitted the offering, issuance and sale by us of up to an aggregate offering price of $300.0 million of common stock, preferred stock, debt securities and warrants in one or more offerings and in any combination, all of which could be offered, issued and sold in “at-the-market” sales pursuant to an equity distribution agreement with Cowen and Company, LLC (the Equity Distribution Agreement). No securities were sold under the 2021 Shelf Registration Statement or the Equity Distribution Agreement. As a result of the recent decline in our market capitalization, we are no longer a well-known seasoned issuer. Accordingly, the 2021 Shelf Registration Statement will no longer be available for us to offer and sell securities pursuant to the 2021 Shelf Registration Statement following the filing of this Annual Report on Form 10-K.</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2022, shares of common stock reserved for future issuance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161925</wp:posOffset>
            </wp:positionV>
            <wp:extent cx="680593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Stock options, RSUs and PSUs outstanding</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Shares available for future grant under the 2017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Shares available for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14605</wp:posOffset>
            </wp:positionV>
            <wp:extent cx="5022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4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Total common stock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-1270</wp:posOffset>
            </wp:positionV>
            <wp:extent cx="502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22860</wp:posOffset>
            </wp:positionV>
            <wp:extent cx="5022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13"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Our accumulated other comprehensive loss as of December 31, 2022, includes $1.8 million for net unrealized losses on our available for sale securities and $5.1 million for accumulated net translation losses primarily from our subsidiary in India.</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License and Collaboration Agreements</w:t>
      </w:r>
    </w:p>
    <w:p>
      <w:pPr>
        <w:spacing w:after="0" w:line="120" w:lineRule="exact"/>
        <w:rPr>
          <w:sz w:val="20"/>
          <w:szCs w:val="20"/>
          <w:color w:val="auto"/>
        </w:rPr>
      </w:pPr>
    </w:p>
    <w:p>
      <w:pPr>
        <w:ind w:firstLine="169"/>
        <w:spacing w:after="0" w:line="299" w:lineRule="auto"/>
        <w:rPr>
          <w:sz w:val="20"/>
          <w:szCs w:val="20"/>
          <w:color w:val="auto"/>
        </w:rPr>
      </w:pPr>
      <w:r>
        <w:rPr>
          <w:rFonts w:ascii="Arial" w:cs="Arial" w:eastAsia="Arial" w:hAnsi="Arial"/>
          <w:sz w:val="15"/>
          <w:szCs w:val="15"/>
          <w:color w:val="auto"/>
        </w:rPr>
        <w:t>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and payments for the manufacture and supply of our proprietary PEGylation materials and/or reimbursement for research and development activities.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and, if so, we analyze whether we should account for any elements under ASC 606.</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accordance with our collaboration agreements, we recognized license, collaboration and other revenue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5"/>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Partner</w:t>
            </w:r>
          </w:p>
        </w:tc>
        <w:tc>
          <w:tcPr>
            <w:tcW w:w="100" w:type="dxa"/>
            <w:vAlign w:val="bottom"/>
            <w:vMerge w:val="restart"/>
          </w:tcPr>
          <w:p>
            <w:pPr>
              <w:spacing w:after="0"/>
              <w:rPr>
                <w:sz w:val="2"/>
                <w:szCs w:val="2"/>
                <w:color w:val="auto"/>
              </w:rPr>
            </w:pPr>
          </w:p>
        </w:tc>
        <w:tc>
          <w:tcPr>
            <w:tcW w:w="31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Agreement</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Bristol-Myers Squibb</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Bempegaldesleukin</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3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5,849</w:t>
            </w:r>
          </w:p>
        </w:tc>
        <w:tc>
          <w:tcPr>
            <w:tcW w:w="0" w:type="dxa"/>
            <w:vAlign w:val="bottom"/>
          </w:tcPr>
          <w:p>
            <w:pPr>
              <w:spacing w:after="0"/>
              <w:rPr>
                <w:sz w:val="1"/>
                <w:szCs w:val="1"/>
                <w:color w:val="auto"/>
              </w:rPr>
            </w:pPr>
          </w:p>
        </w:tc>
      </w:tr>
      <w:tr>
        <w:trPr>
          <w:trHeight w:val="23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License, collaboration and other revenue</w:t>
            </w:r>
          </w:p>
        </w:tc>
        <w:tc>
          <w:tcPr>
            <w:tcW w:w="3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55,849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Bristol-Myers Squibb (BMS): </w:t>
      </w:r>
      <w:r>
        <w:rPr>
          <w:rFonts w:ascii="Arial" w:cs="Arial" w:eastAsia="Arial" w:hAnsi="Arial"/>
          <w:sz w:val="17"/>
          <w:szCs w:val="17"/>
          <w:color w:val="auto"/>
        </w:rPr>
        <w:t>Bempegaldesleukin (previously referred to as NKTR-214)</w:t>
      </w:r>
    </w:p>
    <w:p>
      <w:pPr>
        <w:spacing w:after="0" w:line="165" w:lineRule="exact"/>
        <w:rPr>
          <w:sz w:val="20"/>
          <w:szCs w:val="20"/>
          <w:color w:val="auto"/>
        </w:rPr>
      </w:pPr>
    </w:p>
    <w:p>
      <w:pPr>
        <w:ind w:right="40" w:firstLine="541"/>
        <w:spacing w:after="0" w:line="261" w:lineRule="auto"/>
        <w:rPr>
          <w:sz w:val="20"/>
          <w:szCs w:val="20"/>
          <w:color w:val="auto"/>
        </w:rPr>
      </w:pPr>
      <w:r>
        <w:rPr>
          <w:rFonts w:ascii="Arial" w:cs="Arial" w:eastAsia="Arial" w:hAnsi="Arial"/>
          <w:sz w:val="16"/>
          <w:szCs w:val="16"/>
          <w:color w:val="auto"/>
        </w:rPr>
        <w:t>On February 13, 2018, we entered into a Strategic Collaboration Agreement (the BMS Collaboration Agreement) and a Share Purchase Agreement with BMS, both of which became effective on April 3, 2018. Pursuant to the BMS Collaboration Agreement, we and BMS have jointly developed bempegaldesleukin in combination with BMS’s Opdivo</w:t>
      </w:r>
      <w:r>
        <w:rPr>
          <w:rFonts w:ascii="Arial" w:cs="Arial" w:eastAsia="Arial" w:hAnsi="Arial"/>
          <w:sz w:val="21"/>
          <w:szCs w:val="21"/>
          <w:color w:val="auto"/>
          <w:vertAlign w:val="superscript"/>
        </w:rPr>
        <w:t>®</w:t>
      </w:r>
      <w:r>
        <w:rPr>
          <w:rFonts w:ascii="Arial" w:cs="Arial" w:eastAsia="Arial" w:hAnsi="Arial"/>
          <w:sz w:val="16"/>
          <w:szCs w:val="16"/>
          <w:color w:val="auto"/>
        </w:rPr>
        <w:t>. The parties share the internal and external development costs for bempegaldesleukin in combination regimens based on each party’s relative ownership interest in the compounds included in the regimens. In accordance with the agreement, the parties share development costs for bempegaldesleukin in combination with Opdivo</w:t>
      </w:r>
      <w:r>
        <w:rPr>
          <w:rFonts w:ascii="Arial" w:cs="Arial" w:eastAsia="Arial" w:hAnsi="Arial"/>
          <w:sz w:val="10"/>
          <w:szCs w:val="10"/>
          <w:color w:val="auto"/>
        </w:rPr>
        <w:t>®</w:t>
      </w:r>
      <w:r>
        <w:rPr>
          <w:rFonts w:ascii="Arial" w:cs="Arial" w:eastAsia="Arial" w:hAnsi="Arial"/>
          <w:sz w:val="16"/>
          <w:szCs w:val="16"/>
          <w:color w:val="auto"/>
        </w:rPr>
        <w:t>, 67.5% of costs to BMS and 32.5% to Nektar. The parties share costs for the manufacturing and commercialization of bempegaldesleukin, 35% of the costs to BMS and 65% to Nektar.</w:t>
      </w:r>
    </w:p>
    <w:p>
      <w:pPr>
        <w:spacing w:after="0" w:line="78" w:lineRule="exact"/>
        <w:rPr>
          <w:sz w:val="20"/>
          <w:szCs w:val="20"/>
          <w:color w:val="auto"/>
        </w:rPr>
      </w:pPr>
    </w:p>
    <w:p>
      <w:pPr>
        <w:ind w:right="80" w:firstLine="541"/>
        <w:spacing w:after="0" w:line="262" w:lineRule="auto"/>
        <w:rPr>
          <w:sz w:val="20"/>
          <w:szCs w:val="20"/>
          <w:color w:val="auto"/>
        </w:rPr>
      </w:pPr>
      <w:r>
        <w:rPr>
          <w:rFonts w:ascii="Arial" w:cs="Arial" w:eastAsia="Arial" w:hAnsi="Arial"/>
          <w:sz w:val="17"/>
          <w:szCs w:val="17"/>
          <w:color w:val="auto"/>
        </w:rPr>
        <w:t>Upon the effective date of the BMS Collaboration Agreement in April 2018, BMS paid us a non-refundable upfront cash payment of $1.0 billion and purchased 8,284,600 shares of our common stock pursuant to the Share Purchase Agreement for total additional cash consideration of $850.0 million. In 2020, we received non-refundable milestone payments of $50.0 million in aggregate for the first patient, first visit in the registrational trials in muscle-invasive bladder cancer and adjuvant melanoma.</w:t>
      </w:r>
    </w:p>
    <w:p>
      <w:pPr>
        <w:spacing w:after="0" w:line="75" w:lineRule="exact"/>
        <w:rPr>
          <w:sz w:val="20"/>
          <w:szCs w:val="20"/>
          <w:color w:val="auto"/>
        </w:rPr>
      </w:pPr>
    </w:p>
    <w:p>
      <w:pPr>
        <w:ind w:firstLine="541"/>
        <w:spacing w:after="0" w:line="277" w:lineRule="auto"/>
        <w:rPr>
          <w:sz w:val="20"/>
          <w:szCs w:val="20"/>
          <w:color w:val="auto"/>
        </w:rPr>
      </w:pPr>
      <w:r>
        <w:rPr>
          <w:rFonts w:ascii="Arial" w:cs="Arial" w:eastAsia="Arial" w:hAnsi="Arial"/>
          <w:sz w:val="16"/>
          <w:szCs w:val="16"/>
          <w:color w:val="auto"/>
        </w:rPr>
        <w:t>As discussed in Note 1, on March 14, 2022, we announced our registrational trial in metastatic melanoma did not meet its primary endpoints and that BMS and we decided to discontinue the trials in metastatic melanoma and adjuvant melanoma. On April 14, 2022, we announced that our registrational trials in each of renal cell carcinoma and cisplatin-ineligible, locally advanced or metastatic urothelial cancer did not meet their respective primary endpoints. Due to these results, BMS and we decided that these studies and all other ongoing studies in the program will be discontinued. The decision to terminate the program does not affect the cost-sharing provisions under the BMS Collaboration Agreement. However, without further development of bempegaldesleukin, we will no longer be eligible for the development, regulatory and sales milestones under the arrangement.</w:t>
      </w:r>
    </w:p>
    <w:p>
      <w:pPr>
        <w:spacing w:after="0" w:line="67" w:lineRule="exact"/>
        <w:rPr>
          <w:sz w:val="20"/>
          <w:szCs w:val="20"/>
          <w:color w:val="auto"/>
        </w:rPr>
      </w:pPr>
    </w:p>
    <w:p>
      <w:pPr>
        <w:ind w:right="100" w:firstLine="541"/>
        <w:spacing w:after="0" w:line="266" w:lineRule="auto"/>
        <w:rPr>
          <w:sz w:val="20"/>
          <w:szCs w:val="20"/>
          <w:color w:val="auto"/>
        </w:rPr>
      </w:pPr>
      <w:r>
        <w:rPr>
          <w:rFonts w:ascii="Arial" w:cs="Arial" w:eastAsia="Arial" w:hAnsi="Arial"/>
          <w:sz w:val="17"/>
          <w:szCs w:val="17"/>
          <w:color w:val="auto"/>
        </w:rPr>
        <w:t>We determined that the BMS Collaboration Agreement falls within the scope of ASC 808. As mentioned above, BMS shares certain percentages of development costs incurred by us and we share certain percentages of development costs incurred by BMS. We consider these activities to represent collaborative activities under ASC 808 and we recognize such cost sharing</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proportionately with the performance of the underlying services. We recognized BMS’ reimbursement of our expenses as a reduction of research and development</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expense and our reimbursement of BMS’ expenses as research and development expense. As discussed in Note 11, we terminated the development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bempegaldesleukin, and therefore, in the second quarter of 2022, we began reporting clinical trial, other third-party costs and employee costs for the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bempegaldesleukin program in restructuring, impairment and other costs of program. Accordingly, during the year ended December 31, 2022, we recorded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$45.7 million for the net reimbursement from BMS, of which we recorded $24.9 million as a reduction of research and development expense for the first quarter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2022, and $20.8 million as a reduction of restructuring, impairment and other costs of terminated program for the remaining three quarters of 2022. During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years ended December 31, 2021 and 2020, we recorded $101.5 million and $128.2 million, respectively, as a reduction of research and development expense for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net reimbursement from BMS. As of December 31, 2022, we have recorded an unbilled receivable of $4.2 million from BMS in accounts receivable in our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 which we received in February 2023.</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Eli Lilly and Company (Lilly): </w:t>
      </w:r>
      <w:r>
        <w:rPr>
          <w:rFonts w:ascii="Arial" w:cs="Arial" w:eastAsia="Arial" w:hAnsi="Arial"/>
          <w:sz w:val="17"/>
          <w:szCs w:val="17"/>
          <w:i w:val="1"/>
          <w:iCs w:val="1"/>
          <w:color w:val="auto"/>
        </w:rPr>
        <w:t>NKTR-358</w:t>
      </w:r>
    </w:p>
    <w:p>
      <w:pPr>
        <w:spacing w:after="0" w:line="114" w:lineRule="exact"/>
        <w:rPr>
          <w:sz w:val="20"/>
          <w:szCs w:val="20"/>
          <w:color w:val="auto"/>
        </w:rPr>
      </w:pPr>
    </w:p>
    <w:p>
      <w:pPr>
        <w:ind w:right="40" w:firstLine="172"/>
        <w:spacing w:after="0" w:line="302" w:lineRule="auto"/>
        <w:rPr>
          <w:sz w:val="20"/>
          <w:szCs w:val="20"/>
          <w:color w:val="auto"/>
        </w:rPr>
      </w:pPr>
      <w:r>
        <w:rPr>
          <w:rFonts w:ascii="Arial" w:cs="Arial" w:eastAsia="Arial" w:hAnsi="Arial"/>
          <w:sz w:val="15"/>
          <w:szCs w:val="15"/>
          <w:color w:val="auto"/>
        </w:rPr>
        <w:t>On July 23, 2017, we entered into a worldwide license agreement (the Lilly Agreement) with Eli Lilly and Company (Lilly) to co-develop rezpegaldesleukin, a novel immunological drug candidate that we invented, pursuant to which we received an initial payment of $150.0 million and are eligible for up to $250.0 million in additional development and regulatory milestones. Although we are entitled to significant development milestones under this arrangement if Lilly decides to proceed to Phase 3 development, we have excluded such milestones from the transaction price due to the significant uncertainties involved with clinical development. We re-evaluate the transaction price at each reporting period and as uncertain events are resolved or other changes in circumstances occur.</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are currently in Phase 1B and Phase 2 development, where we share costs with 75% of the costs borne by Lilly and 25% of the costs borne by us.</w:t>
      </w:r>
    </w:p>
    <w:p>
      <w:pPr>
        <w:spacing w:after="0" w:line="7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Lilly is responsible for the costs of Phase 3 development, but we retain the option to contribute up to 25% of the costs of Phase 3 development on an indication-by-indication basis in order for us to achieve the maximum royalty level under the Lilly Agreement, and further, if approved, we will have the opportunity to receive a royalty rate up to the low twenties percent based upon our Phase 3 development cost contribution and the level of annual global product sales. Lilly will be responsible for all costs of global commercialization, and we will have an option to co-promote in the U.S. under certain conditions. A portion of the development milestones may be reduced by 50% under certain conditions, related to the final formulation of the approved product and the timing of prior approval (if any) of competitive products with a similar mechanism of action, which could reduce these milestone payments by 75% if both conditions occur. The Lilly Agreement will continue until Lilly no longer has any royalty payment obligations or, if earlier, the termination of the agreement in accordance with its terms. The Lilly Agreement may be terminated by Lilly for convenience, and may also be terminated under certain other circumstances, including material breach.</w:t>
      </w:r>
    </w:p>
    <w:p>
      <w:pPr>
        <w:spacing w:after="0" w:line="57" w:lineRule="exact"/>
        <w:rPr>
          <w:sz w:val="20"/>
          <w:szCs w:val="20"/>
          <w:color w:val="auto"/>
        </w:rPr>
      </w:pPr>
    </w:p>
    <w:p>
      <w:pPr>
        <w:ind w:right="260" w:firstLine="619"/>
        <w:spacing w:after="0" w:line="266" w:lineRule="auto"/>
        <w:rPr>
          <w:sz w:val="20"/>
          <w:szCs w:val="20"/>
          <w:color w:val="auto"/>
        </w:rPr>
      </w:pPr>
      <w:r>
        <w:rPr>
          <w:rFonts w:ascii="Arial" w:cs="Arial" w:eastAsia="Arial" w:hAnsi="Arial"/>
          <w:sz w:val="17"/>
          <w:szCs w:val="17"/>
          <w:color w:val="auto"/>
        </w:rPr>
        <w:t>On February 23, 2023, we announced the topline data from the Phase 2 study of rezpegaldesleukin in adult patients with systemic lupus erythematosus (SLE) (Phase 2 Lupus Study). The primary endpoint of the Phase 2 Lupus Study was not met, and Lilly has notified us that it does not intend to advance rezpegaldesleukin into Phase 3 development for SLE.</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Baxalta Inc. / Takeda Pharmaceutical Ltd.: </w:t>
      </w:r>
      <w:r>
        <w:rPr>
          <w:rFonts w:ascii="Arial" w:cs="Arial" w:eastAsia="Arial" w:hAnsi="Arial"/>
          <w:sz w:val="17"/>
          <w:szCs w:val="17"/>
          <w:i w:val="1"/>
          <w:iCs w:val="1"/>
          <w:color w:val="auto"/>
        </w:rPr>
        <w:t>Hemophilia</w:t>
      </w:r>
    </w:p>
    <w:p>
      <w:pPr>
        <w:spacing w:after="0" w:line="114" w:lineRule="exact"/>
        <w:rPr>
          <w:sz w:val="20"/>
          <w:szCs w:val="20"/>
          <w:color w:val="auto"/>
        </w:rPr>
      </w:pPr>
    </w:p>
    <w:p>
      <w:pPr>
        <w:ind w:right="40" w:firstLine="169"/>
        <w:spacing w:after="0" w:line="277" w:lineRule="auto"/>
        <w:rPr>
          <w:sz w:val="20"/>
          <w:szCs w:val="20"/>
          <w:color w:val="auto"/>
        </w:rPr>
      </w:pPr>
      <w:r>
        <w:rPr>
          <w:rFonts w:ascii="Arial" w:cs="Arial" w:eastAsia="Arial" w:hAnsi="Arial"/>
          <w:sz w:val="16"/>
          <w:szCs w:val="16"/>
          <w:color w:val="auto"/>
        </w:rPr>
        <w:t>We are a party to an exclusive research, development, license and manufacturing and supply agreement with Baxalta Inc. (Baxalta), a subsidiary of Takeda Pharmaceutical Company Ltd. (Takeda), entered into in September 2005 to develop products designed to improve therapies for Hemophilia A patients using our PEGylation technology, resulting in the approval of ADYNOVATE</w:t>
      </w:r>
      <w:r>
        <w:rPr>
          <w:rFonts w:ascii="Arial" w:cs="Arial" w:eastAsia="Arial" w:hAnsi="Arial"/>
          <w:sz w:val="9"/>
          <w:szCs w:val="9"/>
          <w:color w:val="auto"/>
        </w:rPr>
        <w:t>®</w:t>
      </w:r>
      <w:r>
        <w:rPr>
          <w:rFonts w:ascii="Arial" w:cs="Arial" w:eastAsia="Arial" w:hAnsi="Arial"/>
          <w:sz w:val="16"/>
          <w:szCs w:val="16"/>
          <w:color w:val="auto"/>
        </w:rPr>
        <w:t xml:space="preserve"> by the FDA in 2015, which is now marketed in the U.S., the European Union, and many other countries. We are entitled to royalties based on worldwide net sales of ADYNOVATE</w:t>
      </w:r>
      <w:r>
        <w:rPr>
          <w:rFonts w:ascii="Arial" w:cs="Arial" w:eastAsia="Arial" w:hAnsi="Arial"/>
          <w:sz w:val="9"/>
          <w:szCs w:val="9"/>
          <w:color w:val="auto"/>
        </w:rPr>
        <w:t>®</w:t>
      </w:r>
      <w:r>
        <w:rPr>
          <w:rFonts w:ascii="Arial" w:cs="Arial" w:eastAsia="Arial" w:hAnsi="Arial"/>
          <w:sz w:val="16"/>
          <w:szCs w:val="16"/>
          <w:color w:val="auto"/>
        </w:rPr>
        <w:t xml:space="preserve"> and a sales milestone upon achievement of an annual worldwide net sales target. We are responsible for supplying Takeda with its requirements for our proprietary materials. Takeda is responsible for all clinical development, regulatory, and commercialization expenses. The agreement is terminable by the parties under customary conditions.</w:t>
      </w:r>
    </w:p>
    <w:p>
      <w:pPr>
        <w:spacing w:after="0" w:line="170" w:lineRule="exact"/>
        <w:rPr>
          <w:sz w:val="20"/>
          <w:szCs w:val="20"/>
          <w:color w:val="auto"/>
        </w:rPr>
      </w:pPr>
    </w:p>
    <w:p>
      <w:pPr>
        <w:jc w:val="both"/>
        <w:ind w:firstLine="173"/>
        <w:spacing w:after="0" w:line="262" w:lineRule="auto"/>
        <w:rPr>
          <w:sz w:val="20"/>
          <w:szCs w:val="20"/>
          <w:color w:val="auto"/>
        </w:rPr>
      </w:pPr>
      <w:r>
        <w:rPr>
          <w:rFonts w:ascii="Arial" w:cs="Arial" w:eastAsia="Arial" w:hAnsi="Arial"/>
          <w:sz w:val="17"/>
          <w:szCs w:val="17"/>
          <w:color w:val="auto"/>
        </w:rPr>
        <w:t>In October 2017, we entered into a right to sublicense agreement with Baxalta, under which we granted to Baxalta the right to grant a nonexclusive sublicense to certain patents that were previously exclusively licensed to Baxalta under our 2005 agreement. Under the right to sublicense agreement, we are entitled to single digit royalty payments based upon net sales of the products covered under the sublicense throughout the term of the agreement. As described in Note 7, we sold our rights to receive these royalties to HCR pursuant to the 2020 Purchase and Sale Agreement.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AstraZeneca AB</w:t>
      </w:r>
      <w:r>
        <w:rPr>
          <w:rFonts w:ascii="Arial" w:cs="Arial" w:eastAsia="Arial" w:hAnsi="Arial"/>
          <w:sz w:val="17"/>
          <w:szCs w:val="17"/>
          <w:i w:val="1"/>
          <w:iCs w:val="1"/>
          <w:color w:val="auto"/>
        </w:rPr>
        <w:t>: MOVANTIK</w:t>
      </w:r>
      <w:r>
        <w:rPr>
          <w:rFonts w:ascii="Arial" w:cs="Arial" w:eastAsia="Arial" w:hAnsi="Arial"/>
          <w:sz w:val="22"/>
          <w:szCs w:val="22"/>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(naloxegol oxalate)</w:t>
      </w:r>
    </w:p>
    <w:p>
      <w:pPr>
        <w:spacing w:after="0" w:line="63" w:lineRule="exact"/>
        <w:rPr>
          <w:sz w:val="20"/>
          <w:szCs w:val="20"/>
          <w:color w:val="auto"/>
        </w:rPr>
      </w:pPr>
    </w:p>
    <w:p>
      <w:pPr>
        <w:ind w:right="180" w:firstLine="172"/>
        <w:spacing w:after="0" w:line="279" w:lineRule="auto"/>
        <w:rPr>
          <w:sz w:val="20"/>
          <w:szCs w:val="20"/>
          <w:color w:val="auto"/>
        </w:rPr>
      </w:pPr>
      <w:r>
        <w:rPr>
          <w:rFonts w:ascii="Arial" w:cs="Arial" w:eastAsia="Arial" w:hAnsi="Arial"/>
          <w:sz w:val="16"/>
          <w:szCs w:val="16"/>
          <w:color w:val="auto"/>
        </w:rPr>
        <w:t>In September 2009, we entered into an agreement with AstraZeneca AB (AstraZeneca) under which we granted AstraZeneca a worldwide, exclusive license under our patents and other intellectual property to develop, market, and sell MOVANTIK</w:t>
      </w:r>
      <w:r>
        <w:rPr>
          <w:rFonts w:ascii="Arial" w:cs="Arial" w:eastAsia="Arial" w:hAnsi="Arial"/>
          <w:sz w:val="9"/>
          <w:szCs w:val="9"/>
          <w:color w:val="auto"/>
        </w:rPr>
        <w:t>®</w:t>
      </w:r>
      <w:r>
        <w:rPr>
          <w:rFonts w:ascii="Arial" w:cs="Arial" w:eastAsia="Arial" w:hAnsi="Arial"/>
          <w:sz w:val="16"/>
          <w:szCs w:val="16"/>
          <w:color w:val="auto"/>
        </w:rPr>
        <w:t>. AstraZeneca is responsible for all research, development and commercialization costs and related decisions for MOVANTIK</w:t>
      </w:r>
      <w:r>
        <w:rPr>
          <w:rFonts w:ascii="Arial" w:cs="Arial" w:eastAsia="Arial" w:hAnsi="Arial"/>
          <w:sz w:val="9"/>
          <w:szCs w:val="9"/>
          <w:color w:val="auto"/>
        </w:rPr>
        <w:t>®</w:t>
      </w:r>
      <w:r>
        <w:rPr>
          <w:rFonts w:ascii="Arial" w:cs="Arial" w:eastAsia="Arial" w:hAnsi="Arial"/>
          <w:sz w:val="16"/>
          <w:szCs w:val="16"/>
          <w:color w:val="auto"/>
        </w:rPr>
        <w:t>. Through various sublicense arrangements to RedHill Biopharma, Kyowa Hakko Kirin Co. Ltd. and Knight Therapeutics, as of April 2020, AstraZeneca has sub-licensed all of its global commercialization rights. Our rights, including the royalty rate, royalty term and future potential sales milestones, remain unchanged as a result of these sublicenses.</w:t>
      </w:r>
    </w:p>
    <w:p>
      <w:pPr>
        <w:spacing w:after="0" w:line="65"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We are generally entitled to escalating double-digit royalty payments and sales milestones for net sales of MOVANTIK</w:t>
      </w:r>
      <w:r>
        <w:rPr>
          <w:rFonts w:ascii="Arial" w:cs="Arial" w:eastAsia="Arial" w:hAnsi="Arial"/>
          <w:sz w:val="10"/>
          <w:szCs w:val="10"/>
          <w:color w:val="auto"/>
        </w:rPr>
        <w:t>®</w:t>
      </w:r>
      <w:r>
        <w:rPr>
          <w:rFonts w:ascii="Arial" w:cs="Arial" w:eastAsia="Arial" w:hAnsi="Arial"/>
          <w:sz w:val="17"/>
          <w:szCs w:val="17"/>
          <w:color w:val="auto"/>
        </w:rPr>
        <w:t>. As described in Note 7, we sold our rights to receive these royalties to HCR pursuant to the 2020 Purchase and Sale Agreement.</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w:t>
      </w:r>
    </w:p>
    <w:p>
      <w:pPr>
        <w:spacing w:after="0" w:line="165" w:lineRule="exact"/>
        <w:rPr>
          <w:sz w:val="20"/>
          <w:szCs w:val="20"/>
          <w:color w:val="auto"/>
        </w:rPr>
      </w:pPr>
    </w:p>
    <w:p>
      <w:pPr>
        <w:ind w:right="220" w:firstLine="541"/>
        <w:spacing w:after="0" w:line="277" w:lineRule="auto"/>
        <w:rPr>
          <w:sz w:val="20"/>
          <w:szCs w:val="20"/>
          <w:color w:val="auto"/>
        </w:rPr>
      </w:pPr>
      <w:r>
        <w:rPr>
          <w:rFonts w:ascii="Arial" w:cs="Arial" w:eastAsia="Arial" w:hAnsi="Arial"/>
          <w:sz w:val="16"/>
          <w:szCs w:val="16"/>
          <w:color w:val="auto"/>
        </w:rPr>
        <w:t>We have other collaboration agreements that have resulted in commercialized products for our collaborations partners. Under these agreements, we may sell our proprietary PEGylation materials for use in these products, and we are entitled to receive royalties based on net sales of these products as well as sales milestones. Additionally, we have a collaboration agreement for a product under development, under which we are entitled to up to a total of $40.0 million of regulatory milestones, as well as royalties based on net sales, if approved, and sales milestones upon achievement of an annual net sales targets. However, given the current phase of development of the product under this collaboration agreement, we cannot estimate the probability or timing of achieving these milestones, and, therefore, have excluded all development milestones from the transaction price for this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Restructuring, Impairment and Other Costs of Terminated Program</w:t>
      </w:r>
    </w:p>
    <w:p>
      <w:pPr>
        <w:spacing w:after="0" w:line="171" w:lineRule="exact"/>
        <w:rPr>
          <w:sz w:val="20"/>
          <w:szCs w:val="20"/>
          <w:color w:val="auto"/>
        </w:rPr>
      </w:pPr>
    </w:p>
    <w:p>
      <w:pPr>
        <w:ind w:right="200" w:firstLine="541"/>
        <w:spacing w:after="0" w:line="279" w:lineRule="auto"/>
        <w:rPr>
          <w:sz w:val="20"/>
          <w:szCs w:val="20"/>
          <w:color w:val="auto"/>
        </w:rPr>
      </w:pPr>
      <w:r>
        <w:rPr>
          <w:rFonts w:ascii="Arial" w:cs="Arial" w:eastAsia="Arial" w:hAnsi="Arial"/>
          <w:sz w:val="16"/>
          <w:szCs w:val="16"/>
          <w:color w:val="auto"/>
        </w:rPr>
        <w:t>As discussed in Note 1, because our registrational trials in bempegaldesleukin did not meet their primary endpoints, we decided to discontinue all of our ongoing clinical trials of bempegaldesleukin in combination with checkpoint inhibitors and tyrosine kinase inhibitors, and, during April 2022, we announced the 2022 Restructuring Plan to prioritize key Phase 2 development programs, to advance our early stage research pipeline and to reduce our workforce by approximately 70% from approximately 735 to approximately 225 employees. In connection with these events, we reported the following costs in restructuring, impairment and other costs of terminated program for the year ended December 31, 2022:</w:t>
      </w:r>
    </w:p>
    <w:p>
      <w:pPr>
        <w:spacing w:after="0" w:line="117" w:lineRule="exact"/>
        <w:rPr>
          <w:sz w:val="20"/>
          <w:szCs w:val="20"/>
          <w:color w:val="auto"/>
        </w:rPr>
      </w:pPr>
    </w:p>
    <w:p>
      <w:pPr>
        <w:ind w:left="620" w:right="24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Clinical trial expense, other third-party costs and employee costs for the wind down of the bempegaldesleukin program, net of the reimbursement from BMS;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Severance and related benefit costs pursuant to the 2022 Restructuring Plan;</w:t>
      </w:r>
    </w:p>
    <w:p>
      <w:pPr>
        <w:spacing w:after="0" w:line="165"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Impairment of sublease assets, including right-of-use assets and property, plant and equipment resulting from the 2022 Restructuring Plan, reflecting excess office and laboratory leased spaces in San Francisco, CA;</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(Gain) loss on sale or disposal of property, plant and equipment;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Contract termination and other costs associated with the wind down of the bempegaldesleukin program.</w:t>
      </w:r>
    </w:p>
    <w:p>
      <w:pPr>
        <w:spacing w:after="0" w:line="114" w:lineRule="exact"/>
        <w:rPr>
          <w:sz w:val="20"/>
          <w:szCs w:val="20"/>
          <w:color w:val="auto"/>
        </w:rPr>
      </w:pPr>
    </w:p>
    <w:p>
      <w:pPr>
        <w:ind w:right="200" w:firstLine="541"/>
        <w:spacing w:after="0" w:line="279" w:lineRule="auto"/>
        <w:rPr>
          <w:sz w:val="20"/>
          <w:szCs w:val="20"/>
          <w:color w:val="auto"/>
        </w:rPr>
      </w:pPr>
      <w:r>
        <w:rPr>
          <w:rFonts w:ascii="Arial" w:cs="Arial" w:eastAsia="Arial" w:hAnsi="Arial"/>
          <w:sz w:val="17"/>
          <w:szCs w:val="17"/>
          <w:color w:val="auto"/>
        </w:rPr>
        <w:t>In prior periods through March 31, 2022, we reported the clinical trial costs, other third-party costs and employee costs related to the bempegaldesleukin program primarily in research and development expense.</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Restructuring, impairment and other costs of terminated program includes the following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1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4"/>
        </w:trPr>
        <w:tc>
          <w:tcPr>
            <w:tcW w:w="9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5"/>
              </w:rPr>
              <w:t>December 31, 2022</w:t>
            </w:r>
          </w:p>
        </w:tc>
        <w:tc>
          <w:tcPr>
            <w:tcW w:w="0" w:type="dxa"/>
            <w:vAlign w:val="bottom"/>
          </w:tcPr>
          <w:p>
            <w:pPr>
              <w:spacing w:after="0"/>
              <w:rPr>
                <w:sz w:val="1"/>
                <w:szCs w:val="1"/>
                <w:color w:val="auto"/>
              </w:rPr>
            </w:pPr>
          </w:p>
        </w:tc>
      </w:tr>
      <w:tr>
        <w:trPr>
          <w:trHeight w:val="244"/>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Clinical trial expense, other third-party and employee costs for the wind down of the bempegaldesleukin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31,693</w:t>
            </w:r>
          </w:p>
        </w:tc>
        <w:tc>
          <w:tcPr>
            <w:tcW w:w="0" w:type="dxa"/>
            <w:vAlign w:val="bottom"/>
          </w:tcPr>
          <w:p>
            <w:pPr>
              <w:spacing w:after="0"/>
              <w:rPr>
                <w:sz w:val="1"/>
                <w:szCs w:val="1"/>
                <w:color w:val="auto"/>
              </w:rPr>
            </w:pPr>
          </w:p>
        </w:tc>
      </w:tr>
      <w:tr>
        <w:trPr>
          <w:trHeight w:val="257"/>
        </w:trPr>
        <w:tc>
          <w:tcPr>
            <w:tcW w:w="9920" w:type="dxa"/>
            <w:vAlign w:val="bottom"/>
          </w:tcPr>
          <w:p>
            <w:pPr>
              <w:ind w:left="20"/>
              <w:spacing w:after="0"/>
              <w:rPr>
                <w:sz w:val="20"/>
                <w:szCs w:val="20"/>
                <w:color w:val="auto"/>
              </w:rPr>
            </w:pPr>
            <w:r>
              <w:rPr>
                <w:rFonts w:ascii="Arial" w:cs="Arial" w:eastAsia="Arial" w:hAnsi="Arial"/>
                <w:sz w:val="17"/>
                <w:szCs w:val="17"/>
                <w:color w:val="auto"/>
              </w:rPr>
              <w:t>Severance and benefit expense</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30,904</w:t>
            </w:r>
          </w:p>
        </w:tc>
        <w:tc>
          <w:tcPr>
            <w:tcW w:w="0" w:type="dxa"/>
            <w:vAlign w:val="bottom"/>
          </w:tcPr>
          <w:p>
            <w:pPr>
              <w:spacing w:after="0"/>
              <w:rPr>
                <w:sz w:val="1"/>
                <w:szCs w:val="1"/>
                <w:color w:val="auto"/>
              </w:rPr>
            </w:pP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right-of-use assets and property, plant and equipment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65,761</w:t>
            </w:r>
          </w:p>
        </w:tc>
        <w:tc>
          <w:tcPr>
            <w:tcW w:w="0" w:type="dxa"/>
            <w:vAlign w:val="bottom"/>
          </w:tcPr>
          <w:p>
            <w:pPr>
              <w:spacing w:after="0"/>
              <w:rPr>
                <w:sz w:val="1"/>
                <w:szCs w:val="1"/>
                <w:color w:val="auto"/>
              </w:rPr>
            </w:pPr>
          </w:p>
        </w:tc>
      </w:tr>
      <w:tr>
        <w:trPr>
          <w:trHeight w:val="412"/>
        </w:trPr>
        <w:tc>
          <w:tcPr>
            <w:tcW w:w="9920" w:type="dxa"/>
            <w:vAlign w:val="bottom"/>
          </w:tcPr>
          <w:p>
            <w:pPr>
              <w:ind w:left="20"/>
              <w:spacing w:after="0"/>
              <w:rPr>
                <w:sz w:val="20"/>
                <w:szCs w:val="20"/>
                <w:color w:val="auto"/>
              </w:rPr>
            </w:pPr>
            <w:r>
              <w:rPr>
                <w:rFonts w:ascii="Arial" w:cs="Arial" w:eastAsia="Arial" w:hAnsi="Arial"/>
                <w:sz w:val="17"/>
                <w:szCs w:val="17"/>
                <w:color w:val="auto"/>
              </w:rPr>
              <w:t>(Gain) loss on sale or disposal of property, plant and equipment, net</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(3,326)</w:t>
            </w:r>
          </w:p>
        </w:tc>
        <w:tc>
          <w:tcPr>
            <w:tcW w:w="0" w:type="dxa"/>
            <w:vAlign w:val="bottom"/>
          </w:tcPr>
          <w:p>
            <w:pPr>
              <w:spacing w:after="0"/>
              <w:rPr>
                <w:sz w:val="1"/>
                <w:szCs w:val="1"/>
                <w:color w:val="auto"/>
              </w:rPr>
            </w:pPr>
          </w:p>
        </w:tc>
      </w:tr>
      <w:tr>
        <w:trPr>
          <w:trHeight w:val="258"/>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termination and other restructuring costs</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10,898</w:t>
            </w:r>
          </w:p>
        </w:tc>
        <w:tc>
          <w:tcPr>
            <w:tcW w:w="0" w:type="dxa"/>
            <w:vAlign w:val="bottom"/>
          </w:tcPr>
          <w:p>
            <w:pPr>
              <w:spacing w:after="0"/>
              <w:rPr>
                <w:sz w:val="1"/>
                <w:szCs w:val="1"/>
                <w:color w:val="auto"/>
              </w:rPr>
            </w:pPr>
          </w:p>
        </w:tc>
      </w:tr>
      <w:tr>
        <w:trPr>
          <w:trHeight w:val="213"/>
        </w:trPr>
        <w:tc>
          <w:tcPr>
            <w:tcW w:w="9920" w:type="dxa"/>
            <w:vAlign w:val="bottom"/>
          </w:tcPr>
          <w:p>
            <w:pPr>
              <w:ind w:left="220"/>
              <w:spacing w:after="0"/>
              <w:rPr>
                <w:sz w:val="20"/>
                <w:szCs w:val="20"/>
                <w:color w:val="auto"/>
              </w:rPr>
            </w:pPr>
            <w:r>
              <w:rPr>
                <w:rFonts w:ascii="Arial" w:cs="Arial" w:eastAsia="Arial" w:hAnsi="Arial"/>
                <w:sz w:val="17"/>
                <w:szCs w:val="17"/>
                <w:color w:val="auto"/>
              </w:rPr>
              <w:t>Restructuring, impairment and other costs of terminated program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135,930</w:t>
            </w:r>
          </w:p>
        </w:tc>
        <w:tc>
          <w:tcPr>
            <w:tcW w:w="0" w:type="dxa"/>
            <w:vAlign w:val="bottom"/>
          </w:tcPr>
          <w:p>
            <w:pPr>
              <w:spacing w:after="0"/>
              <w:rPr>
                <w:sz w:val="1"/>
                <w:szCs w:val="1"/>
                <w:color w:val="auto"/>
              </w:rPr>
            </w:pPr>
          </w:p>
        </w:tc>
      </w:tr>
      <w:tr>
        <w:trPr>
          <w:trHeight w:val="20"/>
        </w:trPr>
        <w:tc>
          <w:tcPr>
            <w:tcW w:w="9920" w:type="dxa"/>
            <w:vAlign w:val="bottom"/>
            <w:vMerge w:val="restart"/>
          </w:tcPr>
          <w:p>
            <w:pPr>
              <w:ind w:left="5540"/>
              <w:spacing w:after="0"/>
              <w:rPr>
                <w:sz w:val="20"/>
                <w:szCs w:val="20"/>
                <w:color w:val="auto"/>
              </w:rPr>
            </w:pPr>
            <w:r>
              <w:rPr>
                <w:rFonts w:ascii="Arial" w:cs="Arial" w:eastAsia="Arial" w:hAnsi="Arial"/>
                <w:sz w:val="17"/>
                <w:szCs w:val="17"/>
                <w:color w:val="auto"/>
              </w:rPr>
              <w:t>84</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9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Clinical trial expense, other third-party and employee costs for the wind down of the bempegaldesleukin program</w:t>
      </w:r>
    </w:p>
    <w:p>
      <w:pPr>
        <w:spacing w:after="0" w:line="114" w:lineRule="exact"/>
        <w:rPr>
          <w:sz w:val="20"/>
          <w:szCs w:val="20"/>
          <w:color w:val="auto"/>
        </w:rPr>
      </w:pPr>
    </w:p>
    <w:p>
      <w:pPr>
        <w:ind w:right="340" w:firstLine="541"/>
        <w:spacing w:after="0" w:line="266" w:lineRule="auto"/>
        <w:rPr>
          <w:sz w:val="20"/>
          <w:szCs w:val="20"/>
          <w:color w:val="auto"/>
        </w:rPr>
      </w:pPr>
      <w:r>
        <w:rPr>
          <w:rFonts w:ascii="Arial" w:cs="Arial" w:eastAsia="Arial" w:hAnsi="Arial"/>
          <w:sz w:val="17"/>
          <w:szCs w:val="17"/>
          <w:color w:val="auto"/>
        </w:rPr>
        <w:t>The clinical costs associated with winding down the bempegaldesleukin program primarily include clinical trial and other development expenses to transition patients from our sponsor-led trials to standard of care or our post-trial access program, as well as direct employee costs supporting these efforts. We recorded a reduction of expense of $20.8 million for the net reimbursement from BMS primarily for such costs.</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Severance and Benefit Expense</w:t>
      </w:r>
    </w:p>
    <w:p>
      <w:pPr>
        <w:spacing w:after="0" w:line="165" w:lineRule="exact"/>
        <w:rPr>
          <w:sz w:val="20"/>
          <w:szCs w:val="20"/>
          <w:color w:val="auto"/>
        </w:rPr>
      </w:pPr>
    </w:p>
    <w:p>
      <w:pPr>
        <w:ind w:right="80" w:firstLine="541"/>
        <w:spacing w:after="0" w:line="258" w:lineRule="auto"/>
        <w:rPr>
          <w:sz w:val="20"/>
          <w:szCs w:val="20"/>
          <w:color w:val="auto"/>
        </w:rPr>
      </w:pPr>
      <w:r>
        <w:rPr>
          <w:rFonts w:ascii="Arial" w:cs="Arial" w:eastAsia="Arial" w:hAnsi="Arial"/>
          <w:sz w:val="17"/>
          <w:szCs w:val="17"/>
          <w:color w:val="auto"/>
        </w:rPr>
        <w:t>Employees affected by the reduction in force under our 2022 Restructuring Plan were entitled to receive severance payments and certain Company funded benefits. We recognized severance and benefit expense in full for employees who were notified of their termination in April 2022 and had no requirements for future service, and we recognized expense for employees who were required to render services to receive their severance ratably over the service period. This service period began in April 2022 with all affected employees terminated on or before December 31, 2022, and therefore we will recognize no further expense. The following table provides details regarding the severance and other termination benefit expense. We present the liability, which we paid in January 2023, in accrued compensation on our Consolidated Balance Sheet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6"/>
          </w:tcPr>
          <w:p>
            <w:pPr>
              <w:jc w:val="center"/>
              <w:ind w:left="780"/>
              <w:spacing w:after="0"/>
              <w:rPr>
                <w:sz w:val="20"/>
                <w:szCs w:val="20"/>
                <w:color w:val="auto"/>
              </w:rPr>
            </w:pPr>
            <w:r>
              <w:rPr>
                <w:rFonts w:ascii="Arial" w:cs="Arial" w:eastAsia="Arial" w:hAnsi="Arial"/>
                <w:sz w:val="14"/>
                <w:szCs w:val="14"/>
                <w:b w:val="1"/>
                <w:bCs w:val="1"/>
                <w:color w:val="auto"/>
                <w:w w:val="87"/>
              </w:rPr>
              <w:t>Year Ended December 31, 2022</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6"/>
              </w:rPr>
              <w:t>No service period</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7"/>
              </w:rPr>
              <w:t>Service period</w:t>
            </w:r>
          </w:p>
        </w:tc>
        <w:tc>
          <w:tcPr>
            <w:tcW w:w="320" w:type="dxa"/>
            <w:vAlign w:val="bottom"/>
          </w:tcPr>
          <w:p>
            <w:pPr>
              <w:spacing w:after="0"/>
              <w:rPr>
                <w:sz w:val="10"/>
                <w:szCs w:val="10"/>
                <w:color w:val="auto"/>
              </w:rPr>
            </w:pPr>
          </w:p>
        </w:tc>
        <w:tc>
          <w:tcPr>
            <w:tcW w:w="96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7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required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balance as of March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7180" w:type="dxa"/>
            <w:vAlign w:val="bottom"/>
          </w:tcPr>
          <w:p>
            <w:pPr>
              <w:ind w:left="220"/>
              <w:spacing w:after="0"/>
              <w:rPr>
                <w:sz w:val="20"/>
                <w:szCs w:val="20"/>
                <w:color w:val="auto"/>
              </w:rPr>
            </w:pPr>
            <w:r>
              <w:rPr>
                <w:rFonts w:ascii="Arial" w:cs="Arial" w:eastAsia="Arial" w:hAnsi="Arial"/>
                <w:sz w:val="17"/>
                <w:szCs w:val="17"/>
                <w:color w:val="auto"/>
              </w:rPr>
              <w:t>Expense recognized during the period</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22,993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30,904</w:t>
            </w:r>
          </w:p>
        </w:tc>
        <w:tc>
          <w:tcPr>
            <w:tcW w:w="0" w:type="dxa"/>
            <w:vAlign w:val="bottom"/>
          </w:tcPr>
          <w:p>
            <w:pPr>
              <w:spacing w:after="0"/>
              <w:rPr>
                <w:sz w:val="1"/>
                <w:szCs w:val="1"/>
                <w:color w:val="auto"/>
              </w:rPr>
            </w:pPr>
          </w:p>
        </w:tc>
      </w:tr>
      <w:tr>
        <w:trPr>
          <w:trHeight w:val="258"/>
        </w:trPr>
        <w:tc>
          <w:tcPr>
            <w:tcW w:w="7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during the period</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(27,605)</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Arial" w:cs="Arial" w:eastAsia="Arial" w:hAnsi="Arial"/>
                <w:sz w:val="17"/>
                <w:szCs w:val="17"/>
                <w:color w:val="auto"/>
              </w:rPr>
              <w:t>Liability balance as of December 31, 2022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3,299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3,299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Impairment of Right-of-Use Assets and Property, Plant and Equipment</w:t>
      </w:r>
    </w:p>
    <w:p>
      <w:pPr>
        <w:spacing w:after="0" w:line="165" w:lineRule="exact"/>
        <w:rPr>
          <w:sz w:val="20"/>
          <w:szCs w:val="20"/>
          <w:color w:val="auto"/>
        </w:rPr>
      </w:pPr>
    </w:p>
    <w:p>
      <w:pPr>
        <w:ind w:right="100" w:firstLine="541"/>
        <w:spacing w:after="0" w:line="266" w:lineRule="auto"/>
        <w:rPr>
          <w:sz w:val="20"/>
          <w:szCs w:val="20"/>
          <w:color w:val="auto"/>
        </w:rPr>
      </w:pPr>
      <w:r>
        <w:rPr>
          <w:rFonts w:ascii="Arial" w:cs="Arial" w:eastAsia="Arial" w:hAnsi="Arial"/>
          <w:sz w:val="17"/>
          <w:szCs w:val="17"/>
          <w:color w:val="auto"/>
        </w:rPr>
        <w:t>In connection with our 2022 Restructuring Plan, we have consolidated our San Francisco operations in our Mission Bay Facility, and we have vacated our Third St. Facility and certain laboratory and office spaces at our Mission Bay Facility. We are seeking to sublease the vacated spaces, while still maintaining sufficient office and laboratory space to allow our team to develop our proprietary programs.</w:t>
      </w:r>
    </w:p>
    <w:p>
      <w:pPr>
        <w:spacing w:after="0" w:line="72" w:lineRule="exact"/>
        <w:rPr>
          <w:sz w:val="20"/>
          <w:szCs w:val="20"/>
          <w:color w:val="auto"/>
        </w:rPr>
      </w:pPr>
    </w:p>
    <w:p>
      <w:pPr>
        <w:ind w:firstLine="541"/>
        <w:spacing w:after="0" w:line="272" w:lineRule="auto"/>
        <w:rPr>
          <w:sz w:val="20"/>
          <w:szCs w:val="20"/>
          <w:color w:val="auto"/>
        </w:rPr>
      </w:pPr>
      <w:r>
        <w:rPr>
          <w:rFonts w:ascii="Arial" w:cs="Arial" w:eastAsia="Arial" w:hAnsi="Arial"/>
          <w:sz w:val="16"/>
          <w:szCs w:val="16"/>
          <w:color w:val="auto"/>
        </w:rPr>
        <w:t>As a result of these plans, we reviewed each of our vacated spaces for impairment as of May 31, 2022, when management had determined which spaces we would seek to sublease, and subsequently at each reporting date or as facts and circumstances changed. As part of our impairment evaluation of each vacated space, we separately compared the estimated undiscounted income to the net book value of the related long-term assets, which include right-of-use assets and certain property, plant and equipment, primarily leasehold improvements (collectively, sublease assets). We estimated sublease income using market participant assumptions, including the length of time to enter into a sublease and sublease payments, which we evaluated using sublease negotiations or agreements when applicable, current real estate trends and market conditions. If such income exceeded the net book value of the related assets, we did not record an impairment charge. Otherwise, we recorded an impairment charge by reducing the net book value of the assets to their estimated fair value, which we determined by discounting the estimated sublease cash flows using the estimated borrowing rate of a market participant subtenant, which we estimated to be 6.4% and 7.9% as of May 31, 2022 and December 31, 2022, respectively. We recorded the substantial majority of our impairment charges as of May 31, 2022, primarily reflecting decreased rental recovery rates for our office lease space on Third St. However, as the office lease market in San Francisco deteriorated after May 31, 2022 in the fourth quarter of 2022, we recorded an additional impairment charge of $12.0 million in the three months ended December 31, 2022, for the Third St. Facility, reflecting an increase in our estimated time to enter into a sublease.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recorded impairment charges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464820</wp:posOffset>
            </wp:positionV>
            <wp:extent cx="7138670" cy="163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book value of impaired sublease assets as of May 31, 2022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Fair value of impaired sublease assets — Level 3 of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163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Book value in excess of fair value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Less: Amounts recorded as amortization between May 31 and December 31, 2022 for Third St.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7138670" cy="163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impairment of sublease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20"/>
              <w:spacing w:after="0" w:line="145" w:lineRule="exact"/>
              <w:rPr>
                <w:sz w:val="20"/>
                <w:szCs w:val="20"/>
                <w:color w:val="auto"/>
              </w:rPr>
            </w:pPr>
            <w:r>
              <w:rPr>
                <w:rFonts w:ascii="Arial" w:cs="Arial" w:eastAsia="Arial" w:hAnsi="Arial"/>
                <w:sz w:val="14"/>
                <w:szCs w:val="14"/>
                <w:b w:val="1"/>
                <w:bCs w:val="1"/>
                <w:color w:val="auto"/>
              </w:rPr>
              <w:t>Operating Lease</w:t>
            </w:r>
          </w:p>
        </w:tc>
        <w:tc>
          <w:tcPr>
            <w:tcW w:w="1400" w:type="dxa"/>
            <w:vAlign w:val="bottom"/>
            <w:tcBorders>
              <w:top w:val="single" w:sz="8" w:color="auto"/>
            </w:tcBorders>
            <w:gridSpan w:val="3"/>
          </w:tcPr>
          <w:p>
            <w:pPr>
              <w:jc w:val="right"/>
              <w:ind w:right="180"/>
              <w:spacing w:after="0" w:line="145" w:lineRule="exact"/>
              <w:rPr>
                <w:sz w:val="20"/>
                <w:szCs w:val="20"/>
                <w:color w:val="auto"/>
              </w:rPr>
            </w:pPr>
            <w:r>
              <w:rPr>
                <w:rFonts w:ascii="Arial" w:cs="Arial" w:eastAsia="Arial" w:hAnsi="Arial"/>
                <w:sz w:val="14"/>
                <w:szCs w:val="14"/>
                <w:b w:val="1"/>
                <w:bCs w:val="1"/>
                <w:color w:val="auto"/>
                <w:w w:val="93"/>
              </w:rPr>
              <w:t>Property, Plant and</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Right-of-Use Assets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Equipment</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72,481</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16,348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88,829</w:t>
            </w:r>
          </w:p>
        </w:tc>
        <w:tc>
          <w:tcPr>
            <w:tcW w:w="0" w:type="dxa"/>
            <w:vAlign w:val="bottom"/>
          </w:tcPr>
          <w:p>
            <w:pPr>
              <w:spacing w:after="0"/>
              <w:rPr>
                <w:sz w:val="1"/>
                <w:szCs w:val="1"/>
                <w:color w:val="auto"/>
              </w:rPr>
            </w:pPr>
          </w:p>
        </w:tc>
      </w:tr>
      <w:tr>
        <w:trPr>
          <w:trHeight w:val="259"/>
        </w:trPr>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(16,174)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(20,954)</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56,307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67,875</w:t>
            </w:r>
          </w:p>
        </w:tc>
        <w:tc>
          <w:tcPr>
            <w:tcW w:w="0" w:type="dxa"/>
            <w:vAlign w:val="bottom"/>
          </w:tcPr>
          <w:p>
            <w:pPr>
              <w:spacing w:after="0"/>
              <w:rPr>
                <w:sz w:val="1"/>
                <w:szCs w:val="1"/>
                <w:color w:val="auto"/>
              </w:rPr>
            </w:pPr>
          </w:p>
        </w:tc>
      </w:tr>
      <w:tr>
        <w:trPr>
          <w:trHeight w:val="259"/>
        </w:trPr>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(2,114)</w:t>
            </w:r>
          </w:p>
        </w:tc>
        <w:tc>
          <w:tcPr>
            <w:tcW w:w="0" w:type="dxa"/>
            <w:vAlign w:val="bottom"/>
          </w:tcPr>
          <w:p>
            <w:pPr>
              <w:spacing w:after="0"/>
              <w:rPr>
                <w:sz w:val="1"/>
                <w:szCs w:val="1"/>
                <w:color w:val="auto"/>
              </w:rPr>
            </w:pPr>
          </w:p>
        </w:tc>
      </w:tr>
      <w:tr>
        <w:trPr>
          <w:trHeight w:val="212"/>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65,761</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00" w:space="80"/>
            <w:col w:w="4060"/>
          </w:cols>
          <w:pgMar w:left="320" w:top="127" w:right="339" w:bottom="1440" w:gutter="0" w:footer="0" w:header="0"/>
        </w:sectPr>
      </w:pPr>
    </w:p>
    <w:p>
      <w:pPr>
        <w:spacing w:after="0" w:line="33"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We may record adjustments to impairment expense in future periods as we enter into sublease agreements or update our estimates as additional information becomes available to us.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(Gain) Loss on Sale or Disposal of Property, Plant and Equipment, Net</w:t>
      </w:r>
    </w:p>
    <w:p>
      <w:pPr>
        <w:spacing w:after="0" w:line="165" w:lineRule="exact"/>
        <w:rPr>
          <w:sz w:val="20"/>
          <w:szCs w:val="20"/>
          <w:color w:val="auto"/>
        </w:rPr>
      </w:pPr>
    </w:p>
    <w:p>
      <w:pPr>
        <w:jc w:val="both"/>
        <w:ind w:right="340" w:firstLine="541"/>
        <w:spacing w:after="0" w:line="266" w:lineRule="auto"/>
        <w:rPr>
          <w:sz w:val="20"/>
          <w:szCs w:val="20"/>
          <w:color w:val="auto"/>
        </w:rPr>
      </w:pPr>
      <w:r>
        <w:rPr>
          <w:rFonts w:ascii="Arial" w:cs="Arial" w:eastAsia="Arial" w:hAnsi="Arial"/>
          <w:sz w:val="17"/>
          <w:szCs w:val="17"/>
          <w:color w:val="auto"/>
        </w:rPr>
        <w:t>In connection with our 2022 Restructuring Plan, we terminated all research and development activities at our owned facility in India, which we sold in December 2022. We also recognized losses including excess equipment, net of sale proceeds, and the disposal of software to support the commercialization of bempegaldesleukin. We recorded the gains and losses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8"/>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99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4"/>
                <w:szCs w:val="14"/>
                <w:b w:val="1"/>
                <w:bCs w:val="1"/>
                <w:color w:val="auto"/>
                <w:w w:val="93"/>
              </w:rPr>
              <w:t>December 31, 2022</w:t>
            </w:r>
          </w:p>
        </w:tc>
      </w:tr>
      <w:tr>
        <w:trPr>
          <w:trHeight w:val="245"/>
        </w:trPr>
        <w:tc>
          <w:tcPr>
            <w:tcW w:w="9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13,196</w:t>
            </w:r>
          </w:p>
        </w:tc>
      </w:tr>
      <w:tr>
        <w:trPr>
          <w:trHeight w:val="257"/>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book value of assets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9,870</w:t>
            </w:r>
          </w:p>
        </w:tc>
      </w:tr>
      <w:tr>
        <w:trPr>
          <w:trHeight w:val="237"/>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(gain) loss on sale or disposal of property, plan and equipment, net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Stock-Based Compensation</w:t>
      </w:r>
    </w:p>
    <w:p>
      <w:pPr>
        <w:spacing w:after="0" w:line="3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2017 Performance Incentive Plan</w:t>
      </w:r>
    </w:p>
    <w:p>
      <w:pPr>
        <w:spacing w:after="0" w:line="114" w:lineRule="exact"/>
        <w:rPr>
          <w:sz w:val="20"/>
          <w:szCs w:val="20"/>
          <w:color w:val="auto"/>
        </w:rPr>
      </w:pPr>
    </w:p>
    <w:p>
      <w:pPr>
        <w:ind w:firstLine="172"/>
        <w:spacing w:after="0" w:line="275" w:lineRule="auto"/>
        <w:rPr>
          <w:sz w:val="20"/>
          <w:szCs w:val="20"/>
          <w:color w:val="auto"/>
        </w:rPr>
      </w:pPr>
      <w:r>
        <w:rPr>
          <w:rFonts w:ascii="Arial" w:cs="Arial" w:eastAsia="Arial" w:hAnsi="Arial"/>
          <w:sz w:val="16"/>
          <w:szCs w:val="16"/>
          <w:color w:val="auto"/>
        </w:rPr>
        <w:t>Our 2017 Performance Incentive Plan (2017 Plan) provides for the issuance of our common stock to members of the Board of Directors, officers or employees, certain consultants and advisors and our subsidiaries. Our 2017 Plan has been amended and restated such that an aggregate 39,200,000 shares have been authorized for issuance as of December 31, 2022, including 5,000,000 shares that were approved on June 8, 2022. Under the 2017 Plan, we may issue stock options, restricted stock, performance stock, stock units, stock appreciation rights and other similar types of awards. When the 2017 Plan was approved on June 14, 2017, any shares of our common stock that were available for issuance under our 2012 Performance Incentive Plan (the 2012 Plan) ceased to be available for future grants. However, options and RSUs granted under the 2012 Plan remained outstanding, and any options or RSUs that were cancelled or forfeited became available for issuance under the 2017 Plan. Shares issued for RSUs, PSUs or any other “full-value award” are counted against the share limit as 1.5 shares for every one share granted in connection with the award.</w:t>
      </w:r>
    </w:p>
    <w:p>
      <w:pPr>
        <w:spacing w:after="0" w:line="67" w:lineRule="exact"/>
        <w:rPr>
          <w:sz w:val="20"/>
          <w:szCs w:val="20"/>
          <w:color w:val="auto"/>
        </w:rPr>
      </w:pPr>
    </w:p>
    <w:p>
      <w:pPr>
        <w:ind w:right="140" w:firstLine="619"/>
        <w:spacing w:after="0" w:line="283" w:lineRule="auto"/>
        <w:rPr>
          <w:sz w:val="20"/>
          <w:szCs w:val="20"/>
          <w:color w:val="auto"/>
        </w:rPr>
      </w:pPr>
      <w:r>
        <w:rPr>
          <w:rFonts w:ascii="Arial" w:cs="Arial" w:eastAsia="Arial" w:hAnsi="Arial"/>
          <w:sz w:val="16"/>
          <w:szCs w:val="16"/>
          <w:color w:val="auto"/>
        </w:rPr>
        <w:t>We have granted non-qualified stock options, RSUs and PSUs to employees, officers, and non-employee directors. For our employees, the requisite service period is generally four years for stock options, and three years for RSUs and PSUs. For our directors, the requisite service is generally one year for stock options and RSUs. The maximum term of a stock option is eight years from the date of grant. The per share exercise price of an option generally may not be less than the fair market value of a share of our common stock on the NASDAQ Stock Market on the date of grant.</w:t>
      </w:r>
    </w:p>
    <w:p>
      <w:pPr>
        <w:spacing w:after="0" w:line="164"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Under our Change in Control Plan (the CIC Plan), in the event of a change of control of Nektar and a subsequent termination of employment initiated by us or a successor company other than for Cause (as defined in the CIC Plan) within twelve months following a change of control, our employees are entitled to full acceleration of their unvested equity awards. Our Chief Executive Officer, Senior Vice Presidents and Vice Presidents (including Principal Fellows) are also entitled to full acceleration of unvested equity awards if the termination is initiated by the employee for a Good Reason Resignation (as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defined in the CIC Plan) within twelve months following a change of control. Additionally, non-employee directors would also be entitled to full acceleration of vesting of all outstanding stock awards in the event of a change of control transaction.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4" w:lineRule="exact"/>
        <w:rPr>
          <w:sz w:val="20"/>
          <w:szCs w:val="20"/>
          <w:color w:val="auto"/>
        </w:rPr>
      </w:pPr>
    </w:p>
    <w:p>
      <w:pPr>
        <w:ind w:right="140" w:firstLine="172"/>
        <w:spacing w:after="0" w:line="266" w:lineRule="auto"/>
        <w:rPr>
          <w:sz w:val="20"/>
          <w:szCs w:val="20"/>
          <w:color w:val="auto"/>
        </w:rPr>
      </w:pPr>
      <w:r>
        <w:rPr>
          <w:rFonts w:ascii="Arial" w:cs="Arial" w:eastAsia="Arial" w:hAnsi="Arial"/>
          <w:sz w:val="17"/>
          <w:szCs w:val="17"/>
          <w:color w:val="auto"/>
        </w:rPr>
        <w:t>Under the terms of our Employee Stock Purchase Plan (ESPP), employees may purchase shares of our common stock based on a percentage of their compensation subject to certain limits. Shares are purchased at 85% of the lower of the closing price on either the first day or last day of each six-month offering period. An aggregate 3,500,000 shares have been authorized for issuance under our ESPP.</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recognize total stock-based compensation expense in our Consolidated Statements of Operations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5"/>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245"/>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w:t>
            </w:r>
          </w:p>
        </w:tc>
      </w:tr>
      <w:tr>
        <w:trPr>
          <w:trHeight w:val="257"/>
        </w:trPr>
        <w:tc>
          <w:tcPr>
            <w:tcW w:w="70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27,727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54,821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57,116</w:t>
            </w:r>
          </w:p>
        </w:tc>
      </w:tr>
      <w:tr>
        <w:trPr>
          <w:trHeight w:val="25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37,074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33,295</w:t>
            </w:r>
          </w:p>
        </w:tc>
      </w:tr>
      <w:tr>
        <w:trPr>
          <w:trHeight w:val="218"/>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impairment and other costs of terminated program</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w:t>
            </w:r>
          </w:p>
        </w:tc>
      </w:tr>
      <w:tr>
        <w:trPr>
          <w:trHeight w:val="233"/>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stock-based compensation</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57,320</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94,674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94,261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Stock-based compensation expense resulting from PSUs and our ESPP was not significant in the years ended December 31, 2022, 2021, and 2020.</w:t>
      </w:r>
    </w:p>
    <w:p>
      <w:pPr>
        <w:spacing w:after="0" w:line="229"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As of December 31, 2022, total unrecognized compensation costs of $83.1 million related to unvested stock-based compensation awards are expected to be recognized as expense over a weighted-average period of 2.3 years.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Black-Scholes Assumptions</w:t>
      </w:r>
    </w:p>
    <w:p>
      <w:pPr>
        <w:spacing w:after="0" w:line="114" w:lineRule="exact"/>
        <w:rPr>
          <w:sz w:val="20"/>
          <w:szCs w:val="20"/>
          <w:color w:val="auto"/>
        </w:rPr>
      </w:pPr>
    </w:p>
    <w:p>
      <w:pPr>
        <w:ind w:right="60" w:firstLine="169"/>
        <w:spacing w:after="0" w:line="270" w:lineRule="auto"/>
        <w:rPr>
          <w:sz w:val="20"/>
          <w:szCs w:val="20"/>
          <w:color w:val="auto"/>
        </w:rPr>
      </w:pPr>
      <w:r>
        <w:rPr>
          <w:rFonts w:ascii="Arial" w:cs="Arial" w:eastAsia="Arial" w:hAnsi="Arial"/>
          <w:sz w:val="17"/>
          <w:szCs w:val="17"/>
          <w:color w:val="auto"/>
        </w:rPr>
        <w:t>The following table lists the Black-Scholes option-pricing model assumptions used to calculate the fair value of employee and director stock options, as well as the resulting grant-date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6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risk-free interest rate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volatility factor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64.1 %</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Weighted-average expected life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 years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rPr>
              <w:t>5.5 years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 years</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grant-date fair value of options granted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10.70</w:t>
            </w:r>
          </w:p>
        </w:tc>
      </w:tr>
    </w:tbl>
    <w:p>
      <w:pPr>
        <w:spacing w:after="0" w:line="271" w:lineRule="exact"/>
        <w:rPr>
          <w:sz w:val="20"/>
          <w:szCs w:val="20"/>
          <w:color w:val="auto"/>
        </w:rPr>
      </w:pPr>
    </w:p>
    <w:p>
      <w:pPr>
        <w:ind w:firstLine="169"/>
        <w:spacing w:after="0" w:line="259" w:lineRule="auto"/>
        <w:rPr>
          <w:sz w:val="20"/>
          <w:szCs w:val="20"/>
          <w:color w:val="auto"/>
        </w:rPr>
      </w:pPr>
      <w:r>
        <w:rPr>
          <w:rFonts w:ascii="Arial" w:cs="Arial" w:eastAsia="Arial" w:hAnsi="Arial"/>
          <w:sz w:val="17"/>
          <w:szCs w:val="17"/>
          <w:color w:val="auto"/>
        </w:rPr>
        <w:t>The average risk-free interest rate is based on the U.S. treasury yield curve in effect at the time of grant for periods commensurate with the expected life of the stock-based award. We have never paid dividends, nor do we expect to pay dividends in the foreseeable future; therefore, we used a dividend yield of zero. Our estimate of expected volatility is based on the daily historical trading data of our common stock at the time of grant over a historical period commensurate with the expected life of the stock-based award. We estimated the weighted-average expected life based on the contractual and vesting terms of the stock options, as well as historical cancellation and exercise data.</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Summary of Stock Option Activity</w:t>
      </w:r>
    </w:p>
    <w:p>
      <w:pPr>
        <w:spacing w:after="0" w:line="114" w:lineRule="exact"/>
        <w:rPr>
          <w:sz w:val="20"/>
          <w:szCs w:val="20"/>
          <w:color w:val="auto"/>
        </w:rPr>
      </w:pPr>
    </w:p>
    <w:p>
      <w:pPr>
        <w:ind w:right="500" w:firstLine="169"/>
        <w:spacing w:after="0" w:line="278" w:lineRule="auto"/>
        <w:rPr>
          <w:sz w:val="20"/>
          <w:szCs w:val="20"/>
          <w:color w:val="auto"/>
        </w:rPr>
      </w:pPr>
      <w:r>
        <w:rPr>
          <w:rFonts w:ascii="Arial" w:cs="Arial" w:eastAsia="Arial" w:hAnsi="Arial"/>
          <w:sz w:val="17"/>
          <w:szCs w:val="17"/>
          <w:color w:val="auto"/>
        </w:rPr>
        <w:t>The table below presents a summary of stock option activity under our equity incentive plans (in thousands, except for price per share and contractual life information):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5"/>
        </w:trPr>
        <w:tc>
          <w:tcPr>
            <w:tcW w:w="5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3"/>
              </w:rPr>
              <w:t>Average</w:t>
            </w:r>
          </w:p>
        </w:tc>
        <w:tc>
          <w:tcPr>
            <w:tcW w:w="13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8"/>
        </w:trPr>
        <w:tc>
          <w:tcPr>
            <w:tcW w:w="58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Exercise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4"/>
                <w:szCs w:val="14"/>
                <w:color w:val="auto"/>
              </w:rPr>
            </w:pPr>
          </w:p>
        </w:tc>
        <w:tc>
          <w:tcPr>
            <w:tcW w:w="1040" w:type="dxa"/>
            <w:vAlign w:val="bottom"/>
          </w:tcPr>
          <w:p>
            <w:pPr>
              <w:jc w:val="center"/>
              <w:ind w:right="124"/>
              <w:spacing w:after="0"/>
              <w:rPr>
                <w:sz w:val="20"/>
                <w:szCs w:val="20"/>
                <w:color w:val="auto"/>
              </w:rPr>
            </w:pPr>
            <w:r>
              <w:rPr>
                <w:rFonts w:ascii="Arial" w:cs="Arial" w:eastAsia="Arial" w:hAnsi="Arial"/>
                <w:sz w:val="14"/>
                <w:szCs w:val="14"/>
                <w:b w:val="1"/>
                <w:bCs w:val="1"/>
                <w:color w:val="auto"/>
                <w:w w:val="86"/>
              </w:rPr>
              <w:t>Aggregate</w:t>
            </w:r>
          </w:p>
        </w:tc>
      </w:tr>
      <w:tr>
        <w:trPr>
          <w:trHeight w:val="168"/>
        </w:trPr>
        <w:tc>
          <w:tcPr>
            <w:tcW w:w="58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104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Intrinsic</w:t>
            </w:r>
          </w:p>
        </w:tc>
      </w:tr>
      <w:tr>
        <w:trPr>
          <w:trHeight w:val="191"/>
        </w:trPr>
        <w:tc>
          <w:tcPr>
            <w:tcW w:w="58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per Share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(in Years)</w:t>
            </w:r>
          </w:p>
        </w:tc>
        <w:tc>
          <w:tcPr>
            <w:tcW w:w="200" w:type="dxa"/>
            <w:vAlign w:val="bottom"/>
          </w:tcPr>
          <w:p>
            <w:pPr>
              <w:spacing w:after="0"/>
              <w:rPr>
                <w:sz w:val="16"/>
                <w:szCs w:val="16"/>
                <w:color w:val="auto"/>
              </w:rPr>
            </w:pPr>
          </w:p>
        </w:tc>
        <w:tc>
          <w:tcPr>
            <w:tcW w:w="1040" w:type="dxa"/>
            <w:vAlign w:val="bottom"/>
          </w:tcPr>
          <w:p>
            <w:pPr>
              <w:jc w:val="center"/>
              <w:ind w:right="124"/>
              <w:spacing w:after="0"/>
              <w:rPr>
                <w:sz w:val="20"/>
                <w:szCs w:val="20"/>
                <w:color w:val="auto"/>
              </w:rPr>
            </w:pPr>
            <w:r>
              <w:rPr>
                <w:rFonts w:ascii="Arial" w:cs="Arial" w:eastAsia="Arial" w:hAnsi="Arial"/>
                <w:sz w:val="14"/>
                <w:szCs w:val="14"/>
                <w:b w:val="1"/>
                <w:bCs w:val="1"/>
                <w:color w:val="auto"/>
                <w:w w:val="88"/>
              </w:rPr>
              <w:t>Value(1)</w:t>
            </w:r>
          </w:p>
        </w:tc>
      </w:tr>
      <w:tr>
        <w:trPr>
          <w:trHeight w:val="24"/>
        </w:trPr>
        <w:tc>
          <w:tcPr>
            <w:tcW w:w="58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23.62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7"/>
        </w:trPr>
        <w:tc>
          <w:tcPr>
            <w:tcW w:w="5800" w:type="dxa"/>
            <w:vAlign w:val="bottom"/>
          </w:tcPr>
          <w:p>
            <w:pPr>
              <w:ind w:left="220"/>
              <w:spacing w:after="0"/>
              <w:rPr>
                <w:sz w:val="20"/>
                <w:szCs w:val="20"/>
                <w:color w:val="auto"/>
              </w:rPr>
            </w:pPr>
            <w:r>
              <w:rPr>
                <w:rFonts w:ascii="Arial" w:cs="Arial" w:eastAsia="Arial" w:hAnsi="Arial"/>
                <w:sz w:val="17"/>
                <w:szCs w:val="17"/>
                <w:color w:val="auto"/>
              </w:rPr>
              <w:t>Options granted</w:t>
            </w:r>
          </w:p>
        </w:tc>
        <w:tc>
          <w:tcPr>
            <w:tcW w:w="1240" w:type="dxa"/>
            <w:vAlign w:val="bottom"/>
          </w:tcPr>
          <w:p>
            <w:pPr>
              <w:jc w:val="right"/>
              <w:spacing w:after="0"/>
              <w:rPr>
                <w:sz w:val="20"/>
                <w:szCs w:val="20"/>
                <w:color w:val="auto"/>
              </w:rPr>
            </w:pPr>
            <w:r>
              <w:rPr>
                <w:rFonts w:ascii="Arial" w:cs="Arial" w:eastAsia="Arial" w:hAnsi="Arial"/>
                <w:sz w:val="17"/>
                <w:szCs w:val="17"/>
                <w:color w:val="auto"/>
              </w:rPr>
              <w:t>6,276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12.43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7"/>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Options forfeited &amp;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ind w:right="2"/>
              <w:spacing w:after="0"/>
              <w:rPr>
                <w:sz w:val="20"/>
                <w:szCs w:val="20"/>
                <w:color w:val="auto"/>
              </w:rPr>
            </w:pPr>
            <w:r>
              <w:rPr>
                <w:rFonts w:ascii="Arial" w:cs="Arial" w:eastAsia="Arial" w:hAnsi="Arial"/>
                <w:sz w:val="17"/>
                <w:szCs w:val="17"/>
                <w:color w:val="auto"/>
              </w:rPr>
              <w:t>20.73</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16.40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04"/>
        </w:trPr>
        <w:tc>
          <w:tcPr>
            <w:tcW w:w="5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at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27.82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w:t>
            </w:r>
          </w:p>
        </w:tc>
      </w:tr>
      <w:tr>
        <w:trPr>
          <w:trHeight w:val="210"/>
        </w:trPr>
        <w:tc>
          <w:tcPr>
            <w:tcW w:w="5800" w:type="dxa"/>
            <w:vAlign w:val="bottom"/>
          </w:tcPr>
          <w:p>
            <w:pPr>
              <w:spacing w:after="0"/>
              <w:rPr>
                <w:sz w:val="20"/>
                <w:szCs w:val="20"/>
                <w:color w:val="auto"/>
              </w:rPr>
            </w:pPr>
            <w:r>
              <w:rPr>
                <w:rFonts w:ascii="Arial" w:cs="Arial" w:eastAsia="Arial" w:hAnsi="Arial"/>
                <w:sz w:val="10"/>
                <w:szCs w:val="10"/>
                <w:color w:val="auto"/>
              </w:rPr>
              <w:t>_______________________________________________________________</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38" w:lineRule="exact"/>
        <w:rPr>
          <w:sz w:val="20"/>
          <w:szCs w:val="20"/>
          <w:color w:val="auto"/>
        </w:rPr>
      </w:pPr>
    </w:p>
    <w:p>
      <w:pPr>
        <w:ind w:left="460" w:right="820" w:hanging="457"/>
        <w:spacing w:after="0" w:line="279" w:lineRule="auto"/>
        <w:tabs>
          <w:tab w:leader="none" w:pos="4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Aggregate intrinsic value represents the difference between the exercise price of the option and the closing market price of our common stock on December 31, 2022.</w:t>
      </w:r>
    </w:p>
    <w:p>
      <w:pPr>
        <w:spacing w:after="0" w:line="61" w:lineRule="exact"/>
        <w:rPr>
          <w:sz w:val="20"/>
          <w:szCs w:val="20"/>
          <w:color w:val="auto"/>
        </w:rPr>
      </w:pPr>
    </w:p>
    <w:p>
      <w:pPr>
        <w:ind w:right="300" w:firstLine="169"/>
        <w:spacing w:after="0" w:line="279" w:lineRule="auto"/>
        <w:rPr>
          <w:sz w:val="20"/>
          <w:szCs w:val="20"/>
          <w:color w:val="auto"/>
        </w:rPr>
      </w:pPr>
      <w:r>
        <w:rPr>
          <w:rFonts w:ascii="Arial" w:cs="Arial" w:eastAsia="Arial" w:hAnsi="Arial"/>
          <w:sz w:val="17"/>
          <w:szCs w:val="17"/>
          <w:color w:val="auto"/>
        </w:rPr>
        <w:t>The intrinsic value of options exercised during the year ended December 31, 2022 was not significant and totaled $17.3 million and $15.9 million during the years ended December 31, 2021 and 2020, respectively.</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Summary of RSU Activity</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RSU award activity is as follows (in thousands except for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63"/>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3"/>
              <w:spacing w:after="0" w:line="142"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63"/>
              <w:spacing w:after="0" w:line="13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32"/>
        </w:trPr>
        <w:tc>
          <w:tcPr>
            <w:tcW w:w="8520" w:type="dxa"/>
            <w:vAlign w:val="bottom"/>
          </w:tcPr>
          <w:p>
            <w:pPr>
              <w:spacing w:after="0"/>
              <w:rPr>
                <w:sz w:val="11"/>
                <w:szCs w:val="11"/>
                <w:color w:val="auto"/>
              </w:rPr>
            </w:pP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Units Issued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63"/>
              <w:spacing w:after="0" w:line="133"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84"/>
        </w:trPr>
        <w:tc>
          <w:tcPr>
            <w:tcW w:w="85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8"/>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1300" w:type="dxa"/>
            <w:vAlign w:val="bottom"/>
            <w:shd w:val="clear" w:color="auto" w:fill="CCEEFF"/>
          </w:tcPr>
          <w:p>
            <w:pPr>
              <w:jc w:val="center"/>
              <w:ind w:left="717"/>
              <w:spacing w:after="0"/>
              <w:rPr>
                <w:sz w:val="20"/>
                <w:szCs w:val="20"/>
                <w:color w:val="auto"/>
              </w:rPr>
            </w:pPr>
            <w:r>
              <w:rPr>
                <w:rFonts w:ascii="Arial" w:cs="Arial" w:eastAsia="Arial" w:hAnsi="Arial"/>
                <w:sz w:val="17"/>
                <w:szCs w:val="17"/>
                <w:color w:val="auto"/>
                <w:w w:val="89"/>
              </w:rPr>
              <w:t>9,930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0" w:type="dxa"/>
            <w:vAlign w:val="bottom"/>
          </w:tcPr>
          <w:p>
            <w:pPr>
              <w:spacing w:after="0"/>
              <w:rPr>
                <w:sz w:val="1"/>
                <w:szCs w:val="1"/>
                <w:color w:val="auto"/>
              </w:rPr>
            </w:pPr>
          </w:p>
        </w:tc>
      </w:tr>
      <w:tr>
        <w:trPr>
          <w:trHeight w:val="218"/>
        </w:trPr>
        <w:tc>
          <w:tcPr>
            <w:tcW w:w="8520" w:type="dxa"/>
            <w:vAlign w:val="bottom"/>
          </w:tcPr>
          <w:p>
            <w:pPr>
              <w:ind w:left="220"/>
              <w:spacing w:after="0"/>
              <w:rPr>
                <w:sz w:val="20"/>
                <w:szCs w:val="20"/>
                <w:color w:val="auto"/>
              </w:rPr>
            </w:pPr>
            <w:r>
              <w:rPr>
                <w:rFonts w:ascii="Arial" w:cs="Arial" w:eastAsia="Arial" w:hAnsi="Arial"/>
                <w:sz w:val="17"/>
                <w:szCs w:val="17"/>
                <w:color w:val="auto"/>
              </w:rPr>
              <w:t>Granted</w:t>
            </w:r>
          </w:p>
        </w:tc>
        <w:tc>
          <w:tcPr>
            <w:tcW w:w="1300" w:type="dxa"/>
            <w:vAlign w:val="bottom"/>
          </w:tcPr>
          <w:p>
            <w:pPr>
              <w:jc w:val="center"/>
              <w:ind w:left="717"/>
              <w:spacing w:after="0"/>
              <w:rPr>
                <w:sz w:val="20"/>
                <w:szCs w:val="20"/>
                <w:color w:val="auto"/>
              </w:rPr>
            </w:pPr>
            <w:r>
              <w:rPr>
                <w:rFonts w:ascii="Arial" w:cs="Arial" w:eastAsia="Arial" w:hAnsi="Arial"/>
                <w:sz w:val="17"/>
                <w:szCs w:val="17"/>
                <w:color w:val="auto"/>
                <w:w w:val="89"/>
              </w:rPr>
              <w:t>7,708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20"/>
        </w:trPr>
        <w:tc>
          <w:tcPr>
            <w:tcW w:w="8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Vested and released</w:t>
            </w:r>
          </w:p>
        </w:tc>
        <w:tc>
          <w:tcPr>
            <w:tcW w:w="1300" w:type="dxa"/>
            <w:vAlign w:val="bottom"/>
            <w:shd w:val="clear" w:color="auto" w:fill="CCEEFF"/>
          </w:tcPr>
          <w:p>
            <w:pPr>
              <w:jc w:val="center"/>
              <w:ind w:left="677"/>
              <w:spacing w:after="0"/>
              <w:rPr>
                <w:sz w:val="20"/>
                <w:szCs w:val="20"/>
                <w:color w:val="auto"/>
              </w:rPr>
            </w:pPr>
            <w:r>
              <w:rPr>
                <w:rFonts w:ascii="Arial" w:cs="Arial" w:eastAsia="Arial" w:hAnsi="Arial"/>
                <w:sz w:val="17"/>
                <w:szCs w:val="17"/>
                <w:color w:val="auto"/>
                <w:w w:val="92"/>
              </w:rPr>
              <w:t>(2,872)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 and canceled</w:t>
            </w:r>
          </w:p>
        </w:tc>
        <w:tc>
          <w:tcPr>
            <w:tcW w:w="1300" w:type="dxa"/>
            <w:vAlign w:val="bottom"/>
            <w:tcBorders>
              <w:bottom w:val="single" w:sz="8" w:color="auto"/>
            </w:tcBorders>
          </w:tcPr>
          <w:p>
            <w:pPr>
              <w:jc w:val="center"/>
              <w:ind w:left="677"/>
              <w:spacing w:after="0"/>
              <w:rPr>
                <w:sz w:val="20"/>
                <w:szCs w:val="20"/>
                <w:color w:val="auto"/>
              </w:rPr>
            </w:pPr>
            <w:r>
              <w:rPr>
                <w:rFonts w:ascii="Arial" w:cs="Arial" w:eastAsia="Arial" w:hAnsi="Arial"/>
                <w:sz w:val="17"/>
                <w:szCs w:val="17"/>
                <w:color w:val="auto"/>
                <w:w w:val="92"/>
              </w:rPr>
              <w:t>(5,454)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2022</w:t>
            </w:r>
          </w:p>
        </w:tc>
        <w:tc>
          <w:tcPr>
            <w:tcW w:w="1300" w:type="dxa"/>
            <w:vAlign w:val="bottom"/>
            <w:tcBorders>
              <w:bottom w:val="single" w:sz="8" w:color="auto"/>
            </w:tcBorders>
            <w:shd w:val="clear" w:color="auto" w:fill="CCEEFF"/>
          </w:tcPr>
          <w:p>
            <w:pPr>
              <w:jc w:val="center"/>
              <w:ind w:left="717"/>
              <w:spacing w:after="0"/>
              <w:rPr>
                <w:sz w:val="20"/>
                <w:szCs w:val="20"/>
                <w:color w:val="auto"/>
              </w:rPr>
            </w:pPr>
            <w:r>
              <w:rPr>
                <w:rFonts w:ascii="Arial" w:cs="Arial" w:eastAsia="Arial" w:hAnsi="Arial"/>
                <w:sz w:val="17"/>
                <w:szCs w:val="17"/>
                <w:color w:val="auto"/>
                <w:w w:val="89"/>
              </w:rPr>
              <w:t>9,312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340" w:firstLine="172"/>
        <w:spacing w:after="0" w:line="266" w:lineRule="auto"/>
        <w:rPr>
          <w:sz w:val="20"/>
          <w:szCs w:val="20"/>
          <w:color w:val="auto"/>
        </w:rPr>
      </w:pPr>
      <w:r>
        <w:rPr>
          <w:rFonts w:ascii="Arial" w:cs="Arial" w:eastAsia="Arial" w:hAnsi="Arial"/>
          <w:sz w:val="17"/>
          <w:szCs w:val="17"/>
          <w:color w:val="auto"/>
        </w:rPr>
        <w:t>The weighted-average grant-date fair values of RSUs granted during the years ended December 31, 2022, 2021 and 2020 were $4.14, $14.68 and $19.24, respectively. The fair value of RSU's that vested in the years ended December 31, 2022, 2021 and 2020 totaled $17.5 million, $45.3 million and $33.3 million, respectively.</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401(k) Retirement Plan</w:t>
      </w:r>
    </w:p>
    <w:p>
      <w:pPr>
        <w:spacing w:after="0" w:line="114" w:lineRule="exact"/>
        <w:rPr>
          <w:sz w:val="20"/>
          <w:szCs w:val="20"/>
          <w:color w:val="auto"/>
        </w:rPr>
      </w:pPr>
    </w:p>
    <w:p>
      <w:pPr>
        <w:ind w:right="120" w:firstLine="169"/>
        <w:spacing w:after="0" w:line="259" w:lineRule="auto"/>
        <w:rPr>
          <w:sz w:val="20"/>
          <w:szCs w:val="20"/>
          <w:color w:val="auto"/>
        </w:rPr>
      </w:pPr>
      <w:r>
        <w:rPr>
          <w:rFonts w:ascii="Arial" w:cs="Arial" w:eastAsia="Arial" w:hAnsi="Arial"/>
          <w:sz w:val="17"/>
          <w:szCs w:val="17"/>
          <w:color w:val="auto"/>
        </w:rPr>
        <w:t>We sponsor a 401(k) retirement plan whereby eligible employees may elect to contribute up to the lesser of 60% of their annual compensation or the statutorily prescribed annual limit allowable under Internal Revenue Service regulations. The 401(k) plan permits us to make matching contributions on behalf of all participants, up to a maximum of $12,000 per participant for the year ended December 31, 2022, and up to a maximum of $6,000 per participant for the years ended December 31, 2021 and 2020. For the years ended December 31, 2022, 2021, and 2020, we recognized $2.5 million, $3.6 million and $3.5 million, respectively, of compensation expense in connection with our 401(k) retirement plan.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Income Taxes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Loss before provision for income taxes includes the following components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5"/>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(371,900)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(524,440)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(445,370)</w:t>
            </w: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32"/>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before provision for income taxes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(364,983)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(523,280)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(443,947)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b w:val="1"/>
                <w:bCs w:val="1"/>
                <w:i w:val="1"/>
                <w:iCs w:val="1"/>
                <w:color w:val="auto"/>
              </w:rPr>
              <w:t>Provision for 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060" w:type="dxa"/>
            <w:vAlign w:val="bottom"/>
          </w:tcPr>
          <w:p>
            <w:pPr>
              <w:ind w:left="180"/>
              <w:spacing w:after="0"/>
              <w:rPr>
                <w:sz w:val="20"/>
                <w:szCs w:val="20"/>
                <w:color w:val="auto"/>
              </w:rPr>
            </w:pPr>
            <w:r>
              <w:rPr>
                <w:rFonts w:ascii="Arial" w:cs="Arial" w:eastAsia="Arial" w:hAnsi="Arial"/>
                <w:sz w:val="17"/>
                <w:szCs w:val="17"/>
                <w:color w:val="auto"/>
              </w:rPr>
              <w:t>The provision for income taxes consists of the following (in thousands):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060" w:type="dxa"/>
            <w:vAlign w:val="bottom"/>
          </w:tcPr>
          <w:p>
            <w:pPr>
              <w:ind w:left="220"/>
              <w:spacing w:after="0"/>
              <w:rPr>
                <w:sz w:val="20"/>
                <w:szCs w:val="20"/>
                <w:color w:val="auto"/>
              </w:rPr>
            </w:pPr>
            <w:r>
              <w:rPr>
                <w:rFonts w:ascii="Arial" w:cs="Arial" w:eastAsia="Arial" w:hAnsi="Arial"/>
                <w:sz w:val="17"/>
                <w:szCs w:val="17"/>
                <w:color w:val="auto"/>
              </w:rPr>
              <w:t>Federal</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3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income tax expense</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7"/>
                <w:szCs w:val="17"/>
                <w:color w:val="auto"/>
              </w:rPr>
              <w:t>Deferred: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Federal</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7060" w:type="dxa"/>
            <w:vAlign w:val="bottom"/>
          </w:tcPr>
          <w:p>
            <w:pPr>
              <w:ind w:left="220"/>
              <w:spacing w:after="0"/>
              <w:rPr>
                <w:sz w:val="20"/>
                <w:szCs w:val="20"/>
                <w:color w:val="auto"/>
              </w:rPr>
            </w:pPr>
            <w:r>
              <w:rPr>
                <w:rFonts w:ascii="Arial" w:cs="Arial" w:eastAsia="Arial" w:hAnsi="Arial"/>
                <w:sz w:val="17"/>
                <w:szCs w:val="17"/>
                <w:color w:val="auto"/>
              </w:rPr>
              <w:t>State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income tax expense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2"/>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40" w:firstLine="619"/>
        <w:spacing w:after="0" w:line="270" w:lineRule="auto"/>
        <w:rPr>
          <w:sz w:val="20"/>
          <w:szCs w:val="20"/>
          <w:color w:val="auto"/>
        </w:rPr>
      </w:pPr>
      <w:r>
        <w:rPr>
          <w:rFonts w:ascii="Arial" w:cs="Arial" w:eastAsia="Arial" w:hAnsi="Arial"/>
          <w:sz w:val="17"/>
          <w:szCs w:val="17"/>
          <w:color w:val="auto"/>
        </w:rPr>
        <w:t>Our income tax provision related to continuing operations differs from the amount computed by applying the statutory income tax rate of 21% to our pretax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45"/>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at federal statutory rate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(76,647)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(93,229)</w:t>
            </w:r>
          </w:p>
        </w:tc>
      </w:tr>
      <w:tr>
        <w:trPr>
          <w:trHeight w:val="257"/>
        </w:trPr>
        <w:tc>
          <w:tcPr>
            <w:tcW w:w="7060" w:type="dxa"/>
            <w:vAlign w:val="bottom"/>
          </w:tcPr>
          <w:p>
            <w:pPr>
              <w:ind w:left="20"/>
              <w:spacing w:after="0"/>
              <w:rPr>
                <w:sz w:val="20"/>
                <w:szCs w:val="20"/>
                <w:color w:val="auto"/>
              </w:rPr>
            </w:pPr>
            <w:r>
              <w:rPr>
                <w:rFonts w:ascii="Arial" w:cs="Arial" w:eastAsia="Arial" w:hAnsi="Arial"/>
                <w:sz w:val="17"/>
                <w:szCs w:val="17"/>
                <w:color w:val="auto"/>
              </w:rPr>
              <w:t>Research credits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(3,081)</w:t>
            </w:r>
          </w:p>
        </w:tc>
      </w:tr>
      <w:tr>
        <w:trPr>
          <w:trHeight w:val="25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87,060</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Expiration of net operating loss carryforwards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5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7,929</w:t>
            </w:r>
          </w:p>
        </w:tc>
      </w:tr>
      <w:tr>
        <w:trPr>
          <w:trHeight w:val="257"/>
        </w:trPr>
        <w:tc>
          <w:tcPr>
            <w:tcW w:w="7060" w:type="dxa"/>
            <w:vAlign w:val="bottom"/>
          </w:tcPr>
          <w:p>
            <w:pPr>
              <w:ind w:left="20"/>
              <w:spacing w:after="0"/>
              <w:rPr>
                <w:sz w:val="20"/>
                <w:szCs w:val="20"/>
                <w:color w:val="auto"/>
              </w:rPr>
            </w:pPr>
            <w:r>
              <w:rPr>
                <w:rFonts w:ascii="Arial" w:cs="Arial" w:eastAsia="Arial" w:hAnsi="Arial"/>
                <w:sz w:val="17"/>
                <w:szCs w:val="17"/>
                <w:color w:val="auto"/>
              </w:rPr>
              <w:t>Non-cash interest expense on liability related to sales of future royalties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6,356</w:t>
            </w:r>
          </w:p>
        </w:tc>
      </w:tr>
      <w:tr>
        <w:trPr>
          <w:trHeight w:val="259"/>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royalty revenue related to sales of future royalties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(7,967)</w:t>
            </w:r>
          </w:p>
        </w:tc>
      </w:tr>
      <w:tr>
        <w:trPr>
          <w:trHeight w:val="218"/>
        </w:trPr>
        <w:tc>
          <w:tcPr>
            <w:tcW w:w="7060" w:type="dxa"/>
            <w:vAlign w:val="bottom"/>
          </w:tcPr>
          <w:p>
            <w:pPr>
              <w:ind w:left="20"/>
              <w:spacing w:after="0"/>
              <w:rPr>
                <w:sz w:val="20"/>
                <w:szCs w:val="20"/>
                <w:color w:val="auto"/>
              </w:rPr>
            </w:pPr>
            <w:r>
              <w:rPr>
                <w:rFonts w:ascii="Arial" w:cs="Arial" w:eastAsia="Arial" w:hAnsi="Arial"/>
                <w:sz w:val="17"/>
                <w:szCs w:val="17"/>
                <w:color w:val="auto"/>
              </w:rPr>
              <w:t>Loss on revaluation of liability related to the sale of future royalties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w:t>
            </w:r>
          </w:p>
        </w:tc>
      </w:tr>
      <w:tr>
        <w:trPr>
          <w:trHeight w:val="213"/>
        </w:trPr>
        <w:tc>
          <w:tcPr>
            <w:tcW w:w="7060" w:type="dxa"/>
            <w:vAlign w:val="bottom"/>
          </w:tcPr>
          <w:p>
            <w:pPr>
              <w:ind w:left="220"/>
              <w:spacing w:after="0"/>
              <w:rPr>
                <w:sz w:val="20"/>
                <w:szCs w:val="20"/>
                <w:color w:val="auto"/>
              </w:rPr>
            </w:pPr>
            <w:r>
              <w:rPr>
                <w:rFonts w:ascii="Arial" w:cs="Arial" w:eastAsia="Arial" w:hAnsi="Arial"/>
                <w:sz w:val="17"/>
                <w:szCs w:val="17"/>
                <w:color w:val="auto"/>
              </w:rPr>
              <w:t>Provision for income taxes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3,215</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Deferred Tax Assets and Liabilities</w:t>
      </w:r>
    </w:p>
    <w:p>
      <w:pPr>
        <w:spacing w:after="0" w:line="114" w:lineRule="exact"/>
        <w:rPr>
          <w:sz w:val="20"/>
          <w:szCs w:val="20"/>
          <w:color w:val="auto"/>
        </w:rPr>
      </w:pPr>
    </w:p>
    <w:p>
      <w:pPr>
        <w:jc w:val="both"/>
        <w:ind w:right="20" w:firstLine="172"/>
        <w:spacing w:after="0" w:line="300" w:lineRule="auto"/>
        <w:rPr>
          <w:sz w:val="20"/>
          <w:szCs w:val="20"/>
          <w:color w:val="auto"/>
        </w:rPr>
      </w:pPr>
      <w:r>
        <w:rPr>
          <w:rFonts w:ascii="Arial" w:cs="Arial" w:eastAsia="Arial" w:hAnsi="Arial"/>
          <w:sz w:val="15"/>
          <w:szCs w:val="15"/>
          <w:color w:val="auto"/>
        </w:rPr>
        <w:t>Deferred income taxes reflect the net tax effects of loss and credit carryforwards and temporary differences between the carrying amount of assets and liabilities for financial reporting purposes and the amounts used for income tax purposes. We measure deferred tax assets and liabilities based on the rates at which they are expected to reverse in the future. Significant components of our deferred tax assets for federal and state income taxes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r>
      <w:tr>
        <w:trPr>
          <w:trHeight w:val="24"/>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8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545,508</w:t>
            </w:r>
          </w:p>
        </w:tc>
        <w:tc>
          <w:tcPr>
            <w:tcW w:w="12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564,712</w:t>
            </w:r>
          </w:p>
        </w:tc>
      </w:tr>
      <w:tr>
        <w:trPr>
          <w:trHeight w:val="220"/>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other credits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139,996</w:t>
            </w: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Net capital loss carryforwards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38,445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34,680</w:t>
            </w: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22,110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33,408</w:t>
            </w:r>
          </w:p>
        </w:tc>
      </w:tr>
      <w:tr>
        <w:trPr>
          <w:trHeight w:val="220"/>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research and development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Liability related to the sale of future royalties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23,757</w:t>
            </w:r>
          </w:p>
        </w:tc>
      </w:tr>
      <w:tr>
        <w:trPr>
          <w:trHeight w:val="220"/>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17,290</w:t>
            </w:r>
          </w:p>
        </w:tc>
      </w:tr>
      <w:tr>
        <w:trPr>
          <w:trHeight w:val="211"/>
        </w:trPr>
        <w:tc>
          <w:tcPr>
            <w:tcW w:w="8480" w:type="dxa"/>
            <w:vAlign w:val="bottom"/>
          </w:tcPr>
          <w:p>
            <w:pPr>
              <w:ind w:left="20"/>
              <w:spacing w:after="0"/>
              <w:rPr>
                <w:sz w:val="20"/>
                <w:szCs w:val="20"/>
                <w:color w:val="auto"/>
              </w:rPr>
            </w:pPr>
            <w:r>
              <w:rPr>
                <w:rFonts w:ascii="Arial" w:cs="Arial" w:eastAsia="Arial" w:hAnsi="Arial"/>
                <w:sz w:val="17"/>
                <w:szCs w:val="17"/>
                <w:color w:val="auto"/>
              </w:rPr>
              <w:t>Deferred tax assets before valuation allowance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828,008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813,843</w:t>
            </w:r>
          </w:p>
        </w:tc>
      </w:tr>
      <w:tr>
        <w:trPr>
          <w:trHeight w:val="220"/>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Valuation allowance for deferred tax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(816,235)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(785,748)</w:t>
            </w:r>
          </w:p>
        </w:tc>
      </w:tr>
      <w:tr>
        <w:trPr>
          <w:trHeight w:val="211"/>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tax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28,095</w:t>
            </w:r>
          </w:p>
        </w:tc>
      </w:tr>
      <w:tr>
        <w:trPr>
          <w:trHeight w:val="200"/>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(11,335)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(27,204)</w:t>
            </w:r>
          </w:p>
        </w:tc>
      </w:tr>
      <w:tr>
        <w:trPr>
          <w:trHeight w:val="220"/>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Investment in foreign subsidiary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(27,768)</w:t>
            </w:r>
          </w:p>
        </w:tc>
      </w:tr>
      <w:tr>
        <w:trPr>
          <w:trHeight w:val="213"/>
        </w:trPr>
        <w:tc>
          <w:tcPr>
            <w:tcW w:w="8480" w:type="dxa"/>
            <w:vAlign w:val="bottom"/>
          </w:tcPr>
          <w:p>
            <w:pPr>
              <w:ind w:left="40"/>
              <w:spacing w:after="0"/>
              <w:rPr>
                <w:sz w:val="20"/>
                <w:szCs w:val="20"/>
                <w:color w:val="auto"/>
              </w:rPr>
            </w:pPr>
            <w:r>
              <w:rPr>
                <w:rFonts w:ascii="Arial" w:cs="Arial" w:eastAsia="Arial" w:hAnsi="Arial"/>
                <w:sz w:val="17"/>
                <w:szCs w:val="17"/>
                <w:color w:val="auto"/>
              </w:rPr>
              <w:t>Net deferred tax assets (liabilities)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Realization of our deferred tax assets is dependent upon future earnings, if any, the timing and amount of which are uncertain. Because of our lack of</w:t>
      </w:r>
    </w:p>
    <w:p>
      <w:pPr>
        <w:spacing w:after="0" w:line="3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U.S. earnings history, other than income resulting from revenue recognized from the BMS Collaboration Agreement, and projected future losses, we have fully reserved our net U.S. deferred tax assets with a valuation allowance. The valuation allowance increased by $30.5 million and $115.6 million during the years ended December 31, 2022 and 2021, respectively.</w:t>
      </w:r>
    </w:p>
    <w:p>
      <w:pPr>
        <w:spacing w:after="0" w:line="181"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Our net deferred tax liability position reflects the provision for the withholding taxes associated with the repatriation of accumulated earnings and profits from India.</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Net Operating Loss and Tax Credit Carryforwards</w:t>
      </w:r>
    </w:p>
    <w:p>
      <w:pPr>
        <w:spacing w:after="0" w:line="114" w:lineRule="exact"/>
        <w:rPr>
          <w:sz w:val="20"/>
          <w:szCs w:val="20"/>
          <w:color w:val="auto"/>
        </w:rPr>
      </w:pPr>
    </w:p>
    <w:p>
      <w:pPr>
        <w:ind w:right="160" w:firstLine="162"/>
        <w:spacing w:after="0" w:line="259" w:lineRule="auto"/>
        <w:rPr>
          <w:sz w:val="20"/>
          <w:szCs w:val="20"/>
          <w:color w:val="auto"/>
        </w:rPr>
      </w:pPr>
      <w:r>
        <w:rPr>
          <w:rFonts w:ascii="Arial" w:cs="Arial" w:eastAsia="Arial" w:hAnsi="Arial"/>
          <w:sz w:val="17"/>
          <w:szCs w:val="17"/>
          <w:color w:val="auto"/>
        </w:rPr>
        <w:t>As of December 31, 2022, we had a net operating loss carryforward for federal income tax purposes of approximately $2.4 billion, of which $1.3 billion is subject to expiration beginning in 2023 and a total state net operating loss carryforward of approximately $0.7 billion, portions of which will begin to expire in 2027. We have federal tax credits of approximately $123.8 million, which will begin to expire in 2023 and state research credits of approximately $48.8 million which have no expiration date. Utilization of some of the federal and state net operating loss and credit carryforwards are subject to annual limitations due to the “change in ownership” provisions of the Internal Revenue Code of 1986 and similar state provisions.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the following activity relating to unrecognized tax benefits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70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45"/>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80,604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78,665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77,410</w:t>
            </w:r>
          </w:p>
        </w:tc>
      </w:tr>
      <w:tr>
        <w:trPr>
          <w:trHeight w:val="230"/>
        </w:trPr>
        <w:tc>
          <w:tcPr>
            <w:tcW w:w="7060" w:type="dxa"/>
            <w:vAlign w:val="bottom"/>
          </w:tcPr>
          <w:p>
            <w:pPr>
              <w:ind w:left="20"/>
              <w:spacing w:after="0"/>
              <w:rPr>
                <w:sz w:val="20"/>
                <w:szCs w:val="20"/>
                <w:color w:val="auto"/>
              </w:rPr>
            </w:pPr>
            <w:r>
              <w:rPr>
                <w:rFonts w:ascii="Arial" w:cs="Arial" w:eastAsia="Arial" w:hAnsi="Arial"/>
                <w:sz w:val="17"/>
                <w:szCs w:val="17"/>
                <w:color w:val="auto"/>
              </w:rPr>
              <w:t>Tax positions related to current year:</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r>
      <w:tr>
        <w:trPr>
          <w:trHeight w:val="218"/>
        </w:trPr>
        <w:tc>
          <w:tcPr>
            <w:tcW w:w="7060" w:type="dxa"/>
            <w:vAlign w:val="bottom"/>
          </w:tcPr>
          <w:p>
            <w:pPr>
              <w:ind w:left="220"/>
              <w:spacing w:after="0"/>
              <w:rPr>
                <w:sz w:val="20"/>
                <w:szCs w:val="20"/>
                <w:color w:val="auto"/>
              </w:rPr>
            </w:pPr>
            <w:r>
              <w:rPr>
                <w:rFonts w:ascii="Arial" w:cs="Arial" w:eastAsia="Arial" w:hAnsi="Arial"/>
                <w:sz w:val="17"/>
                <w:szCs w:val="17"/>
                <w:color w:val="auto"/>
              </w:rPr>
              <w:t>Reductions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positions related to prior years: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57"/>
        </w:trPr>
        <w:tc>
          <w:tcPr>
            <w:tcW w:w="7060" w:type="dxa"/>
            <w:vAlign w:val="bottom"/>
          </w:tcPr>
          <w:p>
            <w:pPr>
              <w:ind w:left="220"/>
              <w:spacing w:after="0"/>
              <w:rPr>
                <w:sz w:val="20"/>
                <w:szCs w:val="20"/>
                <w:color w:val="auto"/>
              </w:rPr>
            </w:pPr>
            <w:r>
              <w:rPr>
                <w:rFonts w:ascii="Arial" w:cs="Arial" w:eastAsia="Arial" w:hAnsi="Arial"/>
                <w:sz w:val="17"/>
                <w:szCs w:val="17"/>
                <w:color w:val="auto"/>
              </w:rPr>
              <w:t>Additions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20"/>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Reductions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w:t>
            </w:r>
          </w:p>
        </w:tc>
      </w:tr>
      <w:tr>
        <w:trPr>
          <w:trHeight w:val="218"/>
        </w:trPr>
        <w:tc>
          <w:tcPr>
            <w:tcW w:w="7060" w:type="dxa"/>
            <w:vAlign w:val="bottom"/>
          </w:tcPr>
          <w:p>
            <w:pPr>
              <w:ind w:left="220"/>
              <w:spacing w:after="0"/>
              <w:rPr>
                <w:sz w:val="20"/>
                <w:szCs w:val="20"/>
                <w:color w:val="auto"/>
              </w:rPr>
            </w:pPr>
            <w:r>
              <w:rPr>
                <w:rFonts w:ascii="Arial" w:cs="Arial" w:eastAsia="Arial" w:hAnsi="Arial"/>
                <w:sz w:val="17"/>
                <w:szCs w:val="17"/>
                <w:color w:val="auto"/>
              </w:rPr>
              <w:t>Settlements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Lapses in statute of limitations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06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85,845</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80,604</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78,665</w:t>
            </w: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firstLine="172"/>
        <w:spacing w:after="0" w:line="262" w:lineRule="auto"/>
        <w:rPr>
          <w:sz w:val="20"/>
          <w:szCs w:val="20"/>
          <w:color w:val="auto"/>
        </w:rPr>
      </w:pPr>
      <w:r>
        <w:rPr>
          <w:rFonts w:ascii="Arial" w:cs="Arial" w:eastAsia="Arial" w:hAnsi="Arial"/>
          <w:sz w:val="17"/>
          <w:szCs w:val="17"/>
          <w:color w:val="auto"/>
        </w:rPr>
        <w:t>If we are eventually able to recognize our uncertain tax positions, our effective tax rate may be reduced. We currently have a full valuation allowance against our U.S. net deferred tax asset which would impact the timing of the effective tax rate benefit should any of these uncertain tax positions be favorably settled in the future. Adjustments to the substantial majority of our uncertain tax positions would result in an adjustment of our net operating loss or tax credit carryforwards rather than resulting in a cash outlay.</w:t>
      </w:r>
    </w:p>
    <w:p>
      <w:pPr>
        <w:spacing w:after="0" w:line="178" w:lineRule="exact"/>
        <w:rPr>
          <w:sz w:val="20"/>
          <w:szCs w:val="20"/>
          <w:color w:val="auto"/>
        </w:rPr>
      </w:pPr>
    </w:p>
    <w:p>
      <w:pPr>
        <w:ind w:firstLine="169"/>
        <w:spacing w:after="0" w:line="290" w:lineRule="auto"/>
        <w:rPr>
          <w:sz w:val="20"/>
          <w:szCs w:val="20"/>
          <w:color w:val="auto"/>
        </w:rPr>
      </w:pPr>
      <w:r>
        <w:rPr>
          <w:rFonts w:ascii="Arial" w:cs="Arial" w:eastAsia="Arial" w:hAnsi="Arial"/>
          <w:sz w:val="16"/>
          <w:szCs w:val="16"/>
          <w:color w:val="auto"/>
        </w:rPr>
        <w:t>We file income tax returns in the U.S., California, Alabama, certain other states and India. As a result of our net operating loss and research credit carryforwards, substantially all of our domestic tax years remain open and subject to examination. We may be subject to examination in India from time to time, but we do not believe that any liability resulting from such an examination would have a material effect on our financial position or results of operations.</w:t>
      </w:r>
    </w:p>
    <w:p>
      <w:pPr>
        <w:spacing w:after="0" w:line="158"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Our policy is to include interest and penalties related to unrecognized tax benefits, if any, within the provision for income taxes in the consolidated statements of operations. During the years ended December 31, 2022, 2021 and 2020, no significant interest or penalties were recognized relating to unrecognized tax benefits. Although it is reasonably possible that certain unrecognized tax benefits could change in the future, we do not anticipate any significant changes over the next twelve months.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Segment Reporting</w:t>
      </w:r>
    </w:p>
    <w:p>
      <w:pPr>
        <w:spacing w:after="0" w:line="120" w:lineRule="exact"/>
        <w:rPr>
          <w:sz w:val="20"/>
          <w:szCs w:val="20"/>
          <w:color w:val="auto"/>
        </w:rPr>
      </w:pPr>
    </w:p>
    <w:p>
      <w:pPr>
        <w:ind w:right="80" w:firstLine="169"/>
        <w:spacing w:after="0" w:line="266" w:lineRule="auto"/>
        <w:rPr>
          <w:sz w:val="20"/>
          <w:szCs w:val="20"/>
          <w:color w:val="auto"/>
        </w:rPr>
      </w:pPr>
      <w:r>
        <w:rPr>
          <w:rFonts w:ascii="Arial" w:cs="Arial" w:eastAsia="Arial" w:hAnsi="Arial"/>
          <w:sz w:val="17"/>
          <w:szCs w:val="17"/>
          <w:color w:val="auto"/>
        </w:rPr>
        <w:t>We operate in one business segment which focuses on applying our technology platforms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w:t>
      </w:r>
    </w:p>
    <w:p>
      <w:pPr>
        <w:spacing w:after="0" w:line="72" w:lineRule="exact"/>
        <w:rPr>
          <w:sz w:val="20"/>
          <w:szCs w:val="20"/>
          <w:color w:val="auto"/>
        </w:rPr>
      </w:pPr>
    </w:p>
    <w:p>
      <w:pPr>
        <w:ind w:firstLine="172"/>
        <w:spacing w:after="0" w:line="307" w:lineRule="auto"/>
        <w:rPr>
          <w:sz w:val="20"/>
          <w:szCs w:val="20"/>
          <w:color w:val="auto"/>
        </w:rPr>
      </w:pPr>
      <w:r>
        <w:rPr>
          <w:rFonts w:ascii="Arial" w:cs="Arial" w:eastAsia="Arial" w:hAnsi="Arial"/>
          <w:sz w:val="15"/>
          <w:szCs w:val="15"/>
          <w:color w:val="auto"/>
        </w:rPr>
        <w:t>Our revenue is derived primarily from customers in the pharmaceutical and biotechnology industries. Revenue from UCB Pharma, Baxalta / Takeda, AstraZeneca and Pfizer represented 37%, 25%, 14% and 11% of our revenue, respectively, for the year ended December 31, 2022. Revenue from UCB Pharma, Baxalta / Takeda, AstraZeneca and Pfizer represented 36%, 23%, 16% and 13% of our revenue, respectively, for the year ended December 31, 2021. Revenue from BMS, UCB Pharma, Baxalta / Takeda, and AstraZeneca represented 33%, 23%, 14% and 13% of our revenue for the year-ended December 31, 2020.</w:t>
      </w:r>
    </w:p>
    <w:p>
      <w:pPr>
        <w:spacing w:after="0" w:line="149" w:lineRule="exact"/>
        <w:rPr>
          <w:sz w:val="20"/>
          <w:szCs w:val="20"/>
          <w:color w:val="auto"/>
        </w:rPr>
      </w:pPr>
    </w:p>
    <w:p>
      <w:pPr>
        <w:ind w:right="300" w:firstLine="172"/>
        <w:spacing w:after="0" w:line="270" w:lineRule="auto"/>
        <w:rPr>
          <w:sz w:val="20"/>
          <w:szCs w:val="20"/>
          <w:color w:val="auto"/>
        </w:rPr>
      </w:pPr>
      <w:r>
        <w:rPr>
          <w:rFonts w:ascii="Arial" w:cs="Arial" w:eastAsia="Arial" w:hAnsi="Arial"/>
          <w:sz w:val="17"/>
          <w:szCs w:val="17"/>
          <w:color w:val="auto"/>
        </w:rPr>
        <w:t>Revenue by geographic area is based on the headquarters or shipping locations of our partners. The following table sets forth revenue by geographic area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5"/>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tcPr>
          <w:p>
            <w:pPr>
              <w:spacing w:after="0"/>
              <w:rPr>
                <w:sz w:val="15"/>
                <w:szCs w:val="15"/>
                <w:color w:val="auto"/>
              </w:rPr>
            </w:pPr>
          </w:p>
        </w:tc>
        <w:tc>
          <w:tcPr>
            <w:tcW w:w="38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4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9,841</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3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91,793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92,055</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1274"/>
              <w:spacing w:after="0"/>
              <w:rPr>
                <w:sz w:val="20"/>
                <w:szCs w:val="20"/>
                <w:color w:val="auto"/>
              </w:rPr>
            </w:pPr>
            <w:r>
              <w:rPr>
                <w:rFonts w:ascii="Arial" w:cs="Arial" w:eastAsia="Arial" w:hAnsi="Arial"/>
                <w:sz w:val="17"/>
                <w:szCs w:val="17"/>
                <w:color w:val="auto"/>
              </w:rPr>
              <w:t>91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32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26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At December 31, 2022, all of our property, plant and equipment was located in the United States. At December 31, 2021, $56.1 million, 93%, of the net book value of our property, plant and equipment was located in the United States with the remainder in India.</w:t>
      </w: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27" w:right="59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20" w:lineRule="exact"/>
        <w:rPr>
          <w:sz w:val="20"/>
          <w:szCs w:val="20"/>
          <w:color w:val="auto"/>
        </w:rPr>
      </w:pPr>
    </w:p>
    <w:p>
      <w:pPr>
        <w:ind w:right="60" w:firstLine="169"/>
        <w:spacing w:after="0" w:line="26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39" w:lineRule="exact"/>
        <w:rPr>
          <w:sz w:val="20"/>
          <w:szCs w:val="20"/>
          <w:color w:val="auto"/>
        </w:rPr>
      </w:pPr>
    </w:p>
    <w:p>
      <w:pPr>
        <w:ind w:right="80" w:firstLine="541"/>
        <w:spacing w:after="0" w:line="26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20" w:lineRule="exact"/>
        <w:rPr>
          <w:sz w:val="20"/>
          <w:szCs w:val="20"/>
          <w:color w:val="auto"/>
        </w:rPr>
      </w:pPr>
    </w:p>
    <w:p>
      <w:pPr>
        <w:ind w:right="180" w:firstLine="172"/>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GAAP.</w:t>
      </w:r>
    </w:p>
    <w:p>
      <w:pPr>
        <w:spacing w:after="0" w:line="175" w:lineRule="exact"/>
        <w:rPr>
          <w:sz w:val="20"/>
          <w:szCs w:val="20"/>
          <w:color w:val="auto"/>
        </w:rPr>
      </w:pPr>
    </w:p>
    <w:p>
      <w:pPr>
        <w:ind w:right="220" w:firstLine="172"/>
        <w:spacing w:after="0" w:line="266" w:lineRule="auto"/>
        <w:rPr>
          <w:sz w:val="20"/>
          <w:szCs w:val="20"/>
          <w:color w:val="auto"/>
        </w:rPr>
      </w:pPr>
      <w:r>
        <w:rPr>
          <w:rFonts w:ascii="Arial" w:cs="Arial" w:eastAsia="Arial" w:hAnsi="Arial"/>
          <w:sz w:val="17"/>
          <w:szCs w:val="17"/>
          <w:color w:val="auto"/>
        </w:rPr>
        <w:t xml:space="preserve">Our management has assessed the effectiveness of our internal control over financial reporting as of December 31, 2022. In making its assessment of internal control over financial reporting, management used the criteria described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w:t>
      </w:r>
    </w:p>
    <w:p>
      <w:pPr>
        <w:spacing w:after="0" w:line="175" w:lineRule="exact"/>
        <w:rPr>
          <w:sz w:val="20"/>
          <w:szCs w:val="20"/>
          <w:color w:val="auto"/>
        </w:rPr>
      </w:pPr>
    </w:p>
    <w:p>
      <w:pPr>
        <w:ind w:right="20" w:firstLine="172"/>
        <w:spacing w:after="0" w:line="279" w:lineRule="auto"/>
        <w:rPr>
          <w:sz w:val="20"/>
          <w:szCs w:val="20"/>
          <w:color w:val="auto"/>
        </w:rPr>
      </w:pPr>
      <w:r>
        <w:rPr>
          <w:rFonts w:ascii="Arial" w:cs="Arial" w:eastAsia="Arial" w:hAnsi="Arial"/>
          <w:sz w:val="17"/>
          <w:szCs w:val="17"/>
          <w:color w:val="auto"/>
        </w:rPr>
        <w:t xml:space="preserve">Based on our evaluation under the framework described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31, 2022.</w:t>
      </w:r>
    </w:p>
    <w:p>
      <w:pPr>
        <w:spacing w:after="0" w:line="164" w:lineRule="exact"/>
        <w:rPr>
          <w:sz w:val="20"/>
          <w:szCs w:val="20"/>
          <w:color w:val="auto"/>
        </w:rPr>
      </w:pPr>
    </w:p>
    <w:p>
      <w:pPr>
        <w:ind w:right="180" w:firstLine="169"/>
        <w:spacing w:after="0" w:line="279" w:lineRule="auto"/>
        <w:rPr>
          <w:sz w:val="20"/>
          <w:szCs w:val="20"/>
          <w:color w:val="auto"/>
        </w:rPr>
      </w:pPr>
      <w:r>
        <w:rPr>
          <w:rFonts w:ascii="Arial" w:cs="Arial" w:eastAsia="Arial" w:hAnsi="Arial"/>
          <w:sz w:val="17"/>
          <w:szCs w:val="17"/>
          <w:color w:val="auto"/>
        </w:rPr>
        <w:t>The effectiveness of our internal control over financial reporting as of December 31, 2022 has been audited by Ernst &amp; Young LLP, an independent registered public accounting firm, as stated in their report, which is included herein.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ind w:right="300" w:firstLine="169"/>
        <w:spacing w:after="0" w:line="262" w:lineRule="auto"/>
        <w:rPr>
          <w:sz w:val="20"/>
          <w:szCs w:val="20"/>
          <w:color w:val="auto"/>
        </w:rPr>
      </w:pPr>
      <w:r>
        <w:rPr>
          <w:rFonts w:ascii="Arial" w:cs="Arial" w:eastAsia="Arial" w:hAnsi="Arial"/>
          <w:sz w:val="17"/>
          <w:szCs w:val="17"/>
          <w:color w:val="auto"/>
        </w:rPr>
        <w:t>We continuously seek to improve the efficiency and effectiveness of our internal controls. This results in refinements to processes throughout the Company. There was no change in our internal control over financial reporting during the quarter ended December 31, 2022, which was identified in connection with our management’s evaluation required by Exchange Act Rules 13a-15(f) and 15d-15(f)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the Effectiveness of Controls</w:t>
      </w:r>
    </w:p>
    <w:p>
      <w:pPr>
        <w:spacing w:after="0" w:line="120" w:lineRule="exact"/>
        <w:rPr>
          <w:sz w:val="20"/>
          <w:szCs w:val="20"/>
          <w:color w:val="auto"/>
        </w:rPr>
      </w:pPr>
    </w:p>
    <w:p>
      <w:pPr>
        <w:ind w:firstLine="172"/>
        <w:spacing w:after="0" w:line="273"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w:t>
      </w:r>
      <w:r>
        <w:rPr>
          <w:rFonts w:ascii="Arial" w:cs="Arial" w:eastAsia="Arial" w:hAnsi="Arial"/>
          <w:sz w:val="17"/>
          <w:szCs w:val="17"/>
          <w:b w:val="1"/>
          <w:bCs w:val="1"/>
          <w:color w:val="auto"/>
        </w:rPr>
        <w:t xml:space="preserve"> Executive </w:t>
      </w:r>
      <w:r>
        <w:rPr>
          <w:rFonts w:ascii="Arial" w:cs="Arial" w:eastAsia="Arial" w:hAnsi="Arial"/>
          <w:sz w:val="17"/>
          <w:szCs w:val="17"/>
          <w:b w:val="1"/>
          <w:bCs w:val="1"/>
          <w:i w:val="1"/>
          <w:iCs w:val="1"/>
          <w:color w:val="auto"/>
        </w:rPr>
        <w:t>Officers and Corporate Governance</w:t>
      </w:r>
    </w:p>
    <w:p>
      <w:pPr>
        <w:spacing w:after="0" w:line="120" w:lineRule="exact"/>
        <w:rPr>
          <w:sz w:val="20"/>
          <w:szCs w:val="20"/>
          <w:color w:val="auto"/>
        </w:rPr>
      </w:pPr>
    </w:p>
    <w:p>
      <w:pPr>
        <w:ind w:right="200" w:firstLine="172"/>
        <w:spacing w:after="0" w:line="259" w:lineRule="auto"/>
        <w:rPr>
          <w:sz w:val="20"/>
          <w:szCs w:val="20"/>
          <w:color w:val="auto"/>
        </w:rPr>
      </w:pPr>
      <w:r>
        <w:rPr>
          <w:rFonts w:ascii="Arial" w:cs="Arial" w:eastAsia="Arial" w:hAnsi="Arial"/>
          <w:sz w:val="17"/>
          <w:szCs w:val="17"/>
          <w:color w:val="auto"/>
        </w:rPr>
        <w:t>Information relating to our executive officers required by this item is set forth in Part I — Item 1 of this report under the caption “Information about our Executive Officers” and is incorporated herein by reference. The other information required by this Item is incorporated by reference from the definitive proxy statement for our 2020 Annual Meeting of Stockholders to be filed with the SEC pursuant to Regulation 14A (Proxy Statement) not later than 120 days after the end of the fiscal year covered by this Form 10-K under the captions “Corporate Governance and Board of Directors,” “Proposal 1 — Election of Directors” and “Section 16(a) Beneficial Ownership Reporting Compliance.”</w:t>
      </w:r>
    </w:p>
    <w:p>
      <w:pPr>
        <w:spacing w:after="0" w:line="80" w:lineRule="exact"/>
        <w:rPr>
          <w:sz w:val="20"/>
          <w:szCs w:val="20"/>
          <w:color w:val="auto"/>
        </w:rPr>
      </w:pPr>
    </w:p>
    <w:p>
      <w:pPr>
        <w:jc w:val="both"/>
        <w:ind w:right="100" w:firstLine="172"/>
        <w:spacing w:after="0" w:line="279" w:lineRule="auto"/>
        <w:rPr>
          <w:sz w:val="20"/>
          <w:szCs w:val="20"/>
          <w:color w:val="auto"/>
        </w:rPr>
      </w:pPr>
      <w:r>
        <w:rPr>
          <w:rFonts w:ascii="Arial" w:cs="Arial" w:eastAsia="Arial" w:hAnsi="Arial"/>
          <w:sz w:val="17"/>
          <w:szCs w:val="17"/>
          <w:color w:val="auto"/>
        </w:rPr>
        <w:t>Information regarding our audit committee financial expert will be set forth in the Proxy Statement under the caption “Audit Committee,” which information is incorporated herein by reference.</w:t>
      </w:r>
    </w:p>
    <w:p>
      <w:pPr>
        <w:spacing w:after="0" w:line="61" w:lineRule="exact"/>
        <w:rPr>
          <w:sz w:val="20"/>
          <w:szCs w:val="20"/>
          <w:color w:val="auto"/>
        </w:rPr>
      </w:pPr>
    </w:p>
    <w:p>
      <w:pPr>
        <w:jc w:val="both"/>
        <w:ind w:right="80" w:firstLine="169"/>
        <w:spacing w:after="0" w:line="259" w:lineRule="auto"/>
        <w:rPr>
          <w:sz w:val="20"/>
          <w:szCs w:val="20"/>
          <w:color w:val="auto"/>
        </w:rPr>
      </w:pPr>
      <w:r>
        <w:rPr>
          <w:rFonts w:ascii="Arial" w:cs="Arial" w:eastAsia="Arial" w:hAnsi="Arial"/>
          <w:sz w:val="17"/>
          <w:szCs w:val="17"/>
          <w:color w:val="auto"/>
        </w:rPr>
        <w:t>We have a Code of Business Conduct and Ethics applicable to all employees, including the principal executive officer, principal financial officer and principal accounting officer or controller, or persons performing similar functions. The Code of Business Conduct and Ethics is posted on our website at www.nektar.com. Amendments to, and waivers from, the Code of Business Conduct and Ethics that apply to any of these officers, or persons performing similar functions, and that relate to any element of the code of ethics definition enumerated in Item 406(b) of Regulation S-K will be disclosed at the website address provided above and, to the extent required by applicable regulations, on a current report on Form 8-K.</w:t>
      </w:r>
    </w:p>
    <w:p>
      <w:pPr>
        <w:spacing w:after="0" w:line="80" w:lineRule="exact"/>
        <w:rPr>
          <w:sz w:val="20"/>
          <w:szCs w:val="20"/>
          <w:color w:val="auto"/>
        </w:rPr>
      </w:pPr>
    </w:p>
    <w:p>
      <w:pPr>
        <w:ind w:firstLine="162"/>
        <w:spacing w:after="0" w:line="275" w:lineRule="auto"/>
        <w:rPr>
          <w:sz w:val="20"/>
          <w:szCs w:val="20"/>
          <w:color w:val="auto"/>
        </w:rPr>
      </w:pPr>
      <w:r>
        <w:rPr>
          <w:rFonts w:ascii="Arial" w:cs="Arial" w:eastAsia="Arial" w:hAnsi="Arial"/>
          <w:sz w:val="16"/>
          <w:szCs w:val="16"/>
          <w:color w:val="auto"/>
        </w:rPr>
        <w:t>As permitted by SEC Rule 10b5-1, certain of our executive officers, directors and other employees have or may set up a predefined, structured stock trading program with their broker to sell our stock. The stock trading program allows a broker acting on behalf of the executive officer, director or other employee to trade our stock during blackout periods or while such executive officer, director or other employee may be aware of material, nonpublic information, if the trade is performed according to a pre-existing contract, instruction or plan that was established with the broker when such executive officer, director or employee was not aware of any material, nonpublic information. Executive officers and directors can only sell our stock in accordance with our securities trading policy and pursuant to a stock trading program set up under Rule 10b5-1 (wherein “exercise and hold” and stock purchases are exempted, and sales outside such a program can proceed upon approval of the Nominating and Corporate Governance Committee of our Board of Directors. Employees who are not executive officers may trade our stock outside of the stock trading programs set up under Rule 10b5-1 subject to our securities trading policy.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information required by this Item is included in the Proxy Statement and incorporated herein by reference.</w:t>
      </w:r>
    </w:p>
    <w:p>
      <w:pPr>
        <w:spacing w:after="0" w:line="314" w:lineRule="exact"/>
        <w:rPr>
          <w:sz w:val="20"/>
          <w:szCs w:val="20"/>
          <w:color w:val="auto"/>
        </w:rPr>
      </w:pPr>
    </w:p>
    <w:p>
      <w:pPr>
        <w:jc w:val="right"/>
        <w:ind w:right="3400"/>
        <w:spacing w:after="0" w:line="500" w:lineRule="auto"/>
        <w:rPr>
          <w:sz w:val="20"/>
          <w:szCs w:val="20"/>
          <w:color w:val="auto"/>
        </w:rPr>
      </w:pPr>
      <w:r>
        <w:rPr>
          <w:rFonts w:ascii="Arial" w:cs="Arial" w:eastAsia="Arial" w:hAnsi="Arial"/>
          <w:sz w:val="15"/>
          <w:szCs w:val="15"/>
          <w:b w:val="1"/>
          <w:bCs w:val="1"/>
          <w:color w:val="auto"/>
        </w:rPr>
        <w:t xml:space="preserve">Item 12. </w:t>
      </w:r>
      <w:r>
        <w:rPr>
          <w:rFonts w:ascii="Arial" w:cs="Arial" w:eastAsia="Arial" w:hAnsi="Arial"/>
          <w:sz w:val="15"/>
          <w:szCs w:val="15"/>
          <w:b w:val="1"/>
          <w:bCs w:val="1"/>
          <w:i w:val="1"/>
          <w:iCs w:val="1"/>
          <w:color w:val="auto"/>
        </w:rPr>
        <w:t>Security Ownership of Certain Beneficial Owners and Management and Related Stockholder Matters</w:t>
      </w:r>
      <w:r>
        <w:rPr>
          <w:rFonts w:ascii="Arial" w:cs="Arial" w:eastAsia="Arial" w:hAnsi="Arial"/>
          <w:sz w:val="15"/>
          <w:szCs w:val="15"/>
          <w:b w:val="1"/>
          <w:bCs w:val="1"/>
          <w:color w:val="auto"/>
        </w:rPr>
        <w:t xml:space="preserve"> </w:t>
      </w:r>
      <w:r>
        <w:rPr>
          <w:rFonts w:ascii="Arial" w:cs="Arial" w:eastAsia="Arial" w:hAnsi="Arial"/>
          <w:sz w:val="15"/>
          <w:szCs w:val="15"/>
          <w:color w:val="auto"/>
        </w:rPr>
        <w:t>The information required by this Item is included in the Proxy Statement and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information required by this Item is included in the Proxy Statement and incorporated herein by reference.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3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required by this Item is included in the Proxy Statement and incorporated herein by reference.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w:t>
      </w:r>
      <w:r>
        <w:rPr>
          <w:rFonts w:ascii="Arial" w:cs="Arial" w:eastAsia="Arial" w:hAnsi="Arial"/>
          <w:sz w:val="17"/>
          <w:szCs w:val="17"/>
          <w:b w:val="1"/>
          <w:bCs w:val="1"/>
          <w:i w:val="1"/>
          <w:iCs w:val="1"/>
          <w:color w:val="auto"/>
        </w:rPr>
        <w:t>15. Exhibits and Financial Statement Schedules</w:t>
      </w:r>
    </w:p>
    <w:p>
      <w:pPr>
        <w:spacing w:after="0" w:line="28" w:lineRule="exact"/>
        <w:rPr>
          <w:sz w:val="20"/>
          <w:szCs w:val="20"/>
          <w:color w:val="auto"/>
        </w:rPr>
      </w:pPr>
    </w:p>
    <w:p>
      <w:pPr>
        <w:ind w:left="2160" w:hanging="1074"/>
        <w:spacing w:after="0"/>
        <w:tabs>
          <w:tab w:leader="none" w:pos="2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103" w:lineRule="exact"/>
        <w:rPr>
          <w:sz w:val="20"/>
          <w:szCs w:val="20"/>
          <w:color w:val="auto"/>
        </w:rPr>
      </w:pPr>
    </w:p>
    <w:p>
      <w:pPr>
        <w:ind w:left="2160" w:hanging="1074"/>
        <w:spacing w:after="0"/>
        <w:tabs>
          <w:tab w:leader="none" w:pos="2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Consolidated Financial Statements: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financial statements are filed as part of this Annual Report on Form 10-K under Item 8 “Financial Statements and Supplementary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560" w:type="dxa"/>
            <w:vAlign w:val="bottom"/>
          </w:tcPr>
          <w:p>
            <w:pPr>
              <w:spacing w:after="0"/>
              <w:rPr>
                <w:sz w:val="18"/>
                <w:szCs w:val="18"/>
                <w:color w:val="auto"/>
              </w:rPr>
            </w:pPr>
          </w:p>
        </w:tc>
        <w:tc>
          <w:tcPr>
            <w:tcW w:w="1660" w:type="dxa"/>
            <w:vAlign w:val="bottom"/>
          </w:tcPr>
          <w:p>
            <w:pPr>
              <w:jc w:val="right"/>
              <w:ind w:right="334"/>
              <w:spacing w:after="0"/>
              <w:rPr>
                <w:sz w:val="20"/>
                <w:szCs w:val="20"/>
                <w:color w:val="auto"/>
              </w:rPr>
            </w:pPr>
            <w:r>
              <w:rPr>
                <w:rFonts w:ascii="Arial" w:cs="Arial" w:eastAsia="Arial" w:hAnsi="Arial"/>
                <w:sz w:val="17"/>
                <w:szCs w:val="17"/>
                <w:color w:val="auto"/>
              </w:rPr>
              <w:t>Page</w:t>
            </w: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Reports of Independent Registered Public Accounting Firm (PCAOB ID: 42)</w:t>
            </w: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57</w:t>
            </w:r>
          </w:p>
        </w:tc>
      </w:tr>
      <w:tr>
        <w:trPr>
          <w:trHeight w:val="218"/>
        </w:trPr>
        <w:tc>
          <w:tcPr>
            <w:tcW w:w="9560" w:type="dxa"/>
            <w:vAlign w:val="bottom"/>
          </w:tcPr>
          <w:p>
            <w:pPr>
              <w:ind w:left="20"/>
              <w:spacing w:after="0"/>
              <w:rPr>
                <w:sz w:val="20"/>
                <w:szCs w:val="20"/>
                <w:color w:val="auto"/>
              </w:rPr>
            </w:pPr>
            <w:r>
              <w:rPr>
                <w:rFonts w:ascii="Arial" w:cs="Arial" w:eastAsia="Arial" w:hAnsi="Arial"/>
                <w:sz w:val="17"/>
                <w:szCs w:val="17"/>
                <w:color w:val="auto"/>
              </w:rPr>
              <w:t>Consolidated Balance Sheets at December 31, 2022 and 2021</w:t>
            </w:r>
          </w:p>
        </w:tc>
        <w:tc>
          <w:tcPr>
            <w:tcW w:w="1660" w:type="dxa"/>
            <w:vAlign w:val="bottom"/>
          </w:tcPr>
          <w:p>
            <w:pPr>
              <w:jc w:val="right"/>
              <w:ind w:right="214"/>
              <w:spacing w:after="0"/>
              <w:rPr>
                <w:sz w:val="20"/>
                <w:szCs w:val="20"/>
                <w:color w:val="auto"/>
              </w:rPr>
            </w:pPr>
            <w:r>
              <w:rPr>
                <w:rFonts w:ascii="Arial" w:cs="Arial" w:eastAsia="Arial" w:hAnsi="Arial"/>
                <w:sz w:val="17"/>
                <w:szCs w:val="17"/>
                <w:color w:val="auto"/>
              </w:rPr>
              <w:t>62</w:t>
            </w: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Statements of Operations for each of the three years in the period ended December 31, 2022</w:t>
            </w: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63</w:t>
            </w:r>
          </w:p>
        </w:tc>
      </w:tr>
      <w:tr>
        <w:trPr>
          <w:trHeight w:val="218"/>
        </w:trPr>
        <w:tc>
          <w:tcPr>
            <w:tcW w:w="9560" w:type="dxa"/>
            <w:vAlign w:val="bottom"/>
          </w:tcPr>
          <w:p>
            <w:pPr>
              <w:ind w:left="20"/>
              <w:spacing w:after="0"/>
              <w:rPr>
                <w:sz w:val="20"/>
                <w:szCs w:val="20"/>
                <w:color w:val="auto"/>
              </w:rPr>
            </w:pPr>
            <w:r>
              <w:rPr>
                <w:rFonts w:ascii="Arial" w:cs="Arial" w:eastAsia="Arial" w:hAnsi="Arial"/>
                <w:sz w:val="17"/>
                <w:szCs w:val="17"/>
                <w:color w:val="auto"/>
                <w:w w:val="99"/>
              </w:rPr>
              <w:t>Consolidated Statements of Comprehensive Income (Loss) for each of the three years in the period ended December 31, 2022</w:t>
            </w:r>
          </w:p>
        </w:tc>
        <w:tc>
          <w:tcPr>
            <w:tcW w:w="1660" w:type="dxa"/>
            <w:vAlign w:val="bottom"/>
          </w:tcPr>
          <w:p>
            <w:pPr>
              <w:jc w:val="right"/>
              <w:ind w:right="214"/>
              <w:spacing w:after="0"/>
              <w:rPr>
                <w:sz w:val="20"/>
                <w:szCs w:val="20"/>
                <w:color w:val="auto"/>
              </w:rPr>
            </w:pPr>
            <w:r>
              <w:rPr>
                <w:rFonts w:ascii="Arial" w:cs="Arial" w:eastAsia="Arial" w:hAnsi="Arial"/>
                <w:sz w:val="17"/>
                <w:szCs w:val="17"/>
                <w:color w:val="auto"/>
              </w:rPr>
              <w:t>64</w:t>
            </w: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Statements of Stockholders’ Equity for each of the three years in the period ended December 31, 2022</w:t>
            </w: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65</w:t>
            </w:r>
          </w:p>
        </w:tc>
      </w:tr>
      <w:tr>
        <w:trPr>
          <w:trHeight w:val="218"/>
        </w:trPr>
        <w:tc>
          <w:tcPr>
            <w:tcW w:w="9560" w:type="dxa"/>
            <w:vAlign w:val="bottom"/>
          </w:tcPr>
          <w:p>
            <w:pPr>
              <w:ind w:left="20"/>
              <w:spacing w:after="0"/>
              <w:rPr>
                <w:sz w:val="20"/>
                <w:szCs w:val="20"/>
                <w:color w:val="auto"/>
              </w:rPr>
            </w:pPr>
            <w:r>
              <w:rPr>
                <w:rFonts w:ascii="Arial" w:cs="Arial" w:eastAsia="Arial" w:hAnsi="Arial"/>
                <w:sz w:val="17"/>
                <w:szCs w:val="17"/>
                <w:color w:val="auto"/>
              </w:rPr>
              <w:t>Consolidated Statements of Cash Flows for each of the three years in the period ended December 31, 2022</w:t>
            </w:r>
          </w:p>
        </w:tc>
        <w:tc>
          <w:tcPr>
            <w:tcW w:w="1660" w:type="dxa"/>
            <w:vAlign w:val="bottom"/>
          </w:tcPr>
          <w:p>
            <w:pPr>
              <w:jc w:val="right"/>
              <w:ind w:right="214"/>
              <w:spacing w:after="0"/>
              <w:rPr>
                <w:sz w:val="20"/>
                <w:szCs w:val="20"/>
                <w:color w:val="auto"/>
              </w:rPr>
            </w:pPr>
            <w:r>
              <w:rPr>
                <w:rFonts w:ascii="Arial" w:cs="Arial" w:eastAsia="Arial" w:hAnsi="Arial"/>
                <w:sz w:val="17"/>
                <w:szCs w:val="17"/>
                <w:color w:val="auto"/>
              </w:rPr>
              <w:t>66</w:t>
            </w: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to Consolidated Financial Statements</w:t>
            </w:r>
          </w:p>
        </w:tc>
        <w:tc>
          <w:tcPr>
            <w:tcW w:w="16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67</w:t>
            </w:r>
          </w:p>
        </w:tc>
      </w:tr>
    </w:tbl>
    <w:p>
      <w:pPr>
        <w:spacing w:after="0" w:line="284" w:lineRule="exact"/>
        <w:rPr>
          <w:sz w:val="20"/>
          <w:szCs w:val="20"/>
          <w:color w:val="auto"/>
        </w:rPr>
      </w:pPr>
    </w:p>
    <w:p>
      <w:pPr>
        <w:ind w:left="2160" w:hanging="1074"/>
        <w:spacing w:after="0"/>
        <w:tabs>
          <w:tab w:leader="none" w:pos="21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p>
    <w:p>
      <w:pPr>
        <w:spacing w:after="0" w:line="217" w:lineRule="exact"/>
        <w:rPr>
          <w:sz w:val="20"/>
          <w:szCs w:val="20"/>
          <w:color w:val="auto"/>
        </w:rPr>
      </w:pPr>
    </w:p>
    <w:p>
      <w:pPr>
        <w:ind w:right="480" w:firstLine="162"/>
        <w:spacing w:after="0" w:line="259" w:lineRule="auto"/>
        <w:rPr>
          <w:sz w:val="20"/>
          <w:szCs w:val="20"/>
          <w:color w:val="auto"/>
        </w:rPr>
      </w:pPr>
      <w:r>
        <w:rPr>
          <w:rFonts w:ascii="Arial" w:cs="Arial" w:eastAsia="Arial" w:hAnsi="Arial"/>
          <w:sz w:val="17"/>
          <w:szCs w:val="17"/>
          <w:color w:val="auto"/>
        </w:rPr>
        <w:t>All financial statement schedules have been omitted because they are not applicable, or the information required is presented in our consolidated financial statements and notes thereto under Item 8 of this Annual Report on Form 10-K.</w:t>
      </w:r>
    </w:p>
    <w:p>
      <w:pPr>
        <w:spacing w:after="0" w:line="1" w:lineRule="exact"/>
        <w:rPr>
          <w:sz w:val="20"/>
          <w:szCs w:val="20"/>
          <w:color w:val="auto"/>
        </w:rPr>
      </w:pPr>
    </w:p>
    <w:p>
      <w:pPr>
        <w:ind w:left="2160" w:hanging="1074"/>
        <w:spacing w:after="0"/>
        <w:tabs>
          <w:tab w:leader="none" w:pos="21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Except as so indicated in Exhibit 32.1, the following exhibits are filed as part of, or incorporated by reference into, this Annual Report on Form 10-K.</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00" w:type="dxa"/>
            <w:vAlign w:val="bottom"/>
            <w:gridSpan w:val="10"/>
          </w:tcPr>
          <w:p>
            <w:pPr>
              <w:ind w:left="220"/>
              <w:spacing w:after="0"/>
              <w:rPr>
                <w:sz w:val="20"/>
                <w:szCs w:val="20"/>
                <w:color w:val="auto"/>
              </w:rPr>
            </w:pPr>
            <w:r>
              <w:rPr>
                <w:rFonts w:ascii="Arial" w:cs="Arial" w:eastAsia="Arial" w:hAnsi="Arial"/>
                <w:sz w:val="14"/>
                <w:szCs w:val="14"/>
                <w:b w:val="1"/>
                <w:bCs w:val="1"/>
                <w:color w:val="auto"/>
              </w:rPr>
              <w:t>Description of Documents</w:t>
            </w:r>
          </w:p>
        </w:tc>
      </w:tr>
      <w:tr>
        <w:trPr>
          <w:trHeight w:val="37"/>
        </w:trPr>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367"/>
        </w:trPr>
        <w:tc>
          <w:tcPr>
            <w:tcW w:w="108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rPr>
            </w:pPr>
            <w:hyperlink r:id="rId154">
              <w:r>
                <w:rPr>
                  <w:rFonts w:ascii="Arial" w:cs="Arial" w:eastAsia="Arial" w:hAnsi="Arial"/>
                  <w:sz w:val="17"/>
                  <w:szCs w:val="17"/>
                  <w:color w:val="0000FF"/>
                </w:rPr>
                <w:t>Certificate of Incorporation of Inhale Therapeutic Systems (Delaware), Inc.</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rPr>
            </w:pPr>
            <w:hyperlink r:id="rId155">
              <w:r>
                <w:rPr>
                  <w:rFonts w:ascii="Arial" w:cs="Arial" w:eastAsia="Arial" w:hAnsi="Arial"/>
                  <w:sz w:val="17"/>
                  <w:szCs w:val="17"/>
                  <w:color w:val="0000FF"/>
                </w:rPr>
                <w:t>Certificate of Amendment of the Amended Certificate of Incorporation of Inhale Therapeutic Systems, Inc.</w:t>
              </w:r>
            </w:hyperlink>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top w:val="single" w:sz="8" w:color="0000FF"/>
            </w:tcBorders>
            <w:gridSpan w:val="17"/>
          </w:tcPr>
          <w:p>
            <w:pPr>
              <w:spacing w:after="0"/>
              <w:rPr>
                <w:rFonts w:ascii="Arial" w:cs="Arial" w:eastAsia="Arial" w:hAnsi="Arial"/>
                <w:sz w:val="17"/>
                <w:szCs w:val="17"/>
                <w:color w:val="0000FF"/>
              </w:rPr>
            </w:pPr>
            <w:hyperlink r:id="rId156">
              <w:r>
                <w:rPr>
                  <w:rFonts w:ascii="Arial" w:cs="Arial" w:eastAsia="Arial" w:hAnsi="Arial"/>
                  <w:sz w:val="17"/>
                  <w:szCs w:val="17"/>
                  <w:color w:val="0000FF"/>
                </w:rPr>
                <w:t>Certificate of Ownership and Merger of Nektar Therapeutics.</w:t>
              </w:r>
            </w:hyperlink>
          </w:p>
        </w:tc>
        <w:tc>
          <w:tcPr>
            <w:tcW w:w="1260" w:type="dxa"/>
            <w:vAlign w:val="bottom"/>
            <w:gridSpan w:val="3"/>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rPr>
            </w:pPr>
            <w:hyperlink r:id="rId157">
              <w:r>
                <w:rPr>
                  <w:rFonts w:ascii="Arial" w:cs="Arial" w:eastAsia="Arial" w:hAnsi="Arial"/>
                  <w:sz w:val="17"/>
                  <w:szCs w:val="17"/>
                  <w:color w:val="0000FF"/>
                </w:rPr>
                <w:t>Certificate of Ownership and Merger of Nektar Therapeutics AL, Corporation with and into Nektar Therapeutics.</w:t>
              </w:r>
            </w:hyperlink>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13"/>
          </w:tcPr>
          <w:p>
            <w:pPr>
              <w:spacing w:after="0"/>
              <w:rPr>
                <w:rFonts w:ascii="Arial" w:cs="Arial" w:eastAsia="Arial" w:hAnsi="Arial"/>
                <w:sz w:val="17"/>
                <w:szCs w:val="17"/>
                <w:color w:val="0000FF"/>
                <w:w w:val="90"/>
              </w:rPr>
            </w:pPr>
            <w:hyperlink r:id="rId158">
              <w:r>
                <w:rPr>
                  <w:rFonts w:ascii="Arial" w:cs="Arial" w:eastAsia="Arial" w:hAnsi="Arial"/>
                  <w:sz w:val="17"/>
                  <w:szCs w:val="17"/>
                  <w:color w:val="0000FF"/>
                  <w:w w:val="90"/>
                </w:rPr>
                <w:t>Amended and Restated Bylaws of Nektar Therapeutics.</w:t>
              </w:r>
            </w:hyperlink>
          </w:p>
        </w:tc>
        <w:tc>
          <w:tcPr>
            <w:tcW w:w="3960" w:type="dxa"/>
            <w:vAlign w:val="bottom"/>
            <w:tcBorders>
              <w:top w:val="single" w:sz="8" w:color="0000FF"/>
            </w:tcBorders>
            <w:gridSpan w:val="5"/>
          </w:tcPr>
          <w:p>
            <w:pPr>
              <w:spacing w:after="0"/>
              <w:rPr>
                <w:sz w:val="24"/>
                <w:szCs w:val="24"/>
                <w:color w:val="auto"/>
              </w:rPr>
            </w:pPr>
          </w:p>
        </w:tc>
        <w:tc>
          <w:tcPr>
            <w:tcW w:w="840" w:type="dxa"/>
            <w:vAlign w:val="bottom"/>
            <w:gridSpan w:val="2"/>
          </w:tcPr>
          <w:p>
            <w:pPr>
              <w:spacing w:after="0"/>
              <w:rPr>
                <w:sz w:val="24"/>
                <w:szCs w:val="24"/>
                <w:color w:val="auto"/>
              </w:rPr>
            </w:pPr>
          </w:p>
        </w:tc>
      </w:tr>
      <w:tr>
        <w:trPr>
          <w:trHeight w:val="470"/>
        </w:trPr>
        <w:tc>
          <w:tcPr>
            <w:tcW w:w="108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auto"/>
              </w:rPr>
            </w:pPr>
            <w:r>
              <w:rPr>
                <w:rFonts w:ascii="Arial" w:cs="Arial" w:eastAsia="Arial" w:hAnsi="Arial"/>
                <w:sz w:val="17"/>
                <w:szCs w:val="17"/>
                <w:color w:val="auto"/>
              </w:rPr>
              <w:t xml:space="preserve">Reference is made to Exhibits </w:t>
            </w:r>
            <w:hyperlink r:id="rId154">
              <w:r>
                <w:rPr>
                  <w:rFonts w:ascii="Arial" w:cs="Arial" w:eastAsia="Arial" w:hAnsi="Arial"/>
                  <w:sz w:val="17"/>
                  <w:szCs w:val="17"/>
                  <w:color w:val="0000FF"/>
                </w:rPr>
                <w:t>3.1</w:t>
              </w:r>
            </w:hyperlink>
            <w:r>
              <w:rPr>
                <w:rFonts w:ascii="Arial" w:cs="Arial" w:eastAsia="Arial" w:hAnsi="Arial"/>
                <w:sz w:val="17"/>
                <w:szCs w:val="17"/>
                <w:color w:val="auto"/>
              </w:rPr>
              <w:t xml:space="preserve">, </w:t>
            </w:r>
            <w:hyperlink r:id="rId155">
              <w:r>
                <w:rPr>
                  <w:rFonts w:ascii="Arial" w:cs="Arial" w:eastAsia="Arial" w:hAnsi="Arial"/>
                  <w:sz w:val="17"/>
                  <w:szCs w:val="17"/>
                  <w:color w:val="0000FF"/>
                </w:rPr>
                <w:t>3.2</w:t>
              </w:r>
            </w:hyperlink>
            <w:r>
              <w:rPr>
                <w:rFonts w:ascii="Arial" w:cs="Arial" w:eastAsia="Arial" w:hAnsi="Arial"/>
                <w:sz w:val="17"/>
                <w:szCs w:val="17"/>
                <w:color w:val="auto"/>
              </w:rPr>
              <w:t xml:space="preserve">, </w:t>
            </w:r>
            <w:hyperlink r:id="rId156">
              <w:r>
                <w:rPr>
                  <w:rFonts w:ascii="Arial" w:cs="Arial" w:eastAsia="Arial" w:hAnsi="Arial"/>
                  <w:sz w:val="17"/>
                  <w:szCs w:val="17"/>
                  <w:color w:val="0000FF"/>
                </w:rPr>
                <w:t>3.3</w:t>
              </w:r>
            </w:hyperlink>
            <w:r>
              <w:rPr>
                <w:rFonts w:ascii="Arial" w:cs="Arial" w:eastAsia="Arial" w:hAnsi="Arial"/>
                <w:sz w:val="17"/>
                <w:szCs w:val="17"/>
                <w:color w:val="auto"/>
              </w:rPr>
              <w:t xml:space="preserve">, </w:t>
            </w:r>
            <w:hyperlink r:id="rId157">
              <w:r>
                <w:rPr>
                  <w:rFonts w:ascii="Arial" w:cs="Arial" w:eastAsia="Arial" w:hAnsi="Arial"/>
                  <w:sz w:val="17"/>
                  <w:szCs w:val="17"/>
                  <w:color w:val="0000FF"/>
                </w:rPr>
                <w:t>3.4</w:t>
              </w:r>
            </w:hyperlink>
            <w:r>
              <w:rPr>
                <w:rFonts w:ascii="Arial" w:cs="Arial" w:eastAsia="Arial" w:hAnsi="Arial"/>
                <w:sz w:val="17"/>
                <w:szCs w:val="17"/>
                <w:color w:val="auto"/>
              </w:rPr>
              <w:t xml:space="preserve">, and </w:t>
            </w:r>
            <w:hyperlink r:id="rId159">
              <w:r>
                <w:rPr>
                  <w:rFonts w:ascii="Arial" w:cs="Arial" w:eastAsia="Arial" w:hAnsi="Arial"/>
                  <w:sz w:val="17"/>
                  <w:szCs w:val="17"/>
                  <w:color w:val="0000FF"/>
                </w:rPr>
                <w:t>3.5</w:t>
              </w:r>
            </w:hyperlink>
            <w:r>
              <w:rPr>
                <w:rFonts w:ascii="Arial" w:cs="Arial" w:eastAsia="Arial" w:hAnsi="Arial"/>
                <w:sz w:val="17"/>
                <w:szCs w:val="17"/>
                <w:color w:val="auto"/>
              </w:rPr>
              <w:t>.</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rPr>
            </w:pPr>
            <w:hyperlink r:id="rId160">
              <w:r>
                <w:rPr>
                  <w:rFonts w:ascii="Arial" w:cs="Arial" w:eastAsia="Arial" w:hAnsi="Arial"/>
                  <w:sz w:val="17"/>
                  <w:szCs w:val="17"/>
                  <w:color w:val="0000FF"/>
                </w:rPr>
                <w:t>Specimen Common Stock certificate.</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w w:val="93"/>
              </w:rPr>
            </w:pPr>
            <w:hyperlink r:id="rId161">
              <w:r>
                <w:rPr>
                  <w:rFonts w:ascii="Arial" w:cs="Arial" w:eastAsia="Arial" w:hAnsi="Arial"/>
                  <w:sz w:val="17"/>
                  <w:szCs w:val="17"/>
                  <w:color w:val="0000FF"/>
                  <w:w w:val="93"/>
                </w:rPr>
                <w:t>Indenture dated October 5, 2015 by and between Nektar Therapeutics and Wilmington Trust, National Association, and TC</w:t>
              </w:r>
            </w:hyperlink>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tcBorders>
              <w:top w:val="single" w:sz="8" w:color="0000FF"/>
              <w:bottom w:val="single" w:sz="8" w:color="0000FF"/>
            </w:tcBorders>
            <w:gridSpan w:val="16"/>
          </w:tcPr>
          <w:p>
            <w:pPr>
              <w:spacing w:after="0" w:line="186" w:lineRule="exact"/>
              <w:rPr>
                <w:rFonts w:ascii="Arial" w:cs="Arial" w:eastAsia="Arial" w:hAnsi="Arial"/>
                <w:sz w:val="17"/>
                <w:szCs w:val="17"/>
                <w:color w:val="0000FF"/>
                <w:w w:val="92"/>
              </w:rPr>
            </w:pPr>
            <w:hyperlink r:id="rId161">
              <w:r>
                <w:rPr>
                  <w:rFonts w:ascii="Arial" w:cs="Arial" w:eastAsia="Arial" w:hAnsi="Arial"/>
                  <w:sz w:val="17"/>
                  <w:szCs w:val="17"/>
                  <w:color w:val="0000FF"/>
                  <w:w w:val="92"/>
                </w:rPr>
                <w:t>Lending, LLC including the form of 7.75% Senior Secured Note due 2020.</w:t>
              </w:r>
            </w:hyperlink>
          </w:p>
        </w:tc>
        <w:tc>
          <w:tcPr>
            <w:tcW w:w="3280" w:type="dxa"/>
            <w:vAlign w:val="bottom"/>
            <w:tcBorders>
              <w:top w:val="single" w:sz="8" w:color="0000FF"/>
            </w:tcBorders>
            <w:gridSpan w:val="3"/>
          </w:tcPr>
          <w:p>
            <w:pPr>
              <w:spacing w:after="0"/>
              <w:rPr>
                <w:sz w:val="16"/>
                <w:szCs w:val="16"/>
                <w:color w:val="auto"/>
              </w:rPr>
            </w:pPr>
          </w:p>
        </w:tc>
        <w:tc>
          <w:tcPr>
            <w:tcW w:w="160" w:type="dxa"/>
            <w:vAlign w:val="bottom"/>
          </w:tcPr>
          <w:p>
            <w:pPr>
              <w:spacing w:after="0"/>
              <w:rPr>
                <w:sz w:val="16"/>
                <w:szCs w:val="16"/>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4.4(28)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rPr>
            </w:pPr>
            <w:hyperlink r:id="rId162">
              <w:r>
                <w:rPr>
                  <w:rFonts w:ascii="Arial" w:cs="Arial" w:eastAsia="Arial" w:hAnsi="Arial"/>
                  <w:sz w:val="17"/>
                  <w:szCs w:val="17"/>
                  <w:color w:val="0000FF"/>
                </w:rPr>
                <w:t>Description of Securities.</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0"/>
          </w:tcPr>
          <w:p>
            <w:pPr>
              <w:spacing w:after="0"/>
              <w:rPr>
                <w:rFonts w:ascii="Arial" w:cs="Arial" w:eastAsia="Arial" w:hAnsi="Arial"/>
                <w:sz w:val="17"/>
                <w:szCs w:val="17"/>
                <w:color w:val="0000FF"/>
              </w:rPr>
            </w:pPr>
            <w:hyperlink r:id="rId163">
              <w:r>
                <w:rPr>
                  <w:rFonts w:ascii="Arial" w:cs="Arial" w:eastAsia="Arial" w:hAnsi="Arial"/>
                  <w:sz w:val="17"/>
                  <w:szCs w:val="17"/>
                  <w:color w:val="0000FF"/>
                </w:rPr>
                <w:t>Discretionary Incentive Compensation Policy++</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10"/>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r>
      <w:tr>
        <w:trPr>
          <w:trHeight w:val="496"/>
        </w:trPr>
        <w:tc>
          <w:tcPr>
            <w:tcW w:w="1080" w:type="dxa"/>
            <w:vAlign w:val="bottom"/>
          </w:tcPr>
          <w:p>
            <w:pPr>
              <w:ind w:left="20"/>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bottom w:val="single" w:sz="8" w:color="0000FF"/>
            </w:tcBorders>
            <w:gridSpan w:val="15"/>
          </w:tcPr>
          <w:p>
            <w:pPr>
              <w:spacing w:after="0"/>
              <w:rPr>
                <w:rFonts w:ascii="Arial" w:cs="Arial" w:eastAsia="Arial" w:hAnsi="Arial"/>
                <w:sz w:val="17"/>
                <w:szCs w:val="17"/>
                <w:color w:val="0000FF"/>
                <w:w w:val="90"/>
              </w:rPr>
            </w:pPr>
            <w:hyperlink r:id="rId164">
              <w:r>
                <w:rPr>
                  <w:rFonts w:ascii="Arial" w:cs="Arial" w:eastAsia="Arial" w:hAnsi="Arial"/>
                  <w:sz w:val="17"/>
                  <w:szCs w:val="17"/>
                  <w:color w:val="0000FF"/>
                  <w:w w:val="90"/>
                </w:rPr>
                <w:t>Amended and Restated Change of Control Severance Benefit Plan.++</w:t>
              </w:r>
            </w:hyperlink>
          </w:p>
        </w:tc>
        <w:tc>
          <w:tcPr>
            <w:tcW w:w="3820" w:type="dxa"/>
            <w:vAlign w:val="bottom"/>
            <w:gridSpan w:val="5"/>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100" w:type="dxa"/>
            <w:vAlign w:val="bottom"/>
            <w:gridSpan w:val="22"/>
          </w:tcPr>
          <w:p>
            <w:pPr>
              <w:ind w:left="1020"/>
              <w:spacing w:after="0"/>
              <w:rPr>
                <w:sz w:val="20"/>
                <w:szCs w:val="20"/>
                <w:color w:val="auto"/>
              </w:rPr>
            </w:pPr>
            <w:r>
              <w:rPr>
                <w:rFonts w:ascii="Arial" w:cs="Arial" w:eastAsia="Arial" w:hAnsi="Arial"/>
                <w:sz w:val="14"/>
                <w:szCs w:val="14"/>
                <w:b w:val="1"/>
                <w:bCs w:val="1"/>
                <w:color w:val="auto"/>
              </w:rPr>
              <w:t>Description of Documents</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080" w:type="dxa"/>
            <w:vAlign w:val="bottom"/>
          </w:tcPr>
          <w:p>
            <w:pPr>
              <w:ind w:left="20"/>
              <w:spacing w:after="0" w:line="186" w:lineRule="exact"/>
              <w:rPr>
                <w:sz w:val="20"/>
                <w:szCs w:val="20"/>
                <w:color w:val="auto"/>
              </w:rPr>
            </w:pPr>
            <w:r>
              <w:rPr>
                <w:rFonts w:ascii="Arial" w:cs="Arial" w:eastAsia="Arial" w:hAnsi="Arial"/>
                <w:sz w:val="17"/>
                <w:szCs w:val="17"/>
                <w:color w:val="auto"/>
              </w:rPr>
              <w:t>10.3(9)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5"/>
          </w:tcPr>
          <w:p>
            <w:pPr>
              <w:spacing w:after="0" w:line="186" w:lineRule="exact"/>
              <w:rPr>
                <w:rFonts w:ascii="Arial" w:cs="Arial" w:eastAsia="Arial" w:hAnsi="Arial"/>
                <w:sz w:val="17"/>
                <w:szCs w:val="17"/>
                <w:color w:val="0000FF"/>
              </w:rPr>
            </w:pPr>
            <w:hyperlink r:id="rId166">
              <w:r>
                <w:rPr>
                  <w:rFonts w:ascii="Arial" w:cs="Arial" w:eastAsia="Arial" w:hAnsi="Arial"/>
                  <w:sz w:val="17"/>
                  <w:szCs w:val="17"/>
                  <w:color w:val="0000FF"/>
                </w:rPr>
                <w:t>2012 Performance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tcBorders>
              <w:bottom w:val="single" w:sz="8" w:color="0000FF"/>
            </w:tcBorders>
            <w:gridSpan w:val="17"/>
          </w:tcPr>
          <w:p>
            <w:pPr>
              <w:spacing w:after="0"/>
              <w:rPr>
                <w:rFonts w:ascii="Arial" w:cs="Arial" w:eastAsia="Arial" w:hAnsi="Arial"/>
                <w:sz w:val="17"/>
                <w:szCs w:val="17"/>
                <w:color w:val="0000FF"/>
                <w:w w:val="92"/>
              </w:rPr>
            </w:pPr>
            <w:hyperlink r:id="rId167">
              <w:r>
                <w:rPr>
                  <w:rFonts w:ascii="Arial" w:cs="Arial" w:eastAsia="Arial" w:hAnsi="Arial"/>
                  <w:sz w:val="17"/>
                  <w:szCs w:val="17"/>
                  <w:color w:val="0000FF"/>
                  <w:w w:val="92"/>
                </w:rPr>
                <w:t>Forms of Stock Option Agreement, Performance Stock Option Agreement, Restricted Stock Unit Agreement and</w:t>
              </w:r>
            </w:hyperlink>
          </w:p>
        </w:tc>
        <w:tc>
          <w:tcPr>
            <w:tcW w:w="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5"/>
          </w:tcPr>
          <w:p>
            <w:pPr>
              <w:spacing w:after="0" w:line="186" w:lineRule="exact"/>
              <w:rPr>
                <w:rFonts w:ascii="Arial" w:cs="Arial" w:eastAsia="Arial" w:hAnsi="Arial"/>
                <w:sz w:val="17"/>
                <w:szCs w:val="17"/>
                <w:color w:val="0000FF"/>
              </w:rPr>
            </w:pPr>
            <w:hyperlink r:id="rId167">
              <w:r>
                <w:rPr>
                  <w:rFonts w:ascii="Arial" w:cs="Arial" w:eastAsia="Arial" w:hAnsi="Arial"/>
                  <w:sz w:val="17"/>
                  <w:szCs w:val="17"/>
                  <w:color w:val="0000FF"/>
                </w:rPr>
                <w:t>Performance Restricted Stock Unit Agreement under the 2012 Performance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10.5(11)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FF"/>
            </w:tcBorders>
            <w:gridSpan w:val="11"/>
          </w:tcPr>
          <w:p>
            <w:pPr>
              <w:spacing w:after="0"/>
              <w:rPr>
                <w:rFonts w:ascii="Arial" w:cs="Arial" w:eastAsia="Arial" w:hAnsi="Arial"/>
                <w:sz w:val="17"/>
                <w:szCs w:val="17"/>
                <w:color w:val="0000FF"/>
                <w:w w:val="89"/>
              </w:rPr>
            </w:pPr>
            <w:hyperlink r:id="rId168">
              <w:r>
                <w:rPr>
                  <w:rFonts w:ascii="Arial" w:cs="Arial" w:eastAsia="Arial" w:hAnsi="Arial"/>
                  <w:sz w:val="17"/>
                  <w:szCs w:val="17"/>
                  <w:color w:val="0000FF"/>
                  <w:w w:val="89"/>
                </w:rPr>
                <w:t xml:space="preserve">Nektar Therapeutics Amended and Restated 2017 Performance Incentive Plan, as </w:t>
              </w:r>
            </w:hyperlink>
            <w:r>
              <w:rPr>
                <w:rFonts w:ascii="Arial" w:cs="Arial" w:eastAsia="Arial" w:hAnsi="Arial"/>
                <w:sz w:val="17"/>
                <w:szCs w:val="17"/>
                <w:color w:val="0000FF"/>
                <w:w w:val="89"/>
              </w:rPr>
              <w:t>amended.++</w:t>
            </w:r>
          </w:p>
        </w:tc>
        <w:tc>
          <w:tcPr>
            <w:tcW w:w="2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10.6(12)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tcBorders>
              <w:bottom w:val="single" w:sz="8" w:color="0000FF"/>
            </w:tcBorders>
            <w:gridSpan w:val="18"/>
          </w:tcPr>
          <w:p>
            <w:pPr>
              <w:spacing w:after="0"/>
              <w:rPr>
                <w:rFonts w:ascii="Arial" w:cs="Arial" w:eastAsia="Arial" w:hAnsi="Arial"/>
                <w:sz w:val="17"/>
                <w:szCs w:val="17"/>
                <w:color w:val="0000FF"/>
                <w:w w:val="92"/>
              </w:rPr>
            </w:pPr>
            <w:hyperlink r:id="rId169">
              <w:r>
                <w:rPr>
                  <w:rFonts w:ascii="Arial" w:cs="Arial" w:eastAsia="Arial" w:hAnsi="Arial"/>
                  <w:sz w:val="17"/>
                  <w:szCs w:val="17"/>
                  <w:color w:val="0000FF"/>
                  <w:w w:val="92"/>
                </w:rPr>
                <w:t>Forms of Stock Option Agreement, Performance Stock Option Agreement, Non-Employee Director Stock Option</w:t>
              </w:r>
            </w:hyperlink>
          </w:p>
        </w:tc>
        <w:tc>
          <w:tcPr>
            <w:tcW w:w="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5"/>
          </w:tcPr>
          <w:p>
            <w:pPr>
              <w:spacing w:after="0" w:line="186" w:lineRule="exact"/>
              <w:rPr>
                <w:rFonts w:ascii="Arial" w:cs="Arial" w:eastAsia="Arial" w:hAnsi="Arial"/>
                <w:sz w:val="17"/>
                <w:szCs w:val="17"/>
                <w:color w:val="0000FF"/>
                <w:w w:val="93"/>
              </w:rPr>
            </w:pPr>
            <w:hyperlink r:id="rId169">
              <w:r>
                <w:rPr>
                  <w:rFonts w:ascii="Arial" w:cs="Arial" w:eastAsia="Arial" w:hAnsi="Arial"/>
                  <w:sz w:val="17"/>
                  <w:szCs w:val="17"/>
                  <w:color w:val="0000FF"/>
                  <w:w w:val="93"/>
                </w:rPr>
                <w:t>Agreement, Restricted Stock Unit Agreement, Performance Restricted Stock Unit Agreement, and Non-Employee Director</w:t>
              </w:r>
            </w:hyperlink>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80" w:type="dxa"/>
            <w:vAlign w:val="bottom"/>
            <w:tcBorders>
              <w:top w:val="single" w:sz="8" w:color="0000FF"/>
              <w:bottom w:val="single" w:sz="8" w:color="0000FF"/>
            </w:tcBorders>
            <w:gridSpan w:val="13"/>
          </w:tcPr>
          <w:p>
            <w:pPr>
              <w:spacing w:after="0" w:line="186" w:lineRule="exact"/>
              <w:rPr>
                <w:rFonts w:ascii="Arial" w:cs="Arial" w:eastAsia="Arial" w:hAnsi="Arial"/>
                <w:sz w:val="17"/>
                <w:szCs w:val="17"/>
                <w:color w:val="0000FF"/>
                <w:w w:val="90"/>
              </w:rPr>
            </w:pPr>
            <w:hyperlink r:id="rId169">
              <w:r>
                <w:rPr>
                  <w:rFonts w:ascii="Arial" w:cs="Arial" w:eastAsia="Arial" w:hAnsi="Arial"/>
                  <w:sz w:val="17"/>
                  <w:szCs w:val="17"/>
                  <w:color w:val="0000FF"/>
                  <w:w w:val="90"/>
                </w:rPr>
                <w:t>Restricted Stock Unit Agreement under the Amended and Restated 2017 Performance Incentive Plan.++</w:t>
              </w:r>
            </w:hyperlink>
          </w:p>
        </w:tc>
        <w:tc>
          <w:tcPr>
            <w:tcW w:w="1280" w:type="dxa"/>
            <w:vAlign w:val="bottom"/>
            <w:tcBorders>
              <w:top w:val="single" w:sz="8" w:color="0000FF"/>
            </w:tcBorders>
            <w:gridSpan w:val="9"/>
          </w:tcPr>
          <w:p>
            <w:pPr>
              <w:spacing w:after="0"/>
              <w:rPr>
                <w:sz w:val="16"/>
                <w:szCs w:val="16"/>
                <w:color w:val="auto"/>
              </w:rPr>
            </w:pPr>
          </w:p>
        </w:tc>
        <w:tc>
          <w:tcPr>
            <w:tcW w:w="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10.7(13)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bottom w:val="single" w:sz="8" w:color="0000FF"/>
            </w:tcBorders>
            <w:gridSpan w:val="4"/>
          </w:tcPr>
          <w:p>
            <w:pPr>
              <w:spacing w:after="0"/>
              <w:rPr>
                <w:rFonts w:ascii="Arial" w:cs="Arial" w:eastAsia="Arial" w:hAnsi="Arial"/>
                <w:sz w:val="17"/>
                <w:szCs w:val="17"/>
                <w:color w:val="0000FF"/>
                <w:w w:val="88"/>
              </w:rPr>
            </w:pPr>
            <w:hyperlink r:id="rId170">
              <w:r>
                <w:rPr>
                  <w:rFonts w:ascii="Arial" w:cs="Arial" w:eastAsia="Arial" w:hAnsi="Arial"/>
                  <w:sz w:val="17"/>
                  <w:szCs w:val="17"/>
                  <w:color w:val="0000FF"/>
                  <w:w w:val="88"/>
                </w:rPr>
                <w:t>Employee Stock Purchase Plan, as amended and restated.++</w:t>
              </w:r>
            </w:hyperlink>
          </w:p>
        </w:tc>
        <w:tc>
          <w:tcPr>
            <w:tcW w:w="44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10.8(14)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rPr>
            </w:pPr>
            <w:hyperlink r:id="rId171">
              <w:r>
                <w:rPr>
                  <w:rFonts w:ascii="Arial" w:cs="Arial" w:eastAsia="Arial" w:hAnsi="Arial"/>
                  <w:sz w:val="17"/>
                  <w:szCs w:val="17"/>
                  <w:color w:val="0000FF"/>
                </w:rPr>
                <w:t>Amended and Restated Compensation Plan for Non-Employee Directors.++</w:t>
              </w:r>
            </w:hyperlink>
          </w:p>
        </w:tc>
        <w:tc>
          <w:tcPr>
            <w:tcW w:w="0" w:type="dxa"/>
            <w:vAlign w:val="bottom"/>
          </w:tcPr>
          <w:p>
            <w:pPr>
              <w:spacing w:after="0"/>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10.9(15)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top w:val="single" w:sz="8" w:color="0000FF"/>
            </w:tcBorders>
            <w:gridSpan w:val="9"/>
          </w:tcPr>
          <w:p>
            <w:pPr>
              <w:spacing w:after="0"/>
              <w:rPr>
                <w:rFonts w:ascii="Arial" w:cs="Arial" w:eastAsia="Arial" w:hAnsi="Arial"/>
                <w:sz w:val="17"/>
                <w:szCs w:val="17"/>
                <w:color w:val="0000FF"/>
              </w:rPr>
            </w:pPr>
            <w:hyperlink r:id="rId172">
              <w:r>
                <w:rPr>
                  <w:rFonts w:ascii="Arial" w:cs="Arial" w:eastAsia="Arial" w:hAnsi="Arial"/>
                  <w:sz w:val="17"/>
                  <w:szCs w:val="17"/>
                  <w:color w:val="0000FF"/>
                </w:rPr>
                <w:t>401(k) Retirement Plan.++</w:t>
              </w:r>
            </w:hyperlink>
          </w:p>
        </w:tc>
        <w:tc>
          <w:tcPr>
            <w:tcW w:w="3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rPr>
            </w:pPr>
            <w:hyperlink r:id="rId173">
              <w:r>
                <w:rPr>
                  <w:rFonts w:ascii="Arial" w:cs="Arial" w:eastAsia="Arial" w:hAnsi="Arial"/>
                  <w:sz w:val="17"/>
                  <w:szCs w:val="17"/>
                  <w:color w:val="0000FF"/>
                </w:rPr>
                <w:t>Form of Severance Letter for executive officers of the company.++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10.11(1)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rPr>
            </w:pPr>
            <w:hyperlink r:id="rId174">
              <w:r>
                <w:rPr>
                  <w:rFonts w:ascii="Arial" w:cs="Arial" w:eastAsia="Arial" w:hAnsi="Arial"/>
                  <w:sz w:val="17"/>
                  <w:szCs w:val="17"/>
                  <w:color w:val="0000FF"/>
                </w:rPr>
                <w:t>Amended and Restated Letter Agreement, executed effective on December 1, 2008, with Howard W. Robin.++</w:t>
              </w:r>
            </w:hyperlink>
          </w:p>
        </w:tc>
        <w:tc>
          <w:tcPr>
            <w:tcW w:w="0" w:type="dxa"/>
            <w:vAlign w:val="bottom"/>
          </w:tcPr>
          <w:p>
            <w:pPr>
              <w:spacing w:after="0"/>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10.12(1)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top w:val="single" w:sz="8" w:color="0000FF"/>
              <w:bottom w:val="single" w:sz="8" w:color="0000FF"/>
            </w:tcBorders>
            <w:gridSpan w:val="14"/>
          </w:tcPr>
          <w:p>
            <w:pPr>
              <w:spacing w:after="0"/>
              <w:rPr>
                <w:rFonts w:ascii="Arial" w:cs="Arial" w:eastAsia="Arial" w:hAnsi="Arial"/>
                <w:sz w:val="17"/>
                <w:szCs w:val="17"/>
                <w:color w:val="0000FF"/>
                <w:w w:val="91"/>
              </w:rPr>
            </w:pPr>
            <w:hyperlink r:id="rId175">
              <w:r>
                <w:rPr>
                  <w:rFonts w:ascii="Arial" w:cs="Arial" w:eastAsia="Arial" w:hAnsi="Arial"/>
                  <w:sz w:val="17"/>
                  <w:szCs w:val="17"/>
                  <w:color w:val="0000FF"/>
                  <w:w w:val="91"/>
                </w:rPr>
                <w:t>Amended and Restated Letter Agreement, executed effective on December 1, 2008, with John Nicholson.++</w:t>
              </w:r>
            </w:hyperlink>
          </w:p>
        </w:tc>
        <w:tc>
          <w:tcPr>
            <w:tcW w:w="160" w:type="dxa"/>
            <w:vAlign w:val="bottom"/>
            <w:tcBorders>
              <w:top w:val="single" w:sz="8" w:color="0000FF"/>
            </w:tcBorders>
          </w:tcPr>
          <w:p>
            <w:pPr>
              <w:spacing w:after="0"/>
              <w:rPr>
                <w:sz w:val="24"/>
                <w:szCs w:val="24"/>
                <w:color w:val="auto"/>
              </w:rPr>
            </w:pPr>
          </w:p>
        </w:tc>
        <w:tc>
          <w:tcPr>
            <w:tcW w:w="10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10.13(17)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rPr>
            </w:pPr>
            <w:hyperlink r:id="rId176">
              <w:r>
                <w:rPr>
                  <w:rFonts w:ascii="Arial" w:cs="Arial" w:eastAsia="Arial" w:hAnsi="Arial"/>
                  <w:sz w:val="17"/>
                  <w:szCs w:val="17"/>
                  <w:color w:val="0000FF"/>
                </w:rPr>
                <w:t>Letter Agreement, executed effective on December 10, 2009, with Stephen K. Doberstein, Ph.D.++</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7"/>
                <w:szCs w:val="17"/>
                <w:color w:val="auto"/>
              </w:rPr>
              <w:t>10.14(28)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w w:val="91"/>
              </w:rPr>
            </w:pPr>
            <w:hyperlink r:id="rId177">
              <w:r>
                <w:rPr>
                  <w:rFonts w:ascii="Arial" w:cs="Arial" w:eastAsia="Arial" w:hAnsi="Arial"/>
                  <w:sz w:val="17"/>
                  <w:szCs w:val="17"/>
                  <w:color w:val="0000FF"/>
                  <w:w w:val="91"/>
                </w:rPr>
                <w:t>Transition, Separation and General Release Agreement, dated as of January 9, 2020, by and between Stephen K. Doberstein</w:t>
              </w:r>
            </w:hyperlink>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00" w:type="dxa"/>
            <w:vAlign w:val="bottom"/>
            <w:tcBorders>
              <w:top w:val="single" w:sz="8" w:color="0000FF"/>
            </w:tcBorders>
            <w:gridSpan w:val="23"/>
          </w:tcPr>
          <w:p>
            <w:pPr>
              <w:spacing w:after="0" w:line="186" w:lineRule="exact"/>
              <w:rPr>
                <w:rFonts w:ascii="Arial" w:cs="Arial" w:eastAsia="Arial" w:hAnsi="Arial"/>
                <w:sz w:val="17"/>
                <w:szCs w:val="17"/>
                <w:color w:val="0000FF"/>
              </w:rPr>
            </w:pPr>
            <w:hyperlink r:id="rId177">
              <w:r>
                <w:rPr>
                  <w:rFonts w:ascii="Arial" w:cs="Arial" w:eastAsia="Arial" w:hAnsi="Arial"/>
                  <w:sz w:val="17"/>
                  <w:szCs w:val="17"/>
                  <w:color w:val="0000FF"/>
                </w:rPr>
                <w:t>and Nektar Therapeutics. ++</w:t>
              </w:r>
            </w:hyperlink>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10.15(19)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FF"/>
            </w:tcBorders>
            <w:gridSpan w:val="16"/>
          </w:tcPr>
          <w:p>
            <w:pPr>
              <w:spacing w:after="0"/>
              <w:rPr>
                <w:rFonts w:ascii="Arial" w:cs="Arial" w:eastAsia="Arial" w:hAnsi="Arial"/>
                <w:sz w:val="17"/>
                <w:szCs w:val="17"/>
                <w:color w:val="0000FF"/>
                <w:w w:val="90"/>
              </w:rPr>
            </w:pPr>
            <w:hyperlink r:id="rId178">
              <w:r>
                <w:rPr>
                  <w:rFonts w:ascii="Arial" w:cs="Arial" w:eastAsia="Arial" w:hAnsi="Arial"/>
                  <w:sz w:val="17"/>
                  <w:szCs w:val="17"/>
                  <w:color w:val="0000FF"/>
                  <w:w w:val="90"/>
                </w:rPr>
                <w:t>Separation, Consulting and General Release Agreement effective as of October 15, 2019, by and between Nektar</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5"/>
          </w:tcPr>
          <w:p>
            <w:pPr>
              <w:spacing w:after="0" w:line="186" w:lineRule="exact"/>
              <w:rPr>
                <w:rFonts w:ascii="Arial" w:cs="Arial" w:eastAsia="Arial" w:hAnsi="Arial"/>
                <w:sz w:val="17"/>
                <w:szCs w:val="17"/>
                <w:color w:val="0000FF"/>
              </w:rPr>
            </w:pPr>
            <w:hyperlink r:id="rId178">
              <w:r>
                <w:rPr>
                  <w:rFonts w:ascii="Arial" w:cs="Arial" w:eastAsia="Arial" w:hAnsi="Arial"/>
                  <w:sz w:val="17"/>
                  <w:szCs w:val="17"/>
                  <w:color w:val="0000FF"/>
                </w:rPr>
                <w:t>Therapeutics and John Nicholson.++</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7"/>
                <w:szCs w:val="17"/>
                <w:color w:val="auto"/>
              </w:rPr>
              <w:t>10.16(28)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w w:val="95"/>
              </w:rPr>
            </w:pPr>
            <w:hyperlink r:id="rId179">
              <w:r>
                <w:rPr>
                  <w:rFonts w:ascii="Arial" w:cs="Arial" w:eastAsia="Arial" w:hAnsi="Arial"/>
                  <w:sz w:val="17"/>
                  <w:szCs w:val="17"/>
                  <w:color w:val="0000FF"/>
                  <w:w w:val="95"/>
                </w:rPr>
                <w:t>Employment Agreement effective as of December 4, 2019, by and between Nektar Therapeutics and John Northcott.++</w:t>
              </w:r>
            </w:hyperlink>
          </w:p>
        </w:tc>
        <w:tc>
          <w:tcPr>
            <w:tcW w:w="0" w:type="dxa"/>
            <w:vAlign w:val="bottom"/>
          </w:tcPr>
          <w:p>
            <w:pPr>
              <w:spacing w:after="0"/>
              <w:rPr>
                <w:sz w:val="1"/>
                <w:szCs w:val="1"/>
                <w:color w:val="auto"/>
              </w:rPr>
            </w:pPr>
          </w:p>
        </w:tc>
      </w:tr>
      <w:tr>
        <w:trPr>
          <w:trHeight w:val="483"/>
        </w:trPr>
        <w:tc>
          <w:tcPr>
            <w:tcW w:w="1080" w:type="dxa"/>
            <w:vAlign w:val="bottom"/>
          </w:tcPr>
          <w:p>
            <w:pPr>
              <w:ind w:left="20"/>
              <w:spacing w:after="0"/>
              <w:rPr>
                <w:sz w:val="20"/>
                <w:szCs w:val="20"/>
                <w:color w:val="auto"/>
              </w:rPr>
            </w:pPr>
            <w:r>
              <w:rPr>
                <w:rFonts w:ascii="Arial" w:cs="Arial" w:eastAsia="Arial" w:hAnsi="Arial"/>
                <w:sz w:val="17"/>
                <w:szCs w:val="17"/>
                <w:color w:val="auto"/>
              </w:rPr>
              <w:t>10.17(16)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tcBorders>
              <w:top w:val="single" w:sz="8" w:color="0000FF"/>
            </w:tcBorders>
            <w:gridSpan w:val="20"/>
          </w:tcPr>
          <w:p>
            <w:pPr>
              <w:spacing w:after="0"/>
              <w:rPr>
                <w:rFonts w:ascii="Arial" w:cs="Arial" w:eastAsia="Arial" w:hAnsi="Arial"/>
                <w:sz w:val="17"/>
                <w:szCs w:val="17"/>
                <w:color w:val="0000FF"/>
                <w:w w:val="94"/>
              </w:rPr>
            </w:pPr>
            <w:hyperlink r:id="rId180">
              <w:r>
                <w:rPr>
                  <w:rFonts w:ascii="Arial" w:cs="Arial" w:eastAsia="Arial" w:hAnsi="Arial"/>
                  <w:sz w:val="17"/>
                  <w:szCs w:val="17"/>
                  <w:color w:val="0000FF"/>
                  <w:w w:val="94"/>
                </w:rPr>
                <w:t>Amended and Restated Built-to-Suit Lease between Nektar Therapeutics and BMR-201 Industrial Road LLC, dated</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60" w:type="dxa"/>
            <w:vAlign w:val="bottom"/>
            <w:tcBorders>
              <w:top w:val="single" w:sz="8" w:color="0000FF"/>
            </w:tcBorders>
            <w:gridSpan w:val="19"/>
          </w:tcPr>
          <w:p>
            <w:pPr>
              <w:spacing w:after="0" w:line="186" w:lineRule="exact"/>
              <w:rPr>
                <w:rFonts w:ascii="Arial" w:cs="Arial" w:eastAsia="Arial" w:hAnsi="Arial"/>
                <w:sz w:val="17"/>
                <w:szCs w:val="17"/>
                <w:color w:val="0000FF"/>
              </w:rPr>
            </w:pPr>
            <w:hyperlink r:id="rId180">
              <w:r>
                <w:rPr>
                  <w:rFonts w:ascii="Arial" w:cs="Arial" w:eastAsia="Arial" w:hAnsi="Arial"/>
                  <w:sz w:val="17"/>
                  <w:szCs w:val="17"/>
                  <w:color w:val="0000FF"/>
                </w:rPr>
                <w:t>August 17, 2004, as amended on January 11, 2005 and July 19, 2007.</w:t>
              </w:r>
            </w:hyperlink>
          </w:p>
        </w:tc>
        <w:tc>
          <w:tcPr>
            <w:tcW w:w="6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10.18(18)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w w:val="91"/>
              </w:rPr>
            </w:pPr>
            <w:hyperlink r:id="rId181">
              <w:r>
                <w:rPr>
                  <w:rFonts w:ascii="Arial" w:cs="Arial" w:eastAsia="Arial" w:hAnsi="Arial"/>
                  <w:sz w:val="17"/>
                  <w:szCs w:val="17"/>
                  <w:color w:val="0000FF"/>
                  <w:w w:val="91"/>
                </w:rPr>
                <w:t>Lease Agreement dated August 4, 2017, as amended by the First Amendment to Lease dated as of August 29, 2017, by and</w:t>
              </w:r>
            </w:hyperlink>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tcBorders>
              <w:top w:val="single" w:sz="8" w:color="0000FF"/>
              <w:bottom w:val="single" w:sz="8" w:color="0000FF"/>
            </w:tcBorders>
            <w:gridSpan w:val="7"/>
          </w:tcPr>
          <w:p>
            <w:pPr>
              <w:spacing w:after="0" w:line="186" w:lineRule="exact"/>
              <w:rPr>
                <w:rFonts w:ascii="Arial" w:cs="Arial" w:eastAsia="Arial" w:hAnsi="Arial"/>
                <w:sz w:val="17"/>
                <w:szCs w:val="17"/>
                <w:color w:val="0000FF"/>
                <w:w w:val="91"/>
              </w:rPr>
            </w:pPr>
            <w:hyperlink r:id="rId181">
              <w:r>
                <w:rPr>
                  <w:rFonts w:ascii="Arial" w:cs="Arial" w:eastAsia="Arial" w:hAnsi="Arial"/>
                  <w:sz w:val="17"/>
                  <w:szCs w:val="17"/>
                  <w:color w:val="0000FF"/>
                  <w:w w:val="91"/>
                </w:rPr>
                <w:t>between ARE-San Francisco No. 19, LLC and Nektar Therapeutics.</w:t>
              </w:r>
            </w:hyperlink>
          </w:p>
        </w:tc>
        <w:tc>
          <w:tcPr>
            <w:tcW w:w="3780" w:type="dxa"/>
            <w:vAlign w:val="bottom"/>
            <w:tcBorders>
              <w:top w:val="single" w:sz="8" w:color="0000FF"/>
            </w:tcBorders>
            <w:gridSpan w:val="15"/>
          </w:tcPr>
          <w:p>
            <w:pPr>
              <w:spacing w:after="0"/>
              <w:rPr>
                <w:sz w:val="16"/>
                <w:szCs w:val="16"/>
                <w:color w:val="auto"/>
              </w:rPr>
            </w:pPr>
          </w:p>
        </w:tc>
        <w:tc>
          <w:tcPr>
            <w:tcW w:w="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10.19(20)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5"/>
          </w:tcPr>
          <w:p>
            <w:pPr>
              <w:spacing w:after="0"/>
              <w:rPr>
                <w:rFonts w:ascii="Arial" w:cs="Arial" w:eastAsia="Arial" w:hAnsi="Arial"/>
                <w:sz w:val="17"/>
                <w:szCs w:val="17"/>
                <w:color w:val="0000FF"/>
                <w:w w:val="90"/>
              </w:rPr>
            </w:pPr>
            <w:hyperlink r:id="rId182">
              <w:r>
                <w:rPr>
                  <w:rFonts w:ascii="Arial" w:cs="Arial" w:eastAsia="Arial" w:hAnsi="Arial"/>
                  <w:sz w:val="17"/>
                  <w:szCs w:val="17"/>
                  <w:color w:val="0000FF"/>
                  <w:w w:val="90"/>
                </w:rPr>
                <w:t>Settlement Agreement and General Release, dated June 30, 2006, by and between The Board of Trustees of the University of</w:t>
              </w:r>
            </w:hyperlink>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40" w:type="dxa"/>
            <w:vAlign w:val="bottom"/>
            <w:tcBorders>
              <w:top w:val="single" w:sz="8" w:color="0000FF"/>
              <w:bottom w:val="single" w:sz="8" w:color="0000FF"/>
            </w:tcBorders>
            <w:gridSpan w:val="21"/>
          </w:tcPr>
          <w:p>
            <w:pPr>
              <w:spacing w:after="0" w:line="186" w:lineRule="exact"/>
              <w:rPr>
                <w:rFonts w:ascii="Arial" w:cs="Arial" w:eastAsia="Arial" w:hAnsi="Arial"/>
                <w:sz w:val="17"/>
                <w:szCs w:val="17"/>
                <w:color w:val="0000FF"/>
                <w:w w:val="93"/>
              </w:rPr>
            </w:pPr>
            <w:hyperlink r:id="rId182">
              <w:r>
                <w:rPr>
                  <w:rFonts w:ascii="Arial" w:cs="Arial" w:eastAsia="Arial" w:hAnsi="Arial"/>
                  <w:sz w:val="17"/>
                  <w:szCs w:val="17"/>
                  <w:color w:val="0000FF"/>
                  <w:w w:val="93"/>
                </w:rPr>
                <w:t>Alabama, The University of Alabama in Huntsville, Nektar Therapeutics AL, Corporation (a wholly-owned subsidiary of</w:t>
              </w:r>
            </w:hyperlink>
          </w:p>
        </w:tc>
        <w:tc>
          <w:tcPr>
            <w:tcW w:w="240" w:type="dxa"/>
            <w:vAlign w:val="bottom"/>
            <w:tcBorders>
              <w:top w:val="single" w:sz="8" w:color="0000FF"/>
            </w:tcBorders>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5"/>
          </w:tcPr>
          <w:p>
            <w:pPr>
              <w:spacing w:after="0" w:line="186" w:lineRule="exact"/>
              <w:rPr>
                <w:rFonts w:ascii="Arial" w:cs="Arial" w:eastAsia="Arial" w:hAnsi="Arial"/>
                <w:sz w:val="17"/>
                <w:szCs w:val="17"/>
                <w:color w:val="0000FF"/>
              </w:rPr>
            </w:pPr>
            <w:hyperlink r:id="rId182">
              <w:r>
                <w:rPr>
                  <w:rFonts w:ascii="Arial" w:cs="Arial" w:eastAsia="Arial" w:hAnsi="Arial"/>
                  <w:sz w:val="17"/>
                  <w:szCs w:val="17"/>
                  <w:color w:val="0000FF"/>
                </w:rPr>
                <w:t>Nektar Therapeutics), Nektar Therapeutics and J. Milton Harris.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5"/>
            <w:shd w:val="clear" w:color="auto" w:fill="0000FF"/>
          </w:tcPr>
          <w:p>
            <w:pPr>
              <w:spacing w:after="0" w:line="20" w:lineRule="exact"/>
              <w:rPr>
                <w:sz w:val="1"/>
                <w:szCs w:val="1"/>
                <w:color w:val="auto"/>
              </w:rPr>
            </w:pPr>
          </w:p>
        </w:tc>
        <w:tc>
          <w:tcPr>
            <w:tcW w:w="3420" w:type="dxa"/>
            <w:vAlign w:val="bottom"/>
            <w:gridSpan w:val="13"/>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tcBorders>
              <w:bottom w:val="single" w:sz="8" w:color="0000FF"/>
            </w:tcBorders>
            <w:gridSpan w:val="18"/>
          </w:tcPr>
          <w:p>
            <w:pPr>
              <w:spacing w:after="0"/>
              <w:rPr>
                <w:rFonts w:ascii="Arial" w:cs="Arial" w:eastAsia="Arial" w:hAnsi="Arial"/>
                <w:sz w:val="17"/>
                <w:szCs w:val="17"/>
                <w:color w:val="0000FF"/>
                <w:w w:val="91"/>
              </w:rPr>
            </w:pPr>
            <w:hyperlink r:id="rId183">
              <w:r>
                <w:rPr>
                  <w:rFonts w:ascii="Arial" w:cs="Arial" w:eastAsia="Arial" w:hAnsi="Arial"/>
                  <w:sz w:val="17"/>
                  <w:szCs w:val="17"/>
                  <w:color w:val="0000FF"/>
                  <w:w w:val="91"/>
                </w:rPr>
                <w:t>Exclusive Research, Development, License and Manufacturing and Supply Agreement, by and among Nektar AL</w:t>
              </w:r>
            </w:hyperlink>
          </w:p>
        </w:tc>
        <w:tc>
          <w:tcPr>
            <w:tcW w:w="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5"/>
          </w:tcPr>
          <w:p>
            <w:pPr>
              <w:spacing w:after="0" w:line="186" w:lineRule="exact"/>
              <w:rPr>
                <w:rFonts w:ascii="Arial" w:cs="Arial" w:eastAsia="Arial" w:hAnsi="Arial"/>
                <w:sz w:val="17"/>
                <w:szCs w:val="17"/>
                <w:color w:val="0000FF"/>
                <w:w w:val="99"/>
              </w:rPr>
            </w:pPr>
            <w:hyperlink r:id="rId183">
              <w:r>
                <w:rPr>
                  <w:rFonts w:ascii="Arial" w:cs="Arial" w:eastAsia="Arial" w:hAnsi="Arial"/>
                  <w:sz w:val="17"/>
                  <w:szCs w:val="17"/>
                  <w:color w:val="0000FF"/>
                  <w:w w:val="99"/>
                </w:rPr>
                <w:t>Corporation, Baxter Healthcare SA, and Baxter Healthcare Corporation, dated September 26, 2005, as amended.+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60" w:type="dxa"/>
            <w:vAlign w:val="bottom"/>
            <w:gridSpan w:val="19"/>
          </w:tcPr>
          <w:p>
            <w:pPr>
              <w:ind w:left="180"/>
              <w:spacing w:after="0"/>
              <w:rPr>
                <w:sz w:val="20"/>
                <w:szCs w:val="20"/>
                <w:color w:val="auto"/>
              </w:rPr>
            </w:pPr>
            <w:r>
              <w:rPr>
                <w:rFonts w:ascii="Arial" w:cs="Arial" w:eastAsia="Arial" w:hAnsi="Arial"/>
                <w:sz w:val="14"/>
                <w:szCs w:val="14"/>
                <w:b w:val="1"/>
                <w:bCs w:val="1"/>
                <w:color w:val="auto"/>
              </w:rPr>
              <w:t>Description of Documents</w:t>
            </w:r>
          </w:p>
        </w:tc>
      </w:tr>
      <w:tr>
        <w:trPr>
          <w:trHeight w:val="37"/>
        </w:trPr>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Arial" w:cs="Arial" w:eastAsia="Arial" w:hAnsi="Arial"/>
                <w:sz w:val="17"/>
                <w:szCs w:val="17"/>
                <w:color w:val="auto"/>
              </w:rPr>
              <w:t>10.21(1)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40" w:type="dxa"/>
            <w:vAlign w:val="bottom"/>
            <w:tcBorders>
              <w:bottom w:val="single" w:sz="8" w:color="0000FF"/>
            </w:tcBorders>
            <w:gridSpan w:val="20"/>
          </w:tcPr>
          <w:p>
            <w:pPr>
              <w:spacing w:after="0" w:line="186" w:lineRule="exact"/>
              <w:rPr>
                <w:rFonts w:ascii="Arial" w:cs="Arial" w:eastAsia="Arial" w:hAnsi="Arial"/>
                <w:sz w:val="17"/>
                <w:szCs w:val="17"/>
                <w:color w:val="0000FF"/>
                <w:w w:val="90"/>
              </w:rPr>
            </w:pPr>
            <w:hyperlink r:id="rId185">
              <w:r>
                <w:rPr>
                  <w:rFonts w:ascii="Arial" w:cs="Arial" w:eastAsia="Arial" w:hAnsi="Arial"/>
                  <w:sz w:val="17"/>
                  <w:szCs w:val="17"/>
                  <w:color w:val="0000FF"/>
                  <w:w w:val="90"/>
                </w:rPr>
                <w:t>Exclusive License Agreement, dated December 31, 2008, between Nektar Therapeutics, a Delaware corporation, and</w:t>
              </w:r>
            </w:hyperlink>
          </w:p>
        </w:tc>
        <w:tc>
          <w:tcPr>
            <w:tcW w:w="580" w:type="dxa"/>
            <w:vAlign w:val="bottom"/>
            <w:gridSpan w:val="9"/>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9"/>
          </w:tcPr>
          <w:p>
            <w:pPr>
              <w:spacing w:after="0" w:line="186" w:lineRule="exact"/>
              <w:rPr>
                <w:rFonts w:ascii="Arial" w:cs="Arial" w:eastAsia="Arial" w:hAnsi="Arial"/>
                <w:sz w:val="17"/>
                <w:szCs w:val="17"/>
                <w:color w:val="0000FF"/>
              </w:rPr>
            </w:pPr>
            <w:hyperlink r:id="rId185">
              <w:r>
                <w:rPr>
                  <w:rFonts w:ascii="Arial" w:cs="Arial" w:eastAsia="Arial" w:hAnsi="Arial"/>
                  <w:sz w:val="17"/>
                  <w:szCs w:val="17"/>
                  <w:color w:val="0000FF"/>
                </w:rPr>
                <w:t>Novartis Pharma AG, a Swiss corporation.+</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10.22(17)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40" w:type="dxa"/>
            <w:vAlign w:val="bottom"/>
            <w:tcBorders>
              <w:bottom w:val="single" w:sz="8" w:color="0000FF"/>
            </w:tcBorders>
            <w:gridSpan w:val="15"/>
          </w:tcPr>
          <w:p>
            <w:pPr>
              <w:spacing w:after="0"/>
              <w:rPr>
                <w:rFonts w:ascii="Arial" w:cs="Arial" w:eastAsia="Arial" w:hAnsi="Arial"/>
                <w:sz w:val="17"/>
                <w:szCs w:val="17"/>
                <w:color w:val="0000FF"/>
                <w:w w:val="90"/>
              </w:rPr>
            </w:pPr>
            <w:hyperlink r:id="rId186">
              <w:r>
                <w:rPr>
                  <w:rFonts w:ascii="Arial" w:cs="Arial" w:eastAsia="Arial" w:hAnsi="Arial"/>
                  <w:sz w:val="17"/>
                  <w:szCs w:val="17"/>
                  <w:color w:val="0000FF"/>
                  <w:w w:val="90"/>
                </w:rPr>
                <w:t>Supply, Dedicated Suite and Manufacturing Guarantee Agreement, dated October 29, 2010, by and among Nektar</w:t>
              </w:r>
            </w:hyperlink>
          </w:p>
        </w:tc>
        <w:tc>
          <w:tcPr>
            <w:tcW w:w="780" w:type="dxa"/>
            <w:vAlign w:val="bottom"/>
            <w:gridSpan w:val="14"/>
          </w:tcPr>
          <w:p>
            <w:pPr>
              <w:spacing w:after="0"/>
              <w:rPr>
                <w:sz w:val="24"/>
                <w:szCs w:val="24"/>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Borders>
              <w:bottom w:val="single" w:sz="8" w:color="0000FF"/>
            </w:tcBorders>
            <w:gridSpan w:val="11"/>
          </w:tcPr>
          <w:p>
            <w:pPr>
              <w:spacing w:after="0" w:line="186" w:lineRule="exact"/>
              <w:rPr>
                <w:rFonts w:ascii="Arial" w:cs="Arial" w:eastAsia="Arial" w:hAnsi="Arial"/>
                <w:sz w:val="17"/>
                <w:szCs w:val="17"/>
                <w:color w:val="0000FF"/>
                <w:w w:val="93"/>
              </w:rPr>
            </w:pPr>
            <w:hyperlink r:id="rId186">
              <w:r>
                <w:rPr>
                  <w:rFonts w:ascii="Arial" w:cs="Arial" w:eastAsia="Arial" w:hAnsi="Arial"/>
                  <w:sz w:val="17"/>
                  <w:szCs w:val="17"/>
                  <w:color w:val="0000FF"/>
                  <w:w w:val="93"/>
                </w:rPr>
                <w:t>Therapeutics, Amgen Inc. and Amgen Manufacturing, Limited.+</w:t>
              </w:r>
            </w:hyperlink>
          </w:p>
        </w:tc>
        <w:tc>
          <w:tcPr>
            <w:tcW w:w="4160" w:type="dxa"/>
            <w:vAlign w:val="bottom"/>
            <w:gridSpan w:val="18"/>
          </w:tcPr>
          <w:p>
            <w:pPr>
              <w:spacing w:after="0"/>
              <w:rPr>
                <w:sz w:val="16"/>
                <w:szCs w:val="16"/>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tcBorders>
              <w:bottom w:val="single" w:sz="8" w:color="0000FF"/>
            </w:tcBorders>
            <w:gridSpan w:val="12"/>
          </w:tcPr>
          <w:p>
            <w:pPr>
              <w:spacing w:after="0"/>
              <w:rPr>
                <w:rFonts w:ascii="Arial" w:cs="Arial" w:eastAsia="Arial" w:hAnsi="Arial"/>
                <w:sz w:val="17"/>
                <w:szCs w:val="17"/>
                <w:color w:val="0000FF"/>
                <w:w w:val="90"/>
              </w:rPr>
            </w:pPr>
            <w:hyperlink r:id="rId187">
              <w:r>
                <w:rPr>
                  <w:rFonts w:ascii="Arial" w:cs="Arial" w:eastAsia="Arial" w:hAnsi="Arial"/>
                  <w:sz w:val="17"/>
                  <w:szCs w:val="17"/>
                  <w:color w:val="0000FF"/>
                  <w:w w:val="90"/>
                </w:rPr>
                <w:t>License Agreement by and between AstraZeneca AB and Nektar Therapeutics, dated September 20, 2009.+</w:t>
              </w:r>
            </w:hyperlink>
          </w:p>
        </w:tc>
        <w:tc>
          <w:tcPr>
            <w:tcW w:w="1220" w:type="dxa"/>
            <w:vAlign w:val="bottom"/>
            <w:gridSpan w:val="17"/>
          </w:tcPr>
          <w:p>
            <w:pPr>
              <w:spacing w:after="0"/>
              <w:rPr>
                <w:sz w:val="24"/>
                <w:szCs w:val="24"/>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10.24(22)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28"/>
          </w:tcPr>
          <w:p>
            <w:pPr>
              <w:spacing w:after="0"/>
              <w:rPr>
                <w:rFonts w:ascii="Arial" w:cs="Arial" w:eastAsia="Arial" w:hAnsi="Arial"/>
                <w:sz w:val="17"/>
                <w:szCs w:val="17"/>
                <w:color w:val="0000FF"/>
                <w:w w:val="91"/>
              </w:rPr>
            </w:pPr>
            <w:hyperlink r:id="rId188">
              <w:r>
                <w:rPr>
                  <w:rFonts w:ascii="Arial" w:cs="Arial" w:eastAsia="Arial" w:hAnsi="Arial"/>
                  <w:sz w:val="17"/>
                  <w:szCs w:val="17"/>
                  <w:color w:val="0000FF"/>
                  <w:w w:val="91"/>
                </w:rPr>
                <w:t>Collaboration and License Agreement dated as of May 30, 2016, by and between Daiichi Sankyo Europe GmbH and Nektar</w:t>
              </w:r>
            </w:hyperlink>
          </w:p>
        </w:tc>
        <w:tc>
          <w:tcPr>
            <w:tcW w:w="80" w:type="dxa"/>
            <w:vAlign w:val="bottom"/>
          </w:tcPr>
          <w:p>
            <w:pPr>
              <w:spacing w:after="0"/>
              <w:rPr>
                <w:sz w:val="24"/>
                <w:szCs w:val="24"/>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9"/>
          </w:tcPr>
          <w:p>
            <w:pPr>
              <w:spacing w:after="0" w:line="186" w:lineRule="exact"/>
              <w:rPr>
                <w:rFonts w:ascii="Arial" w:cs="Arial" w:eastAsia="Arial" w:hAnsi="Arial"/>
                <w:sz w:val="17"/>
                <w:szCs w:val="17"/>
                <w:color w:val="0000FF"/>
              </w:rPr>
            </w:pPr>
            <w:hyperlink r:id="rId188">
              <w:r>
                <w:rPr>
                  <w:rFonts w:ascii="Arial" w:cs="Arial" w:eastAsia="Arial" w:hAnsi="Arial"/>
                  <w:sz w:val="17"/>
                  <w:szCs w:val="17"/>
                  <w:color w:val="0000FF"/>
                </w:rPr>
                <w:t>Therapeutics.</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10.25(18)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tcBorders>
              <w:bottom w:val="single" w:sz="8" w:color="0000FF"/>
            </w:tcBorders>
            <w:gridSpan w:val="22"/>
          </w:tcPr>
          <w:p>
            <w:pPr>
              <w:spacing w:after="0"/>
              <w:rPr>
                <w:rFonts w:ascii="Arial" w:cs="Arial" w:eastAsia="Arial" w:hAnsi="Arial"/>
                <w:sz w:val="17"/>
                <w:szCs w:val="17"/>
                <w:color w:val="0000FF"/>
                <w:w w:val="92"/>
              </w:rPr>
            </w:pPr>
            <w:hyperlink r:id="rId189">
              <w:r>
                <w:rPr>
                  <w:rFonts w:ascii="Arial" w:cs="Arial" w:eastAsia="Arial" w:hAnsi="Arial"/>
                  <w:sz w:val="17"/>
                  <w:szCs w:val="17"/>
                  <w:color w:val="0000FF"/>
                  <w:w w:val="92"/>
                </w:rPr>
                <w:t>License Agreement effective as of August 23, 2017, by and between Eli Lilly and Company and Nektar Therapeutics.</w:t>
              </w:r>
            </w:hyperlink>
          </w:p>
        </w:tc>
        <w:tc>
          <w:tcPr>
            <w:tcW w:w="520" w:type="dxa"/>
            <w:vAlign w:val="bottom"/>
            <w:gridSpan w:val="7"/>
          </w:tcPr>
          <w:p>
            <w:pPr>
              <w:spacing w:after="0"/>
              <w:rPr>
                <w:sz w:val="24"/>
                <w:szCs w:val="24"/>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3"/>
              </w:rPr>
            </w:pPr>
            <w:hyperlink r:id="rId190">
              <w:r>
                <w:rPr>
                  <w:rFonts w:ascii="Arial" w:cs="Arial" w:eastAsia="Arial" w:hAnsi="Arial"/>
                  <w:sz w:val="17"/>
                  <w:szCs w:val="17"/>
                  <w:color w:val="0000FF"/>
                  <w:w w:val="93"/>
                </w:rPr>
                <w:t>Purchase Agreement dated September 30, 2015 by and among Nektar Therapeutics and TC Lending, LLC and TAO Fund,</w:t>
              </w:r>
            </w:hyperlink>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0" w:type="dxa"/>
            <w:vAlign w:val="bottom"/>
            <w:tcBorders>
              <w:top w:val="single" w:sz="8" w:color="0000FF"/>
            </w:tcBorders>
            <w:gridSpan w:val="25"/>
          </w:tcPr>
          <w:p>
            <w:pPr>
              <w:spacing w:after="0" w:line="186" w:lineRule="exact"/>
              <w:rPr>
                <w:rFonts w:ascii="Arial" w:cs="Arial" w:eastAsia="Arial" w:hAnsi="Arial"/>
                <w:sz w:val="17"/>
                <w:szCs w:val="17"/>
                <w:color w:val="0000FF"/>
              </w:rPr>
            </w:pPr>
            <w:hyperlink r:id="rId190">
              <w:r>
                <w:rPr>
                  <w:rFonts w:ascii="Arial" w:cs="Arial" w:eastAsia="Arial" w:hAnsi="Arial"/>
                  <w:sz w:val="17"/>
                  <w:szCs w:val="17"/>
                  <w:color w:val="0000FF"/>
                </w:rPr>
                <w:t>LLC.</w:t>
              </w:r>
            </w:hyperlink>
          </w:p>
        </w:tc>
        <w:tc>
          <w:tcPr>
            <w:tcW w:w="220" w:type="dxa"/>
            <w:vAlign w:val="bottom"/>
            <w:gridSpan w:val="4"/>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rPr>
            </w:pPr>
            <w:hyperlink r:id="rId191">
              <w:r>
                <w:rPr>
                  <w:rFonts w:ascii="Arial" w:cs="Arial" w:eastAsia="Arial" w:hAnsi="Arial"/>
                  <w:sz w:val="17"/>
                  <w:szCs w:val="17"/>
                  <w:color w:val="0000FF"/>
                </w:rPr>
                <w:t>Pledge and Security Agreement dated October 5, 2015 by and among Nektar Therapeutics and TC Lending, LLC.</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10.28(23)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20" w:type="dxa"/>
            <w:vAlign w:val="bottom"/>
            <w:tcBorders>
              <w:bottom w:val="single" w:sz="8" w:color="0000FF"/>
            </w:tcBorders>
            <w:gridSpan w:val="19"/>
          </w:tcPr>
          <w:p>
            <w:pPr>
              <w:spacing w:after="0"/>
              <w:rPr>
                <w:rFonts w:ascii="Arial" w:cs="Arial" w:eastAsia="Arial" w:hAnsi="Arial"/>
                <w:sz w:val="17"/>
                <w:szCs w:val="17"/>
                <w:color w:val="0000FF"/>
                <w:w w:val="89"/>
              </w:rPr>
            </w:pPr>
            <w:hyperlink r:id="rId192">
              <w:r>
                <w:rPr>
                  <w:rFonts w:ascii="Arial" w:cs="Arial" w:eastAsia="Arial" w:hAnsi="Arial"/>
                  <w:sz w:val="17"/>
                  <w:szCs w:val="17"/>
                  <w:color w:val="0000FF"/>
                  <w:w w:val="89"/>
                </w:rPr>
                <w:t>Purchase and Sale Agreement, dated as of February 24, 2012, between Nektar Therapeutics and RPI Finance Trust.+</w:t>
              </w:r>
            </w:hyperlink>
          </w:p>
        </w:tc>
        <w:tc>
          <w:tcPr>
            <w:tcW w:w="600" w:type="dxa"/>
            <w:vAlign w:val="bottom"/>
            <w:gridSpan w:val="10"/>
          </w:tcPr>
          <w:p>
            <w:pPr>
              <w:spacing w:after="0"/>
              <w:rPr>
                <w:sz w:val="24"/>
                <w:szCs w:val="24"/>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10.29(24)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5"/>
              </w:rPr>
            </w:pPr>
            <w:hyperlink r:id="rId193">
              <w:r>
                <w:rPr>
                  <w:rFonts w:ascii="Arial" w:cs="Arial" w:eastAsia="Arial" w:hAnsi="Arial"/>
                  <w:sz w:val="17"/>
                  <w:szCs w:val="17"/>
                  <w:color w:val="0000FF"/>
                  <w:w w:val="95"/>
                </w:rPr>
                <w:t>Amendment No. 1 to License Agreement dated effective as of August 8, 2013, by and between Nektar Therapeutics and</w:t>
              </w:r>
            </w:hyperlink>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40" w:type="dxa"/>
            <w:vAlign w:val="bottom"/>
            <w:tcBorders>
              <w:top w:val="single" w:sz="8" w:color="0000FF"/>
            </w:tcBorders>
            <w:gridSpan w:val="24"/>
          </w:tcPr>
          <w:p>
            <w:pPr>
              <w:spacing w:after="0" w:line="186" w:lineRule="exact"/>
              <w:rPr>
                <w:rFonts w:ascii="Arial" w:cs="Arial" w:eastAsia="Arial" w:hAnsi="Arial"/>
                <w:sz w:val="17"/>
                <w:szCs w:val="17"/>
                <w:color w:val="0000FF"/>
              </w:rPr>
            </w:pPr>
            <w:hyperlink r:id="rId193">
              <w:r>
                <w:rPr>
                  <w:rFonts w:ascii="Arial" w:cs="Arial" w:eastAsia="Arial" w:hAnsi="Arial"/>
                  <w:sz w:val="17"/>
                  <w:szCs w:val="17"/>
                  <w:color w:val="0000FF"/>
                </w:rPr>
                <w:t>AstraZeneca AB.+</w:t>
              </w:r>
            </w:hyperlink>
          </w:p>
        </w:tc>
        <w:tc>
          <w:tcPr>
            <w:tcW w:w="380" w:type="dxa"/>
            <w:vAlign w:val="bottom"/>
            <w:gridSpan w:val="5"/>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10.30(25)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8"/>
              </w:rPr>
            </w:pPr>
            <w:hyperlink r:id="rId194">
              <w:r>
                <w:rPr>
                  <w:rFonts w:ascii="Arial" w:cs="Arial" w:eastAsia="Arial" w:hAnsi="Arial"/>
                  <w:sz w:val="17"/>
                  <w:szCs w:val="17"/>
                  <w:color w:val="0000FF"/>
                  <w:w w:val="98"/>
                </w:rPr>
                <w:t>Investor Agreement, dated as of February 13, 2018, by and between Bristol-Myers Squibb and Company and Nektar</w:t>
              </w:r>
            </w:hyperlink>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0" w:type="dxa"/>
            <w:vAlign w:val="bottom"/>
            <w:tcBorders>
              <w:top w:val="single" w:sz="8" w:color="0000FF"/>
            </w:tcBorders>
            <w:gridSpan w:val="18"/>
          </w:tcPr>
          <w:p>
            <w:pPr>
              <w:spacing w:after="0" w:line="186" w:lineRule="exact"/>
              <w:rPr>
                <w:rFonts w:ascii="Arial" w:cs="Arial" w:eastAsia="Arial" w:hAnsi="Arial"/>
                <w:sz w:val="17"/>
                <w:szCs w:val="17"/>
                <w:color w:val="0000FF"/>
              </w:rPr>
            </w:pPr>
            <w:hyperlink r:id="rId194">
              <w:r>
                <w:rPr>
                  <w:rFonts w:ascii="Arial" w:cs="Arial" w:eastAsia="Arial" w:hAnsi="Arial"/>
                  <w:sz w:val="17"/>
                  <w:szCs w:val="17"/>
                  <w:color w:val="0000FF"/>
                </w:rPr>
                <w:t>Therapeutics.+</w:t>
              </w:r>
            </w:hyperlink>
          </w:p>
        </w:tc>
        <w:tc>
          <w:tcPr>
            <w:tcW w:w="620" w:type="dxa"/>
            <w:vAlign w:val="bottom"/>
            <w:gridSpan w:val="11"/>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10.31(25)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28"/>
          </w:tcPr>
          <w:p>
            <w:pPr>
              <w:spacing w:after="0"/>
              <w:rPr>
                <w:rFonts w:ascii="Arial" w:cs="Arial" w:eastAsia="Arial" w:hAnsi="Arial"/>
                <w:sz w:val="17"/>
                <w:szCs w:val="17"/>
                <w:color w:val="0000FF"/>
                <w:w w:val="91"/>
              </w:rPr>
            </w:pPr>
            <w:hyperlink r:id="rId195">
              <w:r>
                <w:rPr>
                  <w:rFonts w:ascii="Arial" w:cs="Arial" w:eastAsia="Arial" w:hAnsi="Arial"/>
                  <w:sz w:val="17"/>
                  <w:szCs w:val="17"/>
                  <w:color w:val="0000FF"/>
                  <w:w w:val="91"/>
                </w:rPr>
                <w:t>Strategic Collaboration Agreement, dated as of February 13, 2018, by and between Bristol-Myers Squibb and Company and</w:t>
              </w:r>
            </w:hyperlink>
          </w:p>
        </w:tc>
        <w:tc>
          <w:tcPr>
            <w:tcW w:w="80" w:type="dxa"/>
            <w:vAlign w:val="bottom"/>
          </w:tcPr>
          <w:p>
            <w:pPr>
              <w:spacing w:after="0"/>
              <w:rPr>
                <w:sz w:val="24"/>
                <w:szCs w:val="24"/>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0000FF"/>
            </w:tcBorders>
            <w:gridSpan w:val="5"/>
          </w:tcPr>
          <w:p>
            <w:pPr>
              <w:spacing w:after="0" w:line="186" w:lineRule="exact"/>
              <w:rPr>
                <w:rFonts w:ascii="Arial" w:cs="Arial" w:eastAsia="Arial" w:hAnsi="Arial"/>
                <w:sz w:val="17"/>
                <w:szCs w:val="17"/>
                <w:color w:val="0000FF"/>
                <w:w w:val="90"/>
              </w:rPr>
            </w:pPr>
            <w:hyperlink r:id="rId195">
              <w:r>
                <w:rPr>
                  <w:rFonts w:ascii="Arial" w:cs="Arial" w:eastAsia="Arial" w:hAnsi="Arial"/>
                  <w:sz w:val="17"/>
                  <w:szCs w:val="17"/>
                  <w:color w:val="0000FF"/>
                  <w:w w:val="90"/>
                </w:rPr>
                <w:t>Nektar Therapeutics.+</w:t>
              </w:r>
            </w:hyperlink>
          </w:p>
        </w:tc>
        <w:tc>
          <w:tcPr>
            <w:tcW w:w="7080" w:type="dxa"/>
            <w:vAlign w:val="bottom"/>
            <w:gridSpan w:val="24"/>
          </w:tcPr>
          <w:p>
            <w:pPr>
              <w:spacing w:after="0"/>
              <w:rPr>
                <w:sz w:val="16"/>
                <w:szCs w:val="16"/>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10.32(29)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5"/>
              </w:rPr>
            </w:pPr>
            <w:hyperlink r:id="rId196">
              <w:r>
                <w:rPr>
                  <w:rFonts w:ascii="Arial" w:cs="Arial" w:eastAsia="Arial" w:hAnsi="Arial"/>
                  <w:sz w:val="17"/>
                  <w:szCs w:val="17"/>
                  <w:color w:val="0000FF"/>
                  <w:w w:val="95"/>
                </w:rPr>
                <w:t>Co-Development Agreement, dated as of February 12, 2021, by and between SFJ Pharmaceuticals XII, L.P. and Nektar</w:t>
              </w:r>
            </w:hyperlink>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0" w:type="dxa"/>
            <w:vAlign w:val="bottom"/>
            <w:tcBorders>
              <w:top w:val="single" w:sz="8" w:color="0000FF"/>
            </w:tcBorders>
            <w:gridSpan w:val="23"/>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Therapeutics.+</w:t>
              </w:r>
            </w:hyperlink>
          </w:p>
        </w:tc>
        <w:tc>
          <w:tcPr>
            <w:tcW w:w="3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05"/>
        </w:trPr>
        <w:tc>
          <w:tcPr>
            <w:tcW w:w="1080" w:type="dxa"/>
            <w:vAlign w:val="bottom"/>
          </w:tcPr>
          <w:p>
            <w:pPr>
              <w:ind w:left="20"/>
              <w:spacing w:after="0"/>
              <w:rPr>
                <w:sz w:val="20"/>
                <w:szCs w:val="20"/>
                <w:color w:val="auto"/>
              </w:rPr>
            </w:pPr>
            <w:r>
              <w:rPr>
                <w:rFonts w:ascii="Arial" w:cs="Arial" w:eastAsia="Arial" w:hAnsi="Arial"/>
                <w:sz w:val="17"/>
                <w:szCs w:val="17"/>
                <w:color w:val="auto"/>
              </w:rPr>
              <w:t>10.33(28)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tcBorders>
              <w:bottom w:val="single" w:sz="8" w:color="0000FF"/>
            </w:tcBorders>
            <w:gridSpan w:val="27"/>
          </w:tcPr>
          <w:p>
            <w:pPr>
              <w:spacing w:after="0"/>
              <w:rPr>
                <w:rFonts w:ascii="Arial" w:cs="Arial" w:eastAsia="Arial" w:hAnsi="Arial"/>
                <w:sz w:val="17"/>
                <w:szCs w:val="17"/>
                <w:color w:val="0000FF"/>
                <w:w w:val="91"/>
              </w:rPr>
            </w:pPr>
            <w:hyperlink r:id="rId197">
              <w:r>
                <w:rPr>
                  <w:rFonts w:ascii="Arial" w:cs="Arial" w:eastAsia="Arial" w:hAnsi="Arial"/>
                  <w:sz w:val="17"/>
                  <w:szCs w:val="17"/>
                  <w:color w:val="0000FF"/>
                  <w:w w:val="91"/>
                </w:rPr>
                <w:t>Amendment No. 1 to Strategic Collaboration Agreement dated as of January 9, 2020, by and between Bristol-Myers Squibb</w:t>
              </w:r>
            </w:hyperlink>
          </w:p>
        </w:tc>
        <w:tc>
          <w:tcPr>
            <w:tcW w:w="100" w:type="dxa"/>
            <w:vAlign w:val="bottom"/>
            <w:gridSpan w:val="2"/>
          </w:tcPr>
          <w:p>
            <w:pPr>
              <w:spacing w:after="0"/>
              <w:rPr>
                <w:sz w:val="24"/>
                <w:szCs w:val="24"/>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9"/>
          </w:tcPr>
          <w:p>
            <w:pPr>
              <w:spacing w:after="0" w:line="186" w:lineRule="exact"/>
              <w:rPr>
                <w:rFonts w:ascii="Arial" w:cs="Arial" w:eastAsia="Arial" w:hAnsi="Arial"/>
                <w:sz w:val="17"/>
                <w:szCs w:val="17"/>
                <w:color w:val="0000FF"/>
              </w:rPr>
            </w:pPr>
            <w:hyperlink r:id="rId197">
              <w:r>
                <w:rPr>
                  <w:rFonts w:ascii="Arial" w:cs="Arial" w:eastAsia="Arial" w:hAnsi="Arial"/>
                  <w:sz w:val="17"/>
                  <w:szCs w:val="17"/>
                  <w:color w:val="0000FF"/>
                </w:rPr>
                <w:t>and Company and Nektar Therapeutics.+</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31"/>
        </w:trPr>
        <w:tc>
          <w:tcPr>
            <w:tcW w:w="1080" w:type="dxa"/>
            <w:vAlign w:val="bottom"/>
          </w:tcPr>
          <w:p>
            <w:pPr>
              <w:ind w:left="20"/>
              <w:spacing w:after="0"/>
              <w:rPr>
                <w:sz w:val="20"/>
                <w:szCs w:val="20"/>
                <w:color w:val="auto"/>
              </w:rPr>
            </w:pPr>
            <w:r>
              <w:rPr>
                <w:rFonts w:ascii="Arial" w:cs="Arial" w:eastAsia="Arial" w:hAnsi="Arial"/>
                <w:sz w:val="17"/>
                <w:szCs w:val="17"/>
                <w:color w:val="auto"/>
              </w:rPr>
              <w:t>10.34(26)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tcBorders>
              <w:bottom w:val="single" w:sz="8" w:color="0000FF"/>
            </w:tcBorders>
            <w:gridSpan w:val="26"/>
          </w:tcPr>
          <w:p>
            <w:pPr>
              <w:spacing w:after="0"/>
              <w:rPr>
                <w:rFonts w:ascii="Arial" w:cs="Arial" w:eastAsia="Arial" w:hAnsi="Arial"/>
                <w:sz w:val="17"/>
                <w:szCs w:val="17"/>
                <w:color w:val="0000FF"/>
                <w:w w:val="90"/>
              </w:rPr>
            </w:pPr>
            <w:hyperlink r:id="rId198">
              <w:r>
                <w:rPr>
                  <w:rFonts w:ascii="Arial" w:cs="Arial" w:eastAsia="Arial" w:hAnsi="Arial"/>
                  <w:sz w:val="17"/>
                  <w:szCs w:val="17"/>
                  <w:color w:val="0000FF"/>
                  <w:w w:val="90"/>
                </w:rPr>
                <w:t>Share Purchase Agreement, dated as of February 13, 2018, by and between Bristol-Myers Squibb and Company and Nektar</w:t>
              </w:r>
            </w:hyperlink>
          </w:p>
        </w:tc>
        <w:tc>
          <w:tcPr>
            <w:tcW w:w="120" w:type="dxa"/>
            <w:vAlign w:val="bottom"/>
            <w:gridSpan w:val="3"/>
          </w:tcPr>
          <w:p>
            <w:pPr>
              <w:spacing w:after="0"/>
              <w:rPr>
                <w:sz w:val="24"/>
                <w:szCs w:val="24"/>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29"/>
          </w:tcPr>
          <w:p>
            <w:pPr>
              <w:spacing w:after="0" w:line="186" w:lineRule="exact"/>
              <w:rPr>
                <w:rFonts w:ascii="Arial" w:cs="Arial" w:eastAsia="Arial" w:hAnsi="Arial"/>
                <w:sz w:val="17"/>
                <w:szCs w:val="17"/>
                <w:color w:val="0000FF"/>
              </w:rPr>
            </w:pPr>
            <w:hyperlink r:id="rId198">
              <w:r>
                <w:rPr>
                  <w:rFonts w:ascii="Arial" w:cs="Arial" w:eastAsia="Arial" w:hAnsi="Arial"/>
                  <w:sz w:val="17"/>
                  <w:szCs w:val="17"/>
                  <w:color w:val="0000FF"/>
                </w:rPr>
                <w:t>Therapeutics.</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10.35(27)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rPr>
            </w:pPr>
            <w:hyperlink r:id="rId199">
              <w:r>
                <w:rPr>
                  <w:rFonts w:ascii="Arial" w:cs="Arial" w:eastAsia="Arial" w:hAnsi="Arial"/>
                  <w:sz w:val="17"/>
                  <w:szCs w:val="17"/>
                  <w:color w:val="0000FF"/>
                </w:rPr>
                <w:t>Office Lease, effective as of May 31, 2018, by and between Kilroy Realty Finance Partnership, L.P., and Nektar</w:t>
              </w:r>
            </w:hyperlink>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80" w:type="dxa"/>
            <w:vAlign w:val="bottom"/>
            <w:tcBorders>
              <w:top w:val="single" w:sz="8" w:color="0000FF"/>
            </w:tcBorders>
            <w:gridSpan w:val="13"/>
          </w:tcPr>
          <w:p>
            <w:pPr>
              <w:spacing w:after="0" w:line="186" w:lineRule="exact"/>
              <w:rPr>
                <w:rFonts w:ascii="Arial" w:cs="Arial" w:eastAsia="Arial" w:hAnsi="Arial"/>
                <w:sz w:val="17"/>
                <w:szCs w:val="17"/>
                <w:color w:val="0000FF"/>
              </w:rPr>
            </w:pPr>
            <w:hyperlink r:id="rId199">
              <w:r>
                <w:rPr>
                  <w:rFonts w:ascii="Arial" w:cs="Arial" w:eastAsia="Arial" w:hAnsi="Arial"/>
                  <w:sz w:val="17"/>
                  <w:szCs w:val="17"/>
                  <w:color w:val="0000FF"/>
                </w:rPr>
                <w:t>Therapeutics.</w:t>
              </w:r>
            </w:hyperlink>
          </w:p>
        </w:tc>
        <w:tc>
          <w:tcPr>
            <w:tcW w:w="940" w:type="dxa"/>
            <w:vAlign w:val="bottom"/>
            <w:gridSpan w:val="16"/>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10.36(29)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8"/>
              </w:rPr>
            </w:pPr>
            <w:hyperlink r:id="rId200">
              <w:r>
                <w:rPr>
                  <w:rFonts w:ascii="Arial" w:cs="Arial" w:eastAsia="Arial" w:hAnsi="Arial"/>
                  <w:sz w:val="17"/>
                  <w:szCs w:val="17"/>
                  <w:color w:val="0000FF"/>
                  <w:w w:val="98"/>
                </w:rPr>
                <w:t>Purchase and Sale Agreement, dated December 16, 2020, by and between entities managed by Healthcare Royalty</w:t>
              </w:r>
            </w:hyperlink>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w w:val="91"/>
              </w:rPr>
            </w:pPr>
            <w:hyperlink r:id="rId200">
              <w:r>
                <w:rPr>
                  <w:rFonts w:ascii="Arial" w:cs="Arial" w:eastAsia="Arial" w:hAnsi="Arial"/>
                  <w:sz w:val="17"/>
                  <w:szCs w:val="17"/>
                  <w:color w:val="0000FF"/>
                  <w:w w:val="91"/>
                </w:rPr>
                <w:t>Management, LLC and Nektar Therapeutics.+</w:t>
              </w:r>
            </w:hyperlink>
          </w:p>
        </w:tc>
        <w:tc>
          <w:tcPr>
            <w:tcW w:w="4680" w:type="dxa"/>
            <w:vAlign w:val="bottom"/>
            <w:tcBorders>
              <w:top w:val="single" w:sz="8" w:color="0000FF"/>
            </w:tcBorders>
            <w:gridSpan w:val="7"/>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540" w:type="dxa"/>
            <w:vAlign w:val="bottom"/>
            <w:gridSpan w:val="8"/>
          </w:tcPr>
          <w:p>
            <w:pPr>
              <w:spacing w:after="0"/>
              <w:rPr>
                <w:sz w:val="12"/>
                <w:szCs w:val="12"/>
                <w:color w:val="auto"/>
              </w:rPr>
            </w:pPr>
          </w:p>
        </w:tc>
      </w:tr>
      <w:tr>
        <w:trPr>
          <w:trHeight w:val="405"/>
        </w:trPr>
        <w:tc>
          <w:tcPr>
            <w:tcW w:w="1080" w:type="dxa"/>
            <w:vAlign w:val="bottom"/>
          </w:tcPr>
          <w:p>
            <w:pPr>
              <w:ind w:left="20"/>
              <w:spacing w:after="0"/>
              <w:rPr>
                <w:sz w:val="20"/>
                <w:szCs w:val="20"/>
                <w:color w:val="auto"/>
              </w:rPr>
            </w:pPr>
            <w:r>
              <w:rPr>
                <w:rFonts w:ascii="Arial" w:cs="Arial" w:eastAsia="Arial" w:hAnsi="Arial"/>
                <w:sz w:val="17"/>
                <w:szCs w:val="17"/>
                <w:color w:val="auto"/>
              </w:rPr>
              <w:t>10.37(30)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7"/>
              </w:rPr>
            </w:pPr>
            <w:hyperlink r:id="rId201">
              <w:r>
                <w:rPr>
                  <w:rFonts w:ascii="Arial" w:cs="Arial" w:eastAsia="Arial" w:hAnsi="Arial"/>
                  <w:sz w:val="17"/>
                  <w:szCs w:val="17"/>
                  <w:color w:val="0000FF"/>
                  <w:w w:val="97"/>
                </w:rPr>
                <w:t>Amendment No. 2 to Strategic Collaboration Agreement dated as of January 12, 2022, by and between Bristol-Myers</w:t>
              </w:r>
            </w:hyperlink>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0"/>
              </w:rPr>
            </w:pPr>
            <w:hyperlink r:id="rId201">
              <w:r>
                <w:rPr>
                  <w:rFonts w:ascii="Arial" w:cs="Arial" w:eastAsia="Arial" w:hAnsi="Arial"/>
                  <w:sz w:val="17"/>
                  <w:szCs w:val="17"/>
                  <w:color w:val="0000FF"/>
                  <w:w w:val="90"/>
                </w:rPr>
                <w:t>Squibb and Company and Nektar Therapeutics.+</w:t>
              </w:r>
            </w:hyperlink>
          </w:p>
        </w:tc>
        <w:tc>
          <w:tcPr>
            <w:tcW w:w="4720" w:type="dxa"/>
            <w:vAlign w:val="bottom"/>
            <w:tcBorders>
              <w:top w:val="single" w:sz="8" w:color="0000FF"/>
            </w:tcBorders>
            <w:gridSpan w:val="11"/>
          </w:tcPr>
          <w:p>
            <w:pPr>
              <w:spacing w:after="0"/>
              <w:rPr>
                <w:sz w:val="12"/>
                <w:szCs w:val="12"/>
                <w:color w:val="auto"/>
              </w:rPr>
            </w:pPr>
          </w:p>
        </w:tc>
        <w:tc>
          <w:tcPr>
            <w:tcW w:w="540" w:type="dxa"/>
            <w:vAlign w:val="bottom"/>
            <w:gridSpan w:val="8"/>
          </w:tcPr>
          <w:p>
            <w:pPr>
              <w:spacing w:after="0"/>
              <w:rPr>
                <w:sz w:val="12"/>
                <w:szCs w:val="12"/>
                <w:color w:val="auto"/>
              </w:rPr>
            </w:pPr>
          </w:p>
        </w:tc>
      </w:tr>
      <w:tr>
        <w:trPr>
          <w:trHeight w:val="405"/>
        </w:trPr>
        <w:tc>
          <w:tcPr>
            <w:tcW w:w="1080" w:type="dxa"/>
            <w:vAlign w:val="bottom"/>
          </w:tcPr>
          <w:p>
            <w:pPr>
              <w:ind w:left="20"/>
              <w:spacing w:after="0"/>
              <w:rPr>
                <w:sz w:val="20"/>
                <w:szCs w:val="20"/>
                <w:color w:val="auto"/>
              </w:rPr>
            </w:pPr>
            <w:r>
              <w:rPr>
                <w:rFonts w:ascii="Arial" w:cs="Arial" w:eastAsia="Arial" w:hAnsi="Arial"/>
                <w:sz w:val="17"/>
                <w:szCs w:val="17"/>
                <w:color w:val="auto"/>
              </w:rPr>
              <w:t>10.38(31)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29"/>
          </w:tcPr>
          <w:p>
            <w:pPr>
              <w:spacing w:after="0"/>
              <w:rPr>
                <w:rFonts w:ascii="Arial" w:cs="Arial" w:eastAsia="Arial" w:hAnsi="Arial"/>
                <w:sz w:val="17"/>
                <w:szCs w:val="17"/>
                <w:color w:val="0000FF"/>
                <w:w w:val="98"/>
              </w:rPr>
            </w:pPr>
            <w:hyperlink r:id="rId202">
              <w:r>
                <w:rPr>
                  <w:rFonts w:ascii="Arial" w:cs="Arial" w:eastAsia="Arial" w:hAnsi="Arial"/>
                  <w:sz w:val="17"/>
                  <w:szCs w:val="17"/>
                  <w:color w:val="0000FF"/>
                  <w:w w:val="98"/>
                </w:rPr>
                <w:t>Employment Transition, Separation and Consultation Agreement, dated as of June 29, 2022, by and between Nektar</w:t>
              </w:r>
            </w:hyperlink>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0"/>
              </w:rPr>
            </w:pPr>
            <w:hyperlink r:id="rId202">
              <w:r>
                <w:rPr>
                  <w:rFonts w:ascii="Arial" w:cs="Arial" w:eastAsia="Arial" w:hAnsi="Arial"/>
                  <w:sz w:val="17"/>
                  <w:szCs w:val="17"/>
                  <w:color w:val="0000FF"/>
                  <w:w w:val="90"/>
                </w:rPr>
                <w:t>Therapeutics and John Northcott.++</w:t>
              </w:r>
            </w:hyperlink>
          </w:p>
        </w:tc>
        <w:tc>
          <w:tcPr>
            <w:tcW w:w="5500" w:type="dxa"/>
            <w:vAlign w:val="bottom"/>
            <w:tcBorders>
              <w:top w:val="single" w:sz="8" w:color="0000FF"/>
            </w:tcBorders>
            <w:gridSpan w:val="11"/>
          </w:tcPr>
          <w:p>
            <w:pPr>
              <w:spacing w:after="0"/>
              <w:rPr>
                <w:sz w:val="12"/>
                <w:szCs w:val="12"/>
                <w:color w:val="auto"/>
              </w:rPr>
            </w:pPr>
          </w:p>
        </w:tc>
        <w:tc>
          <w:tcPr>
            <w:tcW w:w="640" w:type="dxa"/>
            <w:vAlign w:val="bottom"/>
            <w:gridSpan w:val="12"/>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78"/>
        </w:trPr>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120" w:type="dxa"/>
            <w:vAlign w:val="bottom"/>
            <w:gridSpan w:val="2"/>
          </w:tcPr>
          <w:p>
            <w:pPr>
              <w:ind w:left="1040"/>
              <w:spacing w:after="0"/>
              <w:rPr>
                <w:sz w:val="20"/>
                <w:szCs w:val="20"/>
                <w:color w:val="auto"/>
              </w:rPr>
            </w:pPr>
            <w:r>
              <w:rPr>
                <w:rFonts w:ascii="Arial" w:cs="Arial" w:eastAsia="Arial" w:hAnsi="Arial"/>
                <w:sz w:val="14"/>
                <w:szCs w:val="14"/>
                <w:b w:val="1"/>
                <w:bCs w:val="1"/>
                <w:color w:val="auto"/>
              </w:rPr>
              <w:t>Description of Documents</w:t>
            </w:r>
          </w:p>
        </w:tc>
      </w:tr>
      <w:tr>
        <w:trPr>
          <w:trHeight w:val="37"/>
        </w:trPr>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Arial" w:cs="Arial" w:eastAsia="Arial" w:hAnsi="Arial"/>
                <w:sz w:val="17"/>
                <w:szCs w:val="17"/>
                <w:color w:val="auto"/>
              </w:rPr>
              <w:t>21.1(32)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gridSpan w:val="3"/>
          </w:tcPr>
          <w:p>
            <w:pPr>
              <w:spacing w:after="0" w:line="186" w:lineRule="exact"/>
              <w:rPr>
                <w:sz w:val="20"/>
                <w:szCs w:val="20"/>
                <w:color w:val="auto"/>
              </w:rPr>
            </w:pPr>
            <w:r>
              <w:rPr>
                <w:rFonts w:ascii="Arial" w:cs="Arial" w:eastAsia="Arial" w:hAnsi="Arial"/>
                <w:sz w:val="17"/>
                <w:szCs w:val="17"/>
                <w:color w:val="0000FF"/>
              </w:rPr>
              <w:t>Subsidiaries of Nektar Therapeutics.</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18"/>
        </w:trPr>
        <w:tc>
          <w:tcPr>
            <w:tcW w:w="1080" w:type="dxa"/>
            <w:vAlign w:val="bottom"/>
          </w:tcPr>
          <w:p>
            <w:pPr>
              <w:ind w:left="20"/>
              <w:spacing w:after="0"/>
              <w:rPr>
                <w:sz w:val="20"/>
                <w:szCs w:val="20"/>
                <w:color w:val="auto"/>
              </w:rPr>
            </w:pPr>
            <w:r>
              <w:rPr>
                <w:rFonts w:ascii="Arial" w:cs="Arial" w:eastAsia="Arial" w:hAnsi="Arial"/>
                <w:sz w:val="17"/>
                <w:szCs w:val="17"/>
                <w:color w:val="auto"/>
              </w:rPr>
              <w:t>23.1(32)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1"/>
              </w:rPr>
              <w:t>Consent of Independent Registered Public Accounting Firm.</w:t>
            </w:r>
          </w:p>
        </w:tc>
        <w:tc>
          <w:tcPr>
            <w:tcW w:w="4460" w:type="dxa"/>
            <w:vAlign w:val="bottom"/>
          </w:tcPr>
          <w:p>
            <w:pPr>
              <w:spacing w:after="0"/>
              <w:rPr>
                <w:sz w:val="24"/>
                <w:szCs w:val="24"/>
                <w:color w:val="auto"/>
              </w:rPr>
            </w:pPr>
          </w:p>
        </w:tc>
      </w:tr>
    </w:tbl>
    <w:p>
      <w:pPr>
        <w:spacing w:after="0" w:line="245" w:lineRule="exact"/>
        <w:rPr>
          <w:sz w:val="20"/>
          <w:szCs w:val="20"/>
          <w:color w:val="auto"/>
        </w:rPr>
      </w:pPr>
    </w:p>
    <w:p>
      <w:pPr>
        <w:ind w:left="1200" w:hanging="1180"/>
        <w:spacing w:after="0"/>
        <w:tabs>
          <w:tab w:leader="none" w:pos="12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0000FF"/>
        </w:rPr>
        <w:t>Power of Attorney (reference is made to the signature page).</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Arial" w:cs="Arial" w:eastAsia="Arial" w:hAnsi="Arial"/>
                <w:sz w:val="17"/>
                <w:szCs w:val="17"/>
                <w:color w:val="auto"/>
              </w:rPr>
              <w:t>31.1(32)</w:t>
            </w:r>
          </w:p>
        </w:tc>
        <w:tc>
          <w:tcPr>
            <w:tcW w:w="8400" w:type="dxa"/>
            <w:vAlign w:val="bottom"/>
            <w:gridSpan w:val="4"/>
          </w:tcPr>
          <w:p>
            <w:pPr>
              <w:spacing w:after="0"/>
              <w:rPr>
                <w:sz w:val="20"/>
                <w:szCs w:val="20"/>
                <w:color w:val="auto"/>
              </w:rPr>
            </w:pPr>
            <w:r>
              <w:rPr>
                <w:rFonts w:ascii="Arial" w:cs="Arial" w:eastAsia="Arial" w:hAnsi="Arial"/>
                <w:sz w:val="17"/>
                <w:szCs w:val="17"/>
                <w:color w:val="0000FF"/>
              </w:rPr>
              <w:t>Certification of Nektar Therapeutics’ principal executive officer required by Rule 13a-14(a) or Rule 15d-14(a).</w:t>
            </w:r>
          </w:p>
        </w:tc>
      </w:tr>
      <w:tr>
        <w:trPr>
          <w:trHeight w:val="418"/>
        </w:trPr>
        <w:tc>
          <w:tcPr>
            <w:tcW w:w="1180" w:type="dxa"/>
            <w:vAlign w:val="bottom"/>
          </w:tcPr>
          <w:p>
            <w:pPr>
              <w:spacing w:after="0"/>
              <w:rPr>
                <w:sz w:val="20"/>
                <w:szCs w:val="20"/>
                <w:color w:val="auto"/>
              </w:rPr>
            </w:pPr>
            <w:r>
              <w:rPr>
                <w:rFonts w:ascii="Arial" w:cs="Arial" w:eastAsia="Arial" w:hAnsi="Arial"/>
                <w:sz w:val="17"/>
                <w:szCs w:val="17"/>
                <w:color w:val="auto"/>
              </w:rPr>
              <w:t>31.2(32)</w:t>
            </w:r>
          </w:p>
        </w:tc>
        <w:tc>
          <w:tcPr>
            <w:tcW w:w="762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94"/>
              </w:rPr>
              <w:t>Certification of Nektar Therapeutics’ principal financial officer required by Rule 13a-14(a) or Rule 15d-14(a).</w:t>
            </w:r>
          </w:p>
        </w:tc>
        <w:tc>
          <w:tcPr>
            <w:tcW w:w="78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7"/>
                <w:szCs w:val="17"/>
                <w:color w:val="auto"/>
              </w:rPr>
              <w:t>32.1*</w:t>
            </w:r>
          </w:p>
        </w:tc>
        <w:tc>
          <w:tcPr>
            <w:tcW w:w="19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1"/>
              </w:rPr>
              <w:t>Section 1350 Certifications.</w:t>
            </w:r>
          </w:p>
        </w:tc>
        <w:tc>
          <w:tcPr>
            <w:tcW w:w="5640" w:type="dxa"/>
            <w:vAlign w:val="bottom"/>
            <w:tcBorders>
              <w:top w:val="single" w:sz="8" w:color="0000FF"/>
            </w:tcBorders>
          </w:tcPr>
          <w:p>
            <w:pPr>
              <w:spacing w:after="0"/>
              <w:rPr>
                <w:sz w:val="24"/>
                <w:szCs w:val="24"/>
                <w:color w:val="auto"/>
              </w:rPr>
            </w:pPr>
          </w:p>
        </w:tc>
        <w:tc>
          <w:tcPr>
            <w:tcW w:w="840" w:type="dxa"/>
            <w:vAlign w:val="bottom"/>
            <w:gridSpan w:val="2"/>
          </w:tcPr>
          <w:p>
            <w:pPr>
              <w:spacing w:after="0"/>
              <w:rPr>
                <w:sz w:val="24"/>
                <w:szCs w:val="24"/>
                <w:color w:val="auto"/>
              </w:rPr>
            </w:pPr>
          </w:p>
        </w:tc>
      </w:tr>
      <w:tr>
        <w:trPr>
          <w:trHeight w:val="455"/>
        </w:trPr>
        <w:tc>
          <w:tcPr>
            <w:tcW w:w="1180" w:type="dxa"/>
            <w:vAlign w:val="bottom"/>
          </w:tcPr>
          <w:p>
            <w:pPr>
              <w:spacing w:after="0"/>
              <w:rPr>
                <w:sz w:val="20"/>
                <w:szCs w:val="20"/>
                <w:color w:val="auto"/>
              </w:rPr>
            </w:pPr>
            <w:r>
              <w:rPr>
                <w:rFonts w:ascii="Arial" w:cs="Arial" w:eastAsia="Arial" w:hAnsi="Arial"/>
                <w:sz w:val="17"/>
                <w:szCs w:val="17"/>
                <w:color w:val="auto"/>
              </w:rPr>
              <w:t>101.SCH**</w:t>
            </w:r>
          </w:p>
        </w:tc>
        <w:tc>
          <w:tcPr>
            <w:tcW w:w="8400" w:type="dxa"/>
            <w:vAlign w:val="bottom"/>
            <w:gridSpan w:val="4"/>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58"/>
        </w:trPr>
        <w:tc>
          <w:tcPr>
            <w:tcW w:w="1180" w:type="dxa"/>
            <w:vAlign w:val="bottom"/>
          </w:tcPr>
          <w:p>
            <w:pPr>
              <w:spacing w:after="0"/>
              <w:rPr>
                <w:sz w:val="20"/>
                <w:szCs w:val="20"/>
                <w:color w:val="auto"/>
              </w:rPr>
            </w:pPr>
            <w:r>
              <w:rPr>
                <w:rFonts w:ascii="Arial" w:cs="Arial" w:eastAsia="Arial" w:hAnsi="Arial"/>
                <w:sz w:val="17"/>
                <w:szCs w:val="17"/>
                <w:color w:val="auto"/>
              </w:rPr>
              <w:t>101.CAL**</w:t>
            </w:r>
          </w:p>
        </w:tc>
        <w:tc>
          <w:tcPr>
            <w:tcW w:w="8400" w:type="dxa"/>
            <w:vAlign w:val="bottom"/>
            <w:gridSpan w:val="4"/>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58"/>
        </w:trPr>
        <w:tc>
          <w:tcPr>
            <w:tcW w:w="1180" w:type="dxa"/>
            <w:vAlign w:val="bottom"/>
          </w:tcPr>
          <w:p>
            <w:pPr>
              <w:spacing w:after="0"/>
              <w:rPr>
                <w:sz w:val="20"/>
                <w:szCs w:val="20"/>
                <w:color w:val="auto"/>
              </w:rPr>
            </w:pPr>
            <w:r>
              <w:rPr>
                <w:rFonts w:ascii="Arial" w:cs="Arial" w:eastAsia="Arial" w:hAnsi="Arial"/>
                <w:sz w:val="17"/>
                <w:szCs w:val="17"/>
                <w:color w:val="auto"/>
              </w:rPr>
              <w:t>101.LAB**</w:t>
            </w:r>
          </w:p>
        </w:tc>
        <w:tc>
          <w:tcPr>
            <w:tcW w:w="8400" w:type="dxa"/>
            <w:vAlign w:val="bottom"/>
            <w:gridSpan w:val="4"/>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58"/>
        </w:trPr>
        <w:tc>
          <w:tcPr>
            <w:tcW w:w="1180" w:type="dxa"/>
            <w:vAlign w:val="bottom"/>
          </w:tcPr>
          <w:p>
            <w:pPr>
              <w:spacing w:after="0"/>
              <w:rPr>
                <w:sz w:val="20"/>
                <w:szCs w:val="20"/>
                <w:color w:val="auto"/>
              </w:rPr>
            </w:pPr>
            <w:r>
              <w:rPr>
                <w:rFonts w:ascii="Arial" w:cs="Arial" w:eastAsia="Arial" w:hAnsi="Arial"/>
                <w:sz w:val="17"/>
                <w:szCs w:val="17"/>
                <w:color w:val="auto"/>
              </w:rPr>
              <w:t>101.PRE**</w:t>
            </w:r>
          </w:p>
        </w:tc>
        <w:tc>
          <w:tcPr>
            <w:tcW w:w="8400" w:type="dxa"/>
            <w:vAlign w:val="bottom"/>
            <w:gridSpan w:val="4"/>
          </w:tcPr>
          <w:p>
            <w:pPr>
              <w:spacing w:after="0"/>
              <w:rPr>
                <w:sz w:val="20"/>
                <w:szCs w:val="20"/>
                <w:color w:val="auto"/>
              </w:rPr>
            </w:pPr>
            <w:r>
              <w:rPr>
                <w:rFonts w:ascii="Arial" w:cs="Arial" w:eastAsia="Arial" w:hAnsi="Arial"/>
                <w:sz w:val="17"/>
                <w:szCs w:val="17"/>
                <w:color w:val="auto"/>
              </w:rPr>
              <w:t>Inline XBRL Taxonomy Extension Presentation Label Linkbase Document.</w:t>
            </w:r>
          </w:p>
        </w:tc>
      </w:tr>
      <w:tr>
        <w:trPr>
          <w:trHeight w:val="258"/>
        </w:trPr>
        <w:tc>
          <w:tcPr>
            <w:tcW w:w="1180" w:type="dxa"/>
            <w:vAlign w:val="bottom"/>
          </w:tcPr>
          <w:p>
            <w:pPr>
              <w:spacing w:after="0"/>
              <w:rPr>
                <w:sz w:val="20"/>
                <w:szCs w:val="20"/>
                <w:color w:val="auto"/>
              </w:rPr>
            </w:pPr>
            <w:r>
              <w:rPr>
                <w:rFonts w:ascii="Arial" w:cs="Arial" w:eastAsia="Arial" w:hAnsi="Arial"/>
                <w:sz w:val="17"/>
                <w:szCs w:val="17"/>
                <w:color w:val="auto"/>
              </w:rPr>
              <w:t>101.DEF**</w:t>
            </w:r>
          </w:p>
        </w:tc>
        <w:tc>
          <w:tcPr>
            <w:tcW w:w="8400" w:type="dxa"/>
            <w:vAlign w:val="bottom"/>
            <w:gridSpan w:val="4"/>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479"/>
        </w:trPr>
        <w:tc>
          <w:tcPr>
            <w:tcW w:w="1180" w:type="dxa"/>
            <w:vAlign w:val="bottom"/>
          </w:tcPr>
          <w:p>
            <w:pPr>
              <w:spacing w:after="0"/>
              <w:rPr>
                <w:sz w:val="20"/>
                <w:szCs w:val="20"/>
                <w:color w:val="auto"/>
              </w:rPr>
            </w:pPr>
            <w:r>
              <w:rPr>
                <w:rFonts w:ascii="Arial" w:cs="Arial" w:eastAsia="Arial" w:hAnsi="Arial"/>
                <w:sz w:val="17"/>
                <w:szCs w:val="17"/>
                <w:color w:val="auto"/>
              </w:rPr>
              <w:t>104**</w:t>
            </w:r>
          </w:p>
        </w:tc>
        <w:tc>
          <w:tcPr>
            <w:tcW w:w="8400" w:type="dxa"/>
            <w:vAlign w:val="bottom"/>
            <w:gridSpan w:val="4"/>
          </w:tcPr>
          <w:p>
            <w:pPr>
              <w:spacing w:after="0"/>
              <w:rPr>
                <w:sz w:val="20"/>
                <w:szCs w:val="20"/>
                <w:color w:val="auto"/>
              </w:rPr>
            </w:pPr>
            <w:r>
              <w:rPr>
                <w:rFonts w:ascii="Arial" w:cs="Arial" w:eastAsia="Arial" w:hAnsi="Arial"/>
                <w:sz w:val="17"/>
                <w:szCs w:val="17"/>
                <w:color w:val="auto"/>
                <w:w w:val="92"/>
              </w:rPr>
              <w:t>Cover Page Interactive Data File (formatted as inline XBRL with applicable taxonomy extension information contained in</w:t>
            </w:r>
          </w:p>
        </w:tc>
      </w:tr>
      <w:tr>
        <w:trPr>
          <w:trHeight w:val="217"/>
        </w:trPr>
        <w:tc>
          <w:tcPr>
            <w:tcW w:w="1180" w:type="dxa"/>
            <w:vAlign w:val="bottom"/>
          </w:tcPr>
          <w:p>
            <w:pPr>
              <w:spacing w:after="0"/>
              <w:rPr>
                <w:sz w:val="18"/>
                <w:szCs w:val="18"/>
                <w:color w:val="auto"/>
              </w:rPr>
            </w:pPr>
          </w:p>
        </w:tc>
        <w:tc>
          <w:tcPr>
            <w:tcW w:w="8400" w:type="dxa"/>
            <w:vAlign w:val="bottom"/>
            <w:gridSpan w:val="4"/>
          </w:tcPr>
          <w:p>
            <w:pPr>
              <w:spacing w:after="0"/>
              <w:rPr>
                <w:sz w:val="20"/>
                <w:szCs w:val="20"/>
                <w:color w:val="auto"/>
              </w:rPr>
            </w:pPr>
            <w:r>
              <w:rPr>
                <w:rFonts w:ascii="Arial" w:cs="Arial" w:eastAsia="Arial" w:hAnsi="Arial"/>
                <w:sz w:val="17"/>
                <w:szCs w:val="17"/>
                <w:color w:val="auto"/>
              </w:rPr>
              <w:t>Exhibits 101).</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_______________________________________________________________</w:t>
      </w:r>
    </w:p>
    <w:p>
      <w:pPr>
        <w:spacing w:after="0" w:line="12" w:lineRule="exact"/>
        <w:rPr>
          <w:sz w:val="20"/>
          <w:szCs w:val="20"/>
          <w:color w:val="auto"/>
        </w:rPr>
      </w:pPr>
    </w:p>
    <w:p>
      <w:pPr>
        <w:ind w:left="280" w:right="320" w:hanging="1082"/>
        <w:spacing w:after="0" w:line="251" w:lineRule="auto"/>
        <w:tabs>
          <w:tab w:leader="none" w:pos="260" w:val="left"/>
        </w:tabs>
        <w:rPr>
          <w:sz w:val="20"/>
          <w:szCs w:val="20"/>
          <w:color w:val="auto"/>
        </w:rPr>
      </w:pPr>
      <w:r>
        <w:rPr>
          <w:rFonts w:ascii="Arial" w:cs="Arial" w:eastAsia="Arial" w:hAnsi="Arial"/>
          <w:sz w:val="17"/>
          <w:szCs w:val="17"/>
          <w:color w:val="auto"/>
        </w:rPr>
        <w:t>+</w:t>
        <w:tab/>
        <w:t>Certain confidential portions (indicated by brackets and asterisks) have been omitted from this exhibit in accordance with the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11" w:lineRule="exact"/>
        <w:rPr>
          <w:sz w:val="20"/>
          <w:szCs w:val="20"/>
          <w:color w:val="auto"/>
        </w:rPr>
      </w:pPr>
    </w:p>
    <w:p>
      <w:pPr>
        <w:ind w:left="1080" w:hanging="1077"/>
        <w:spacing w:after="0" w:line="287" w:lineRule="auto"/>
        <w:tabs>
          <w:tab w:leader="none" w:pos="255"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w:t>
      </w:r>
    </w:p>
    <w:p>
      <w:pPr>
        <w:ind w:left="1080"/>
        <w:spacing w:after="0"/>
        <w:rPr>
          <w:sz w:val="20"/>
          <w:szCs w:val="20"/>
          <w:color w:val="auto"/>
        </w:rPr>
      </w:pPr>
      <w:r>
        <w:rPr>
          <w:rFonts w:ascii="Arial" w:cs="Arial" w:eastAsia="Arial" w:hAnsi="Arial"/>
          <w:sz w:val="15"/>
          <w:szCs w:val="15"/>
          <w:color w:val="auto"/>
        </w:rPr>
        <w:t>other document filed under the Securities Act of 1933, as amended, or the Securities Exchange Act, except as otherwise stated in such filing.</w:t>
      </w:r>
    </w:p>
    <w:p>
      <w:pPr>
        <w:spacing w:after="0" w:line="3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Inline XBRL information is filed herewith.</w:t>
      </w:r>
    </w:p>
    <w:p>
      <w:pPr>
        <w:spacing w:after="0" w:line="11" w:lineRule="exact"/>
        <w:rPr>
          <w:sz w:val="20"/>
          <w:szCs w:val="20"/>
          <w:color w:val="auto"/>
        </w:rPr>
      </w:pPr>
    </w:p>
    <w:p>
      <w:pPr>
        <w:ind w:left="1080" w:hanging="1077"/>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2008.</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1998.</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2000.</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January 23, 2003.</w:t>
      </w:r>
    </w:p>
    <w:p>
      <w:pPr>
        <w:spacing w:after="0" w:line="10" w:lineRule="exact"/>
        <w:rPr>
          <w:rFonts w:ascii="Arial" w:cs="Arial" w:eastAsia="Arial" w:hAnsi="Arial"/>
          <w:sz w:val="17"/>
          <w:szCs w:val="17"/>
          <w:color w:val="auto"/>
        </w:rPr>
      </w:pPr>
    </w:p>
    <w:p>
      <w:pPr>
        <w:ind w:left="1080" w:hanging="1077"/>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2009.</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December 16, 2022.</w:t>
      </w:r>
    </w:p>
    <w:p>
      <w:pPr>
        <w:spacing w:after="0" w:line="10" w:lineRule="exact"/>
        <w:rPr>
          <w:rFonts w:ascii="Arial" w:cs="Arial" w:eastAsia="Arial" w:hAnsi="Arial"/>
          <w:sz w:val="17"/>
          <w:szCs w:val="17"/>
          <w:color w:val="auto"/>
        </w:rPr>
      </w:pPr>
    </w:p>
    <w:p>
      <w:pPr>
        <w:ind w:left="1080" w:hanging="1077"/>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October 6, 2015.</w:t>
      </w:r>
    </w:p>
    <w:p>
      <w:pPr>
        <w:spacing w:after="0" w:line="10" w:lineRule="exact"/>
        <w:rPr>
          <w:rFonts w:ascii="Arial" w:cs="Arial" w:eastAsia="Arial" w:hAnsi="Arial"/>
          <w:sz w:val="17"/>
          <w:szCs w:val="17"/>
          <w:color w:val="auto"/>
        </w:rPr>
      </w:pPr>
    </w:p>
    <w:p>
      <w:pPr>
        <w:ind w:left="1080" w:hanging="1077"/>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2011.</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June 17, 2015.</w:t>
      </w:r>
    </w:p>
    <w:p>
      <w:pPr>
        <w:spacing w:after="0" w:line="10" w:lineRule="exact"/>
        <w:rPr>
          <w:rFonts w:ascii="Arial" w:cs="Arial" w:eastAsia="Arial" w:hAnsi="Arial"/>
          <w:sz w:val="17"/>
          <w:szCs w:val="17"/>
          <w:color w:val="auto"/>
        </w:rPr>
      </w:pPr>
    </w:p>
    <w:p>
      <w:pPr>
        <w:ind w:left="1080" w:hanging="1077"/>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December 17, 2015.</w:t>
      </w:r>
    </w:p>
    <w:p>
      <w:pPr>
        <w:spacing w:after="0" w:line="10" w:lineRule="exact"/>
        <w:rPr>
          <w:rFonts w:ascii="Arial" w:cs="Arial" w:eastAsia="Arial" w:hAnsi="Arial"/>
          <w:sz w:val="17"/>
          <w:szCs w:val="17"/>
          <w:color w:val="auto"/>
        </w:rPr>
      </w:pPr>
    </w:p>
    <w:p>
      <w:pPr>
        <w:ind w:left="1080" w:right="120" w:hanging="1077"/>
        <w:spacing w:after="0" w:line="253" w:lineRule="auto"/>
        <w:tabs>
          <w:tab w:leader="none" w:pos="1063"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2022.</w:t>
      </w:r>
    </w:p>
    <w:p>
      <w:pPr>
        <w:ind w:left="1080" w:hanging="1077"/>
        <w:spacing w:after="0"/>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2018.</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7" w:right="55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2020.</w:t>
      </w:r>
    </w:p>
    <w:p>
      <w:pPr>
        <w:spacing w:after="0" w:line="44"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March 31, 2020.</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2004.</w:t>
      </w:r>
    </w:p>
    <w:p>
      <w:pPr>
        <w:spacing w:after="0" w:line="33" w:lineRule="exact"/>
        <w:rPr>
          <w:rFonts w:ascii="Arial" w:cs="Arial" w:eastAsia="Arial" w:hAnsi="Arial"/>
          <w:sz w:val="15"/>
          <w:szCs w:val="15"/>
          <w:color w:val="auto"/>
        </w:rPr>
      </w:pPr>
    </w:p>
    <w:p>
      <w:pPr>
        <w:ind w:left="1080" w:right="180" w:hanging="1077"/>
        <w:spacing w:after="0" w:line="253" w:lineRule="auto"/>
        <w:tabs>
          <w:tab w:leader="none" w:pos="10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2007.</w:t>
      </w: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2010.</w:t>
      </w:r>
    </w:p>
    <w:p>
      <w:pPr>
        <w:spacing w:after="0" w:line="33" w:lineRule="exact"/>
        <w:rPr>
          <w:rFonts w:ascii="Arial" w:cs="Arial" w:eastAsia="Arial" w:hAnsi="Arial"/>
          <w:sz w:val="15"/>
          <w:szCs w:val="15"/>
          <w:color w:val="auto"/>
        </w:rPr>
      </w:pPr>
    </w:p>
    <w:p>
      <w:pPr>
        <w:ind w:left="1080" w:right="180" w:hanging="1077"/>
        <w:spacing w:after="0" w:line="253" w:lineRule="auto"/>
        <w:tabs>
          <w:tab w:leader="none" w:pos="10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2017.</w:t>
      </w:r>
    </w:p>
    <w:p>
      <w:pPr>
        <w:ind w:left="1080" w:right="180" w:hanging="1077"/>
        <w:spacing w:after="0" w:line="253" w:lineRule="auto"/>
        <w:tabs>
          <w:tab w:leader="none" w:pos="10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2019.</w:t>
      </w: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2006.</w:t>
      </w:r>
    </w:p>
    <w:p>
      <w:pPr>
        <w:spacing w:after="0" w:line="33" w:lineRule="exact"/>
        <w:rPr>
          <w:rFonts w:ascii="Arial" w:cs="Arial" w:eastAsia="Arial" w:hAnsi="Arial"/>
          <w:sz w:val="15"/>
          <w:szCs w:val="15"/>
          <w:color w:val="auto"/>
        </w:rPr>
      </w:pPr>
    </w:p>
    <w:p>
      <w:pPr>
        <w:ind w:left="1080" w:right="180" w:hanging="1077"/>
        <w:spacing w:after="0" w:line="253" w:lineRule="auto"/>
        <w:tabs>
          <w:tab w:leader="none" w:pos="10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2009.</w:t>
      </w: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2016.</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March 31, 2012.</w:t>
      </w:r>
    </w:p>
    <w:p>
      <w:pPr>
        <w:spacing w:after="0" w:line="33" w:lineRule="exact"/>
        <w:rPr>
          <w:rFonts w:ascii="Arial" w:cs="Arial" w:eastAsia="Arial" w:hAnsi="Arial"/>
          <w:sz w:val="15"/>
          <w:szCs w:val="15"/>
          <w:color w:val="auto"/>
        </w:rPr>
      </w:pPr>
    </w:p>
    <w:p>
      <w:pPr>
        <w:ind w:left="1080" w:right="180" w:hanging="1077"/>
        <w:spacing w:after="0" w:line="253" w:lineRule="auto"/>
        <w:tabs>
          <w:tab w:leader="none" w:pos="10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2013.</w:t>
      </w: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March 31, 2018.</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Current Report on Form 8-K filed on February 14, 2018.</w:t>
      </w:r>
    </w:p>
    <w:p>
      <w:pPr>
        <w:spacing w:after="0" w:line="10" w:lineRule="exact"/>
        <w:rPr>
          <w:rFonts w:ascii="Arial" w:cs="Arial" w:eastAsia="Arial" w:hAnsi="Arial"/>
          <w:sz w:val="17"/>
          <w:szCs w:val="17"/>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Quarterly Report on Form 10-Q for the quarter ended June 30, 2018.</w:t>
      </w:r>
    </w:p>
    <w:p>
      <w:pPr>
        <w:spacing w:after="0" w:line="33"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2019.</w:t>
      </w:r>
    </w:p>
    <w:p>
      <w:pPr>
        <w:spacing w:after="0" w:line="24"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2020.</w:t>
      </w:r>
    </w:p>
    <w:p>
      <w:pPr>
        <w:spacing w:after="0" w:line="20" w:lineRule="exact"/>
        <w:rPr>
          <w:rFonts w:ascii="Arial" w:cs="Arial" w:eastAsia="Arial" w:hAnsi="Arial"/>
          <w:sz w:val="15"/>
          <w:szCs w:val="15"/>
          <w:color w:val="auto"/>
        </w:rPr>
      </w:pPr>
    </w:p>
    <w:p>
      <w:pPr>
        <w:ind w:left="1080" w:hanging="1077"/>
        <w:spacing w:after="0"/>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to the indicated exhibit in Nektar Therapeutics' Annual Report on Form 10-K for the year ended December 31, 2021.</w:t>
      </w:r>
    </w:p>
    <w:p>
      <w:pPr>
        <w:spacing w:after="0" w:line="20" w:lineRule="exact"/>
        <w:rPr>
          <w:rFonts w:ascii="Arial" w:cs="Arial" w:eastAsia="Arial" w:hAnsi="Arial"/>
          <w:sz w:val="15"/>
          <w:szCs w:val="15"/>
          <w:color w:val="auto"/>
        </w:rPr>
      </w:pPr>
    </w:p>
    <w:p>
      <w:pPr>
        <w:ind w:left="1080" w:right="180" w:hanging="1077"/>
        <w:spacing w:after="0" w:line="237" w:lineRule="auto"/>
        <w:tabs>
          <w:tab w:leader="none" w:pos="107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Incorporated by reference to the indicated exhibit in Nektar Therapeutics’ Quarterly Report on Form 10-Q for the quarter ended September 30, 2022.</w:t>
      </w:r>
    </w:p>
    <w:p>
      <w:pPr>
        <w:ind w:left="1080" w:hanging="1077"/>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16. Form 10-K Summary</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2660"/>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256"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NEKTAR THERAPEUTICS</w:t>
      </w:r>
    </w:p>
    <w:p>
      <w:pPr>
        <w:spacing w:after="0" w:line="24" w:lineRule="exact"/>
        <w:rPr>
          <w:sz w:val="20"/>
          <w:szCs w:val="20"/>
          <w:color w:val="auto"/>
        </w:rPr>
      </w:pPr>
    </w:p>
    <w:p>
      <w:pPr>
        <w:ind w:left="7300"/>
        <w:spacing w:after="0"/>
        <w:tabs>
          <w:tab w:leader="none" w:pos="7740" w:val="left"/>
        </w:tabs>
        <w:rPr>
          <w:sz w:val="20"/>
          <w:szCs w:val="20"/>
          <w:color w:val="auto"/>
        </w:rPr>
      </w:pPr>
      <w:r>
        <w:rPr>
          <w:rFonts w:ascii="Arial" w:cs="Arial" w:eastAsia="Arial" w:hAnsi="Arial"/>
          <w:sz w:val="17"/>
          <w:szCs w:val="17"/>
          <w:color w:val="auto"/>
        </w:rPr>
        <w:t>By:</w:t>
        <w:tab/>
        <w:t>/s/ J</w:t>
      </w:r>
      <w:r>
        <w:rPr>
          <w:rFonts w:ascii="Arial" w:cs="Arial" w:eastAsia="Arial" w:hAnsi="Arial"/>
          <w:sz w:val="13"/>
          <w:szCs w:val="13"/>
          <w:color w:val="auto"/>
        </w:rPr>
        <w:t>ILLIAN</w:t>
      </w:r>
      <w:r>
        <w:rPr>
          <w:rFonts w:ascii="Arial" w:cs="Arial" w:eastAsia="Arial" w:hAnsi="Arial"/>
          <w:sz w:val="17"/>
          <w:szCs w:val="17"/>
          <w:color w:val="auto"/>
        </w:rPr>
        <w:t xml:space="preserve"> B. T</w:t>
      </w:r>
      <w:r>
        <w:rPr>
          <w:rFonts w:ascii="Arial" w:cs="Arial" w:eastAsia="Arial" w:hAnsi="Arial"/>
          <w:sz w:val="13"/>
          <w:szCs w:val="13"/>
          <w:color w:val="auto"/>
        </w:rPr>
        <w: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22860</wp:posOffset>
            </wp:positionV>
            <wp:extent cx="2218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Jillian B. Thomsen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Senior Vice President, Chief Financial Officer</w:t>
      </w:r>
    </w:p>
    <w:p>
      <w:pPr>
        <w:ind w:left="7760"/>
        <w:spacing w:after="0"/>
        <w:rPr>
          <w:sz w:val="20"/>
          <w:szCs w:val="20"/>
          <w:color w:val="auto"/>
        </w:rPr>
      </w:pPr>
      <w:r>
        <w:rPr>
          <w:rFonts w:ascii="Arial" w:cs="Arial" w:eastAsia="Arial" w:hAnsi="Arial"/>
          <w:sz w:val="17"/>
          <w:szCs w:val="17"/>
          <w:b w:val="1"/>
          <w:bCs w:val="1"/>
          <w:i w:val="1"/>
          <w:iCs w:val="1"/>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23" w:lineRule="exact"/>
        <w:rPr>
          <w:sz w:val="20"/>
          <w:szCs w:val="20"/>
          <w:color w:val="auto"/>
        </w:rPr>
      </w:pPr>
    </w:p>
    <w:p>
      <w:pPr>
        <w:ind w:firstLine="172"/>
        <w:spacing w:after="0" w:line="276" w:lineRule="auto"/>
        <w:rPr>
          <w:sz w:val="20"/>
          <w:szCs w:val="20"/>
          <w:color w:val="auto"/>
        </w:rPr>
      </w:pPr>
      <w:r>
        <w:rPr>
          <w:rFonts w:ascii="Arial" w:cs="Arial" w:eastAsia="Arial" w:hAnsi="Arial"/>
          <w:sz w:val="16"/>
          <w:szCs w:val="16"/>
          <w:color w:val="auto"/>
        </w:rPr>
        <w:t>KNOW ALL PERSON BY THESE PRESENTS, that each person whose signature appears below constitutes and appoints Howard W. Robin and Jillian B. Thomsen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 and confirming all that said attorneys-in-fact and agents, or any of them, or their or his or her substitute or substitutes, may lawfully do or cause to be done by virtue hereof.</w:t>
      </w:r>
    </w:p>
    <w:p>
      <w:pPr>
        <w:spacing w:after="0" w:line="200" w:lineRule="exact"/>
        <w:rPr>
          <w:sz w:val="20"/>
          <w:szCs w:val="20"/>
          <w:color w:val="auto"/>
        </w:rPr>
      </w:pPr>
    </w:p>
    <w:p>
      <w:pPr>
        <w:spacing w:after="0" w:line="201" w:lineRule="exact"/>
        <w:rPr>
          <w:sz w:val="20"/>
          <w:szCs w:val="20"/>
          <w:color w:val="auto"/>
        </w:rPr>
      </w:pPr>
    </w:p>
    <w:p>
      <w:pPr>
        <w:ind w:right="120" w:firstLine="172"/>
        <w:spacing w:after="0" w:line="27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by the following persons in the capacities and on the dates indicated:</w:t>
      </w:r>
    </w:p>
    <w:p>
      <w:pPr>
        <w:spacing w:after="0" w:line="1" w:lineRule="exact"/>
        <w:rPr>
          <w:sz w:val="20"/>
          <w:szCs w:val="20"/>
          <w:color w:val="auto"/>
        </w:rPr>
      </w:pPr>
    </w:p>
    <w:p>
      <w:pPr>
        <w:ind w:left="1520"/>
        <w:spacing w:after="0"/>
        <w:tabs>
          <w:tab w:leader="none" w:pos="5440" w:val="left"/>
          <w:tab w:leader="none" w:pos="9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13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H</w:t>
            </w:r>
            <w:r>
              <w:rPr>
                <w:rFonts w:ascii="Arial" w:cs="Arial" w:eastAsia="Arial" w:hAnsi="Arial"/>
                <w:sz w:val="13"/>
                <w:szCs w:val="13"/>
                <w:color w:val="auto"/>
                <w:w w:val="98"/>
              </w:rPr>
              <w:t>OWARD</w:t>
            </w:r>
            <w:r>
              <w:rPr>
                <w:rFonts w:ascii="Arial" w:cs="Arial" w:eastAsia="Arial" w:hAnsi="Arial"/>
                <w:sz w:val="17"/>
                <w:szCs w:val="17"/>
                <w:color w:val="auto"/>
                <w:w w:val="98"/>
              </w:rPr>
              <w:t xml:space="preserve"> W. R</w:t>
            </w:r>
            <w:r>
              <w:rPr>
                <w:rFonts w:ascii="Arial" w:cs="Arial" w:eastAsia="Arial" w:hAnsi="Arial"/>
                <w:sz w:val="13"/>
                <w:szCs w:val="13"/>
                <w:color w:val="auto"/>
                <w:w w:val="98"/>
              </w:rPr>
              <w:t>OBIN</w:t>
            </w:r>
          </w:p>
        </w:tc>
        <w:tc>
          <w:tcPr>
            <w:tcW w:w="3700" w:type="dxa"/>
            <w:vAlign w:val="bottom"/>
          </w:tcPr>
          <w:p>
            <w:pPr>
              <w:ind w:left="240"/>
              <w:spacing w:after="0"/>
              <w:rPr>
                <w:sz w:val="20"/>
                <w:szCs w:val="20"/>
                <w:color w:val="auto"/>
              </w:rPr>
            </w:pPr>
            <w:r>
              <w:rPr>
                <w:rFonts w:ascii="Arial" w:cs="Arial" w:eastAsia="Arial" w:hAnsi="Arial"/>
                <w:sz w:val="17"/>
                <w:szCs w:val="17"/>
                <w:color w:val="auto"/>
                <w:w w:val="97"/>
              </w:rPr>
              <w:t>Chief Executive Officer, President and Director</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5"/>
              </w:rPr>
              <w:t>Howard W. Robin</w:t>
            </w:r>
          </w:p>
        </w:tc>
        <w:tc>
          <w:tcPr>
            <w:tcW w:w="3700" w:type="dxa"/>
            <w:vAlign w:val="bottom"/>
          </w:tcPr>
          <w:p>
            <w:pPr>
              <w:ind w:left="240"/>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427"/>
        </w:trPr>
        <w:tc>
          <w:tcPr>
            <w:tcW w:w="3580" w:type="dxa"/>
            <w:vAlign w:val="bottom"/>
          </w:tcPr>
          <w:p>
            <w:pPr>
              <w:spacing w:after="0"/>
              <w:rPr>
                <w:sz w:val="24"/>
                <w:szCs w:val="24"/>
                <w:color w:val="auto"/>
              </w:rPr>
            </w:pPr>
          </w:p>
        </w:tc>
        <w:tc>
          <w:tcPr>
            <w:tcW w:w="3700" w:type="dxa"/>
            <w:vAlign w:val="bottom"/>
          </w:tcPr>
          <w:p>
            <w:pPr>
              <w:ind w:left="240"/>
              <w:spacing w:after="0"/>
              <w:rPr>
                <w:sz w:val="20"/>
                <w:szCs w:val="20"/>
                <w:color w:val="auto"/>
              </w:rPr>
            </w:pPr>
            <w:r>
              <w:rPr>
                <w:rFonts w:ascii="Arial" w:cs="Arial" w:eastAsia="Arial" w:hAnsi="Arial"/>
                <w:sz w:val="17"/>
                <w:szCs w:val="17"/>
                <w:color w:val="auto"/>
                <w:w w:val="92"/>
              </w:rPr>
              <w:t>Senior Vice President, Chief Financial Officer and</w:t>
            </w:r>
          </w:p>
        </w:tc>
        <w:tc>
          <w:tcPr>
            <w:tcW w:w="0" w:type="dxa"/>
            <w:vAlign w:val="bottom"/>
          </w:tcPr>
          <w:p>
            <w:pPr>
              <w:spacing w:after="0"/>
              <w:rPr>
                <w:sz w:val="1"/>
                <w:szCs w:val="1"/>
                <w:color w:val="auto"/>
              </w:rPr>
            </w:pPr>
          </w:p>
        </w:tc>
      </w:tr>
      <w:tr>
        <w:trPr>
          <w:trHeight w:val="217"/>
        </w:trPr>
        <w:tc>
          <w:tcPr>
            <w:tcW w:w="3580" w:type="dxa"/>
            <w:vAlign w:val="bottom"/>
          </w:tcPr>
          <w:p>
            <w:pPr>
              <w:jc w:val="center"/>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ILLIAN</w:t>
            </w:r>
            <w:r>
              <w:rPr>
                <w:rFonts w:ascii="Arial" w:cs="Arial" w:eastAsia="Arial" w:hAnsi="Arial"/>
                <w:sz w:val="17"/>
                <w:szCs w:val="17"/>
                <w:color w:val="auto"/>
              </w:rPr>
              <w:t xml:space="preserve"> B. T</w:t>
            </w:r>
            <w:r>
              <w:rPr>
                <w:rFonts w:ascii="Arial" w:cs="Arial" w:eastAsia="Arial" w:hAnsi="Arial"/>
                <w:sz w:val="13"/>
                <w:szCs w:val="13"/>
                <w:color w:val="auto"/>
              </w:rPr>
              <w:t>HOMSEN</w:t>
            </w:r>
          </w:p>
        </w:tc>
        <w:tc>
          <w:tcPr>
            <w:tcW w:w="3700" w:type="dxa"/>
            <w:vAlign w:val="bottom"/>
          </w:tcPr>
          <w:p>
            <w:pPr>
              <w:ind w:left="240"/>
              <w:spacing w:after="0"/>
              <w:rPr>
                <w:sz w:val="20"/>
                <w:szCs w:val="20"/>
                <w:color w:val="auto"/>
              </w:rPr>
            </w:pPr>
            <w:r>
              <w:rPr>
                <w:rFonts w:ascii="Arial" w:cs="Arial" w:eastAsia="Arial" w:hAnsi="Arial"/>
                <w:sz w:val="17"/>
                <w:szCs w:val="17"/>
                <w:color w:val="auto"/>
              </w:rPr>
              <w:t>Chief Accounting Officer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vMerge w:val="restart"/>
          </w:tcPr>
          <w:p>
            <w:pPr>
              <w:ind w:left="240"/>
              <w:spacing w:after="0"/>
              <w:rPr>
                <w:sz w:val="20"/>
                <w:szCs w:val="20"/>
                <w:color w:val="auto"/>
              </w:rPr>
            </w:pPr>
            <w:r>
              <w:rPr>
                <w:rFonts w:ascii="Arial" w:cs="Arial" w:eastAsia="Arial" w:hAnsi="Arial"/>
                <w:sz w:val="17"/>
                <w:szCs w:val="17"/>
                <w:color w:val="auto"/>
              </w:rPr>
              <w:t>(Principal Financial Officer and Accounting</w:t>
            </w:r>
          </w:p>
        </w:tc>
        <w:tc>
          <w:tcPr>
            <w:tcW w:w="0" w:type="dxa"/>
            <w:vAlign w:val="bottom"/>
          </w:tcPr>
          <w:p>
            <w:pPr>
              <w:spacing w:after="0"/>
              <w:rPr>
                <w:sz w:val="1"/>
                <w:szCs w:val="1"/>
                <w:color w:val="auto"/>
              </w:rPr>
            </w:pPr>
          </w:p>
        </w:tc>
      </w:tr>
      <w:tr>
        <w:trPr>
          <w:trHeight w:val="200"/>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1"/>
              </w:rPr>
              <w:t>Jillian B. Thomsen</w:t>
            </w:r>
          </w:p>
        </w:tc>
        <w:tc>
          <w:tcPr>
            <w:tcW w:w="3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438"/>
        </w:trPr>
        <w:tc>
          <w:tcPr>
            <w:tcW w:w="3580" w:type="dxa"/>
            <w:vAlign w:val="bottom"/>
          </w:tcPr>
          <w:p>
            <w:pPr>
              <w:jc w:val="center"/>
              <w:spacing w:after="0"/>
              <w:rPr>
                <w:sz w:val="20"/>
                <w:szCs w:val="20"/>
                <w:color w:val="auto"/>
              </w:rPr>
            </w:pPr>
            <w:r>
              <w:rPr>
                <w:rFonts w:ascii="Arial" w:cs="Arial" w:eastAsia="Arial" w:hAnsi="Arial"/>
                <w:sz w:val="17"/>
                <w:szCs w:val="17"/>
                <w:color w:val="auto"/>
                <w:w w:val="95"/>
              </w:rPr>
              <w:t>/s/ R</w:t>
            </w:r>
            <w:r>
              <w:rPr>
                <w:rFonts w:ascii="Arial" w:cs="Arial" w:eastAsia="Arial" w:hAnsi="Arial"/>
                <w:sz w:val="13"/>
                <w:szCs w:val="13"/>
                <w:color w:val="auto"/>
                <w:w w:val="95"/>
              </w:rPr>
              <w:t>OBERT</w:t>
            </w:r>
            <w:r>
              <w:rPr>
                <w:rFonts w:ascii="Arial" w:cs="Arial" w:eastAsia="Arial" w:hAnsi="Arial"/>
                <w:sz w:val="17"/>
                <w:szCs w:val="17"/>
                <w:color w:val="auto"/>
                <w:w w:val="95"/>
              </w:rPr>
              <w:t xml:space="preserve"> B. C</w:t>
            </w:r>
            <w:r>
              <w:rPr>
                <w:rFonts w:ascii="Arial" w:cs="Arial" w:eastAsia="Arial" w:hAnsi="Arial"/>
                <w:sz w:val="13"/>
                <w:szCs w:val="13"/>
                <w:color w:val="auto"/>
                <w:w w:val="95"/>
              </w:rPr>
              <w:t>HESS</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 Chairman of the Board of Directors</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9"/>
              </w:rPr>
              <w:t>Robert B. Chess</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3580" w:type="dxa"/>
            <w:vAlign w:val="bottom"/>
          </w:tcPr>
          <w:p>
            <w:pPr>
              <w:jc w:val="center"/>
              <w:spacing w:after="0"/>
              <w:rPr>
                <w:sz w:val="20"/>
                <w:szCs w:val="20"/>
                <w:color w:val="auto"/>
              </w:rPr>
            </w:pPr>
            <w:r>
              <w:rPr>
                <w:rFonts w:ascii="Arial" w:cs="Arial" w:eastAsia="Arial" w:hAnsi="Arial"/>
                <w:sz w:val="17"/>
                <w:szCs w:val="17"/>
                <w:color w:val="auto"/>
                <w:w w:val="95"/>
              </w:rPr>
              <w:t>/s/ J</w:t>
            </w:r>
            <w:r>
              <w:rPr>
                <w:rFonts w:ascii="Arial" w:cs="Arial" w:eastAsia="Arial" w:hAnsi="Arial"/>
                <w:sz w:val="13"/>
                <w:szCs w:val="13"/>
                <w:color w:val="auto"/>
                <w:w w:val="95"/>
              </w:rPr>
              <w:t>EFFREY</w:t>
            </w:r>
            <w:r>
              <w:rPr>
                <w:rFonts w:ascii="Arial" w:cs="Arial" w:eastAsia="Arial" w:hAnsi="Arial"/>
                <w:sz w:val="17"/>
                <w:szCs w:val="17"/>
                <w:color w:val="auto"/>
                <w:w w:val="95"/>
              </w:rPr>
              <w:t xml:space="preserve"> R. A</w:t>
            </w:r>
            <w:r>
              <w:rPr>
                <w:rFonts w:ascii="Arial" w:cs="Arial" w:eastAsia="Arial" w:hAnsi="Arial"/>
                <w:sz w:val="13"/>
                <w:szCs w:val="13"/>
                <w:color w:val="auto"/>
                <w:w w:val="95"/>
              </w:rPr>
              <w:t>JER</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5"/>
              </w:rPr>
              <w:t>Jeffrey R. Ajer</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580" w:type="dxa"/>
            <w:vAlign w:val="bottom"/>
          </w:tcPr>
          <w:p>
            <w:pPr>
              <w:jc w:val="center"/>
              <w:spacing w:after="0"/>
              <w:rPr>
                <w:sz w:val="20"/>
                <w:szCs w:val="20"/>
                <w:color w:val="auto"/>
              </w:rPr>
            </w:pPr>
            <w:r>
              <w:rPr>
                <w:rFonts w:ascii="Arial" w:cs="Arial" w:eastAsia="Arial" w:hAnsi="Arial"/>
                <w:sz w:val="17"/>
                <w:szCs w:val="17"/>
                <w:color w:val="auto"/>
              </w:rPr>
              <w:t>/s/ D</w:t>
            </w:r>
            <w:r>
              <w:rPr>
                <w:rFonts w:ascii="Arial" w:cs="Arial" w:eastAsia="Arial" w:hAnsi="Arial"/>
                <w:sz w:val="13"/>
                <w:szCs w:val="13"/>
                <w:color w:val="auto"/>
              </w:rPr>
              <w:t>IANA</w:t>
            </w:r>
            <w:r>
              <w:rPr>
                <w:rFonts w:ascii="Arial" w:cs="Arial" w:eastAsia="Arial" w:hAnsi="Arial"/>
                <w:sz w:val="17"/>
                <w:szCs w:val="17"/>
                <w:color w:val="auto"/>
              </w:rPr>
              <w:t xml:space="preserve"> M. B</w:t>
            </w:r>
            <w:r>
              <w:rPr>
                <w:rFonts w:ascii="Arial" w:cs="Arial" w:eastAsia="Arial" w:hAnsi="Arial"/>
                <w:sz w:val="13"/>
                <w:szCs w:val="13"/>
                <w:color w:val="auto"/>
              </w:rPr>
              <w:t>RAINARD</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6"/>
              </w:rPr>
              <w:t>Diana M. Brainard</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3580" w:type="dxa"/>
            <w:vAlign w:val="bottom"/>
          </w:tcPr>
          <w:p>
            <w:pPr>
              <w:jc w:val="center"/>
              <w:spacing w:after="0"/>
              <w:rPr>
                <w:sz w:val="20"/>
                <w:szCs w:val="20"/>
                <w:color w:val="auto"/>
              </w:rPr>
            </w:pPr>
            <w:r>
              <w:rPr>
                <w:rFonts w:ascii="Arial" w:cs="Arial" w:eastAsia="Arial" w:hAnsi="Arial"/>
                <w:sz w:val="17"/>
                <w:szCs w:val="17"/>
                <w:color w:val="auto"/>
                <w:w w:val="99"/>
              </w:rPr>
              <w:t>/s/ M</w:t>
            </w:r>
            <w:r>
              <w:rPr>
                <w:rFonts w:ascii="Arial" w:cs="Arial" w:eastAsia="Arial" w:hAnsi="Arial"/>
                <w:sz w:val="13"/>
                <w:szCs w:val="13"/>
                <w:color w:val="auto"/>
                <w:w w:val="99"/>
              </w:rPr>
              <w:t>YRIAM</w:t>
            </w:r>
            <w:r>
              <w:rPr>
                <w:rFonts w:ascii="Arial" w:cs="Arial" w:eastAsia="Arial" w:hAnsi="Arial"/>
                <w:sz w:val="17"/>
                <w:szCs w:val="17"/>
                <w:color w:val="auto"/>
                <w:w w:val="99"/>
              </w:rPr>
              <w:t xml:space="preserve"> J. C</w:t>
            </w:r>
            <w:r>
              <w:rPr>
                <w:rFonts w:ascii="Arial" w:cs="Arial" w:eastAsia="Arial" w:hAnsi="Arial"/>
                <w:sz w:val="13"/>
                <w:szCs w:val="13"/>
                <w:color w:val="auto"/>
                <w:w w:val="99"/>
              </w:rPr>
              <w:t>URET</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7"/>
              </w:rPr>
              <w:t>Myriam J. Curet</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3580" w:type="dxa"/>
            <w:vAlign w:val="bottom"/>
          </w:tcPr>
          <w:p>
            <w:pPr>
              <w:jc w:val="center"/>
              <w:spacing w:after="0"/>
              <w:rPr>
                <w:sz w:val="20"/>
                <w:szCs w:val="20"/>
                <w:color w:val="auto"/>
              </w:rPr>
            </w:pPr>
            <w:r>
              <w:rPr>
                <w:rFonts w:ascii="Arial" w:cs="Arial" w:eastAsia="Arial" w:hAnsi="Arial"/>
                <w:sz w:val="17"/>
                <w:szCs w:val="17"/>
                <w:color w:val="auto"/>
              </w:rPr>
              <w:t>/s/ K</w:t>
            </w:r>
            <w:r>
              <w:rPr>
                <w:rFonts w:ascii="Arial" w:cs="Arial" w:eastAsia="Arial" w:hAnsi="Arial"/>
                <w:sz w:val="13"/>
                <w:szCs w:val="13"/>
                <w:color w:val="auto"/>
              </w:rPr>
              <w:t>ARIN</w:t>
            </w:r>
            <w:r>
              <w:rPr>
                <w:rFonts w:ascii="Arial" w:cs="Arial" w:eastAsia="Arial" w:hAnsi="Arial"/>
                <w:sz w:val="17"/>
                <w:szCs w:val="17"/>
                <w:color w:val="auto"/>
              </w:rPr>
              <w:t xml:space="preserve"> E</w:t>
            </w:r>
            <w:r>
              <w:rPr>
                <w:rFonts w:ascii="Arial" w:cs="Arial" w:eastAsia="Arial" w:hAnsi="Arial"/>
                <w:sz w:val="13"/>
                <w:szCs w:val="13"/>
                <w:color w:val="auto"/>
              </w:rPr>
              <w:t>ASTHAM</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5"/>
              </w:rPr>
              <w:t>Karin Eastham</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580" w:type="dxa"/>
            <w:vAlign w:val="bottom"/>
          </w:tcPr>
          <w:p>
            <w:pPr>
              <w:jc w:val="center"/>
              <w:spacing w:after="0"/>
              <w:rPr>
                <w:sz w:val="20"/>
                <w:szCs w:val="20"/>
                <w:color w:val="auto"/>
              </w:rPr>
            </w:pPr>
            <w:r>
              <w:rPr>
                <w:rFonts w:ascii="Arial" w:cs="Arial" w:eastAsia="Arial" w:hAnsi="Arial"/>
                <w:sz w:val="17"/>
                <w:szCs w:val="17"/>
                <w:color w:val="auto"/>
                <w:w w:val="95"/>
              </w:rPr>
              <w:t>/s/ R. S</w:t>
            </w:r>
            <w:r>
              <w:rPr>
                <w:rFonts w:ascii="Arial" w:cs="Arial" w:eastAsia="Arial" w:hAnsi="Arial"/>
                <w:sz w:val="13"/>
                <w:szCs w:val="13"/>
                <w:color w:val="auto"/>
                <w:w w:val="95"/>
              </w:rPr>
              <w:t>COTT</w:t>
            </w:r>
            <w:r>
              <w:rPr>
                <w:rFonts w:ascii="Arial" w:cs="Arial" w:eastAsia="Arial" w:hAnsi="Arial"/>
                <w:sz w:val="17"/>
                <w:szCs w:val="17"/>
                <w:color w:val="auto"/>
                <w:w w:val="95"/>
              </w:rPr>
              <w:t xml:space="preserve"> G</w:t>
            </w:r>
            <w:r>
              <w:rPr>
                <w:rFonts w:ascii="Arial" w:cs="Arial" w:eastAsia="Arial" w:hAnsi="Arial"/>
                <w:sz w:val="13"/>
                <w:szCs w:val="13"/>
                <w:color w:val="auto"/>
                <w:w w:val="95"/>
              </w:rPr>
              <w:t>REER</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2"/>
              </w:rPr>
              <w:t>R. Scott Greer</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580" w:type="dxa"/>
            <w:vAlign w:val="bottom"/>
          </w:tcPr>
          <w:p>
            <w:pPr>
              <w:jc w:val="center"/>
              <w:spacing w:after="0"/>
              <w:rPr>
                <w:sz w:val="20"/>
                <w:szCs w:val="20"/>
                <w:color w:val="auto"/>
              </w:rPr>
            </w:pPr>
            <w:r>
              <w:rPr>
                <w:rFonts w:ascii="Arial" w:cs="Arial" w:eastAsia="Arial" w:hAnsi="Arial"/>
                <w:sz w:val="17"/>
                <w:szCs w:val="17"/>
                <w:color w:val="auto"/>
              </w:rPr>
              <w:t>/s/ R</w:t>
            </w:r>
            <w:r>
              <w:rPr>
                <w:rFonts w:ascii="Arial" w:cs="Arial" w:eastAsia="Arial" w:hAnsi="Arial"/>
                <w:sz w:val="13"/>
                <w:szCs w:val="13"/>
                <w:color w:val="auto"/>
              </w:rPr>
              <w:t>OY</w:t>
            </w:r>
            <w:r>
              <w:rPr>
                <w:rFonts w:ascii="Arial" w:cs="Arial" w:eastAsia="Arial" w:hAnsi="Arial"/>
                <w:sz w:val="17"/>
                <w:szCs w:val="17"/>
                <w:color w:val="auto"/>
              </w:rPr>
              <w:t xml:space="preserve"> A. W</w:t>
            </w:r>
            <w:r>
              <w:rPr>
                <w:rFonts w:ascii="Arial" w:cs="Arial" w:eastAsia="Arial" w:hAnsi="Arial"/>
                <w:sz w:val="13"/>
                <w:szCs w:val="13"/>
                <w:color w:val="auto"/>
              </w:rPr>
              <w:t>HITFIELD</w:t>
            </w:r>
          </w:p>
        </w:tc>
        <w:tc>
          <w:tcPr>
            <w:tcW w:w="3700" w:type="dxa"/>
            <w:vAlign w:val="bottom"/>
          </w:tcPr>
          <w:p>
            <w:pPr>
              <w:ind w:left="2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95"/>
              </w:rPr>
              <w:t>Roy A. Whitfield</w:t>
            </w: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489" w:lineRule="exact"/>
        <w:rPr>
          <w:sz w:val="20"/>
          <w:szCs w:val="20"/>
          <w:color w:val="auto"/>
        </w:rPr>
      </w:pPr>
    </w:p>
    <w:p>
      <w:pPr>
        <w:sectPr>
          <w:pgSz w:w="11900" w:h="16838" w:orient="portrait"/>
          <w:cols w:equalWidth="0" w:num="2">
            <w:col w:w="8040" w:space="720"/>
            <w:col w:w="2460"/>
          </w:cols>
          <w:pgMar w:left="320" w:top="12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20"/>
          </w:cols>
          <w:pgMar w:left="320" w:top="127" w:right="35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21"/>
          <w:szCs w:val="21"/>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Subsidiaries of Nektar Therapeutics</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11240"/>
          </w:cols>
          <w:pgMar w:left="320" w:top="10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227" w:lineRule="exact"/>
        <w:rPr>
          <w:sz w:val="20"/>
          <w:szCs w:val="20"/>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333-145259) pertaining to the 401(k) Retirement Plan of Nektar Therapeutics,</w:t>
      </w:r>
    </w:p>
    <w:p>
      <w:pPr>
        <w:spacing w:after="0" w:line="23"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333-170371) pertaining to the Employee Stock Purchase Plan of Nektar Therapeutics,</w:t>
      </w:r>
    </w:p>
    <w:p>
      <w:pPr>
        <w:spacing w:after="0" w:line="17"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333-183193) pertaining to the 2012 Performance Incentive Plan of Nektar Therapeutics,</w:t>
      </w:r>
    </w:p>
    <w:p>
      <w:pPr>
        <w:spacing w:after="0" w:line="8"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333-197781) pertaining to the Employee Stock Purchase Plan of Nektar Therapeutics,</w:t>
      </w:r>
    </w:p>
    <w:p>
      <w:pPr>
        <w:spacing w:after="0" w:line="11"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333-206136) pertaining to the 2012 Performance Incentive Plan of Nektar Therapeutics,</w:t>
      </w:r>
    </w:p>
    <w:p>
      <w:pPr>
        <w:spacing w:after="0" w:line="17"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333-218777) pertaining to the 2017 Performance Incentive Plan of Nektar Therapeutics,</w:t>
      </w:r>
    </w:p>
    <w:p>
      <w:pPr>
        <w:spacing w:after="0" w:line="11" w:lineRule="exact"/>
        <w:rPr>
          <w:rFonts w:ascii="Arial" w:cs="Arial" w:eastAsia="Arial" w:hAnsi="Arial"/>
          <w:sz w:val="15"/>
          <w:szCs w:val="15"/>
          <w:color w:val="auto"/>
        </w:rPr>
      </w:pP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333-226004) pertaining to the Amended and Restated 2017 Performance Incentive Plan of Nektar Therapeutics,</w:t>
      </w:r>
    </w:p>
    <w:p>
      <w:pPr>
        <w:spacing w:after="0" w:line="17" w:lineRule="exact"/>
        <w:rPr>
          <w:rFonts w:ascii="Arial" w:cs="Arial" w:eastAsia="Arial" w:hAnsi="Arial"/>
          <w:sz w:val="15"/>
          <w:szCs w:val="15"/>
          <w:color w:val="auto"/>
        </w:rPr>
      </w:pPr>
    </w:p>
    <w:p>
      <w:pPr>
        <w:ind w:left="620" w:right="160" w:firstLine="2"/>
        <w:spacing w:after="0" w:line="253" w:lineRule="auto"/>
        <w:tabs>
          <w:tab w:leader="none" w:pos="839"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333-242327) pertaining to the Amended and Restated 2017 Performance Incentive Plan and Amended and Restated Employee Stock Purchase Plan of Nektar Therapeutics,</w:t>
      </w:r>
    </w:p>
    <w:p>
      <w:pPr>
        <w:ind w:left="840" w:hanging="218"/>
        <w:spacing w:after="0"/>
        <w:tabs>
          <w:tab w:leader="none" w:pos="8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S-3 No. 333-254237) of Nektar Therapeutics,</w:t>
      </w:r>
    </w:p>
    <w:p>
      <w:pPr>
        <w:spacing w:after="0" w:line="17" w:lineRule="exact"/>
        <w:rPr>
          <w:rFonts w:ascii="Arial" w:cs="Arial" w:eastAsia="Arial" w:hAnsi="Arial"/>
          <w:sz w:val="15"/>
          <w:szCs w:val="15"/>
          <w:color w:val="auto"/>
        </w:rPr>
      </w:pPr>
    </w:p>
    <w:p>
      <w:pPr>
        <w:ind w:left="920" w:hanging="298"/>
        <w:spacing w:after="0"/>
        <w:tabs>
          <w:tab w:leader="none" w:pos="9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333-258900) pertaining to the Amended and Restated 2017 Performance Incentive Plan of Nektar Therapeutics, and</w:t>
      </w:r>
    </w:p>
    <w:p>
      <w:pPr>
        <w:spacing w:after="0" w:line="8" w:lineRule="exact"/>
        <w:rPr>
          <w:rFonts w:ascii="Arial" w:cs="Arial" w:eastAsia="Arial" w:hAnsi="Arial"/>
          <w:sz w:val="15"/>
          <w:szCs w:val="15"/>
          <w:color w:val="auto"/>
        </w:rPr>
      </w:pPr>
    </w:p>
    <w:p>
      <w:pPr>
        <w:ind w:left="920" w:hanging="298"/>
        <w:spacing w:after="0"/>
        <w:tabs>
          <w:tab w:leader="none" w:pos="9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Registration Statement (Form S-8 No. 333-266580) pertaining to the Amended and Restated 2017 Performance Incentive Plan of Nektar Therapeutics;</w:t>
      </w:r>
    </w:p>
    <w:p>
      <w:pPr>
        <w:spacing w:after="0" w:line="241"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of our reports dated February 28, 2023, with respect to the consolidated financial statements of Nektar Therapeutics and the effectiveness of internal control over financial reporting of Nektar Therapeutics included in this Annual Report (Form 10-K) of Nektar Therapeutics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San Mateo, California</w:t>
      </w:r>
    </w:p>
    <w:p>
      <w:pPr>
        <w:spacing w:after="0"/>
        <w:rPr>
          <w:sz w:val="20"/>
          <w:szCs w:val="20"/>
          <w:color w:val="auto"/>
        </w:rPr>
      </w:pPr>
      <w:r>
        <w:rPr>
          <w:rFonts w:ascii="Arial" w:cs="Arial" w:eastAsia="Arial" w:hAnsi="Arial"/>
          <w:sz w:val="15"/>
          <w:szCs w:val="15"/>
          <w:color w:val="auto"/>
        </w:rPr>
        <w:t>February 28, 2023</w:t>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Howard W. Robin, certify that:</w:t>
      </w:r>
    </w:p>
    <w:p>
      <w:pPr>
        <w:spacing w:after="0" w:line="114" w:lineRule="exact"/>
        <w:rPr>
          <w:sz w:val="20"/>
          <w:szCs w:val="20"/>
          <w:color w:val="auto"/>
        </w:rPr>
      </w:pPr>
    </w:p>
    <w:p>
      <w:pPr>
        <w:ind w:left="940" w:hanging="163"/>
        <w:spacing w:after="0"/>
        <w:tabs>
          <w:tab w:leader="none" w:pos="9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Nektar Therapeutics for the year ended December 31, 2022;</w:t>
      </w:r>
    </w:p>
    <w:p>
      <w:pPr>
        <w:spacing w:after="0" w:line="113" w:lineRule="exact"/>
        <w:rPr>
          <w:rFonts w:ascii="Arial" w:cs="Arial" w:eastAsia="Arial" w:hAnsi="Arial"/>
          <w:sz w:val="17"/>
          <w:szCs w:val="17"/>
          <w:color w:val="auto"/>
        </w:rPr>
      </w:pPr>
    </w:p>
    <w:p>
      <w:pPr>
        <w:ind w:right="300" w:firstLine="777"/>
        <w:spacing w:after="0" w:line="349" w:lineRule="auto"/>
        <w:tabs>
          <w:tab w:leader="none" w:pos="945"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right="300" w:firstLine="777"/>
        <w:spacing w:after="0" w:line="279" w:lineRule="auto"/>
        <w:tabs>
          <w:tab w:leader="none" w:pos="9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ind w:right="300" w:firstLine="777"/>
        <w:spacing w:after="0" w:line="266" w:lineRule="auto"/>
        <w:tabs>
          <w:tab w:leader="none" w:pos="9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sz w:val="20"/>
          <w:szCs w:val="20"/>
          <w:color w:val="auto"/>
        </w:rPr>
      </w:pPr>
    </w:p>
    <w:p>
      <w:pPr>
        <w:ind w:right="60" w:firstLine="777"/>
        <w:spacing w:after="0" w:line="266" w:lineRule="auto"/>
        <w:tabs>
          <w:tab w:leader="none" w:pos="95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jc w:val="both"/>
        <w:ind w:right="20" w:firstLine="777"/>
        <w:spacing w:after="0" w:line="266" w:lineRule="auto"/>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80" w:firstLine="777"/>
        <w:spacing w:after="0" w:line="279" w:lineRule="auto"/>
        <w:tabs>
          <w:tab w:leader="none" w:pos="95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7"/>
          <w:szCs w:val="17"/>
          <w:color w:val="auto"/>
        </w:rPr>
      </w:pPr>
    </w:p>
    <w:p>
      <w:pPr>
        <w:jc w:val="both"/>
        <w:ind w:right="100" w:firstLine="777"/>
        <w:spacing w:after="0" w:line="266" w:lineRule="auto"/>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2" w:lineRule="exact"/>
        <w:rPr>
          <w:sz w:val="20"/>
          <w:szCs w:val="20"/>
          <w:color w:val="auto"/>
        </w:rPr>
      </w:pPr>
    </w:p>
    <w:p>
      <w:pPr>
        <w:ind w:firstLine="777"/>
        <w:spacing w:after="0" w:line="279" w:lineRule="auto"/>
        <w:tabs>
          <w:tab w:leader="none" w:pos="9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777"/>
        <w:spacing w:after="0" w:line="279" w:lineRule="auto"/>
        <w:tabs>
          <w:tab w:leader="none" w:pos="95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40" w:firstLine="777"/>
        <w:spacing w:after="0" w:line="279" w:lineRule="auto"/>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Date: February 28, 2023</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H</w:t>
      </w:r>
      <w:r>
        <w:rPr>
          <w:rFonts w:ascii="Arial" w:cs="Arial" w:eastAsia="Arial" w:hAnsi="Arial"/>
          <w:sz w:val="13"/>
          <w:szCs w:val="13"/>
          <w:color w:val="auto"/>
        </w:rPr>
        <w:t>OWARD</w:t>
      </w:r>
      <w:r>
        <w:rPr>
          <w:rFonts w:ascii="Arial" w:cs="Arial" w:eastAsia="Arial" w:hAnsi="Arial"/>
          <w:sz w:val="17"/>
          <w:szCs w:val="17"/>
          <w:color w:val="auto"/>
        </w:rPr>
        <w:t xml:space="preserve"> W. R</w:t>
      </w:r>
      <w:r>
        <w:rPr>
          <w:rFonts w:ascii="Arial" w:cs="Arial" w:eastAsia="Arial" w:hAnsi="Arial"/>
          <w:sz w:val="13"/>
          <w:szCs w:val="13"/>
          <w:color w:val="auto"/>
        </w:rPr>
        <w: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35528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Howard W. Robin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Chief Executive Officer, President and Director</w:t>
      </w:r>
    </w:p>
    <w:p>
      <w:pPr>
        <w:sectPr>
          <w:pgSz w:w="11900" w:h="16838" w:orient="portrait"/>
          <w:cols w:equalWidth="0" w:num="1">
            <w:col w:w="11240"/>
          </w:cols>
          <w:pgMar w:left="320" w:top="1023"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I, Jillian B. Thomsen, certify that:</w:t>
      </w:r>
    </w:p>
    <w:p>
      <w:pPr>
        <w:spacing w:after="0" w:line="100" w:lineRule="exact"/>
        <w:rPr>
          <w:sz w:val="20"/>
          <w:szCs w:val="20"/>
          <w:color w:val="auto"/>
        </w:rPr>
      </w:pPr>
    </w:p>
    <w:p>
      <w:pPr>
        <w:ind w:left="940" w:hanging="163"/>
        <w:spacing w:after="0"/>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Nektar Therapeutics for the year ended December 31, 2022;</w:t>
      </w:r>
    </w:p>
    <w:p>
      <w:pPr>
        <w:spacing w:after="0" w:line="113" w:lineRule="exact"/>
        <w:rPr>
          <w:rFonts w:ascii="Arial" w:cs="Arial" w:eastAsia="Arial" w:hAnsi="Arial"/>
          <w:sz w:val="17"/>
          <w:szCs w:val="17"/>
          <w:color w:val="auto"/>
        </w:rPr>
      </w:pPr>
    </w:p>
    <w:p>
      <w:pPr>
        <w:ind w:right="300" w:firstLine="777"/>
        <w:spacing w:after="0" w:line="349" w:lineRule="auto"/>
        <w:tabs>
          <w:tab w:leader="none" w:pos="945"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5"/>
          <w:szCs w:val="15"/>
          <w:color w:val="auto"/>
        </w:rPr>
      </w:pPr>
    </w:p>
    <w:p>
      <w:pPr>
        <w:ind w:right="300" w:firstLine="777"/>
        <w:spacing w:after="0" w:line="279" w:lineRule="auto"/>
        <w:tabs>
          <w:tab w:leader="none" w:pos="9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ind w:right="300" w:firstLine="777"/>
        <w:spacing w:after="0" w:line="266" w:lineRule="auto"/>
        <w:tabs>
          <w:tab w:leader="none" w:pos="9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sz w:val="20"/>
          <w:szCs w:val="20"/>
          <w:color w:val="auto"/>
        </w:rPr>
      </w:pPr>
    </w:p>
    <w:p>
      <w:pPr>
        <w:ind w:right="60" w:firstLine="777"/>
        <w:spacing w:after="0" w:line="266" w:lineRule="auto"/>
        <w:tabs>
          <w:tab w:leader="none" w:pos="95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jc w:val="both"/>
        <w:ind w:right="20" w:firstLine="777"/>
        <w:spacing w:after="0" w:line="266"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80" w:firstLine="777"/>
        <w:spacing w:after="0" w:line="279" w:lineRule="auto"/>
        <w:tabs>
          <w:tab w:leader="none" w:pos="95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7"/>
          <w:szCs w:val="17"/>
          <w:color w:val="auto"/>
        </w:rPr>
      </w:pPr>
    </w:p>
    <w:p>
      <w:pPr>
        <w:jc w:val="both"/>
        <w:ind w:right="100" w:firstLine="777"/>
        <w:spacing w:after="0" w:line="266"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2" w:lineRule="exact"/>
        <w:rPr>
          <w:sz w:val="20"/>
          <w:szCs w:val="20"/>
          <w:color w:val="auto"/>
        </w:rPr>
      </w:pPr>
    </w:p>
    <w:p>
      <w:pPr>
        <w:ind w:firstLine="777"/>
        <w:spacing w:after="0" w:line="279" w:lineRule="auto"/>
        <w:tabs>
          <w:tab w:leader="none" w:pos="94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777"/>
        <w:spacing w:after="0" w:line="279" w:lineRule="auto"/>
        <w:tabs>
          <w:tab w:leader="none" w:pos="95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40" w:firstLine="777"/>
        <w:spacing w:after="0" w:line="279" w:lineRule="auto"/>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2023</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ILLIAN</w:t>
      </w:r>
      <w:r>
        <w:rPr>
          <w:rFonts w:ascii="Arial" w:cs="Arial" w:eastAsia="Arial" w:hAnsi="Arial"/>
          <w:sz w:val="17"/>
          <w:szCs w:val="17"/>
          <w:color w:val="auto"/>
        </w:rPr>
        <w:t xml:space="preserve"> B. T</w:t>
      </w:r>
      <w:r>
        <w:rPr>
          <w:rFonts w:ascii="Arial" w:cs="Arial" w:eastAsia="Arial" w:hAnsi="Arial"/>
          <w:sz w:val="13"/>
          <w:szCs w:val="13"/>
          <w:color w:val="auto"/>
        </w:rPr>
        <w: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35528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Jillian B. Thomsen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Senior Vice President, Chief Financial Officer and Chief Accounting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Officer</w:t>
      </w:r>
    </w:p>
    <w:p>
      <w:pPr>
        <w:sectPr>
          <w:pgSz w:w="11900" w:h="16838" w:orient="portrait"/>
          <w:cols w:equalWidth="0" w:num="1">
            <w:col w:w="11240"/>
          </w:cols>
          <w:pgMar w:left="320" w:top="102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CERTIFICATIONS*</w:t>
      </w:r>
    </w:p>
    <w:p>
      <w:pPr>
        <w:spacing w:after="0" w:line="223" w:lineRule="exact"/>
        <w:rPr>
          <w:sz w:val="20"/>
          <w:szCs w:val="20"/>
          <w:color w:val="auto"/>
        </w:rPr>
      </w:pPr>
    </w:p>
    <w:p>
      <w:pPr>
        <w:ind w:right="20" w:firstLine="773"/>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 1350), Howard W. Robin, Chief Executive Officer, President and Director of Nektar Therapeutics (the “Company”), and Jillian B. Thomsen, Senior Vice President, Chief Financial Officer and Chief Accounting Officer of the Company, each hereby certifies that, to the best of his or her knowledge:</w:t>
      </w:r>
    </w:p>
    <w:p>
      <w:pPr>
        <w:spacing w:after="0" w:line="152" w:lineRule="exact"/>
        <w:rPr>
          <w:sz w:val="20"/>
          <w:szCs w:val="20"/>
          <w:color w:val="auto"/>
        </w:rPr>
      </w:pPr>
    </w:p>
    <w:p>
      <w:pPr>
        <w:ind w:right="340" w:firstLine="777"/>
        <w:spacing w:after="0" w:line="312" w:lineRule="auto"/>
        <w:tabs>
          <w:tab w:leader="none" w:pos="94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2022, to which this Certification is attached as Exhibit 32.1 (the “Annual Report”), fully complies with the requirements of Section 13(a) or 15(d) of the Securities Exchange Act of 1934, as amended; and</w:t>
      </w:r>
    </w:p>
    <w:p>
      <w:pPr>
        <w:spacing w:after="0" w:line="101" w:lineRule="exact"/>
        <w:rPr>
          <w:rFonts w:ascii="Arial" w:cs="Arial" w:eastAsia="Arial" w:hAnsi="Arial"/>
          <w:sz w:val="16"/>
          <w:szCs w:val="16"/>
          <w:color w:val="auto"/>
        </w:rPr>
      </w:pPr>
    </w:p>
    <w:p>
      <w:pPr>
        <w:ind w:right="520" w:firstLine="777"/>
        <w:spacing w:after="0" w:line="279" w:lineRule="auto"/>
        <w:tabs>
          <w:tab w:leader="none" w:pos="94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Annual Report fairly presents, in all material respects, the financial condition and results of operations of the Company for the period covered by the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28,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/s/ H</w:t>
            </w:r>
            <w:r>
              <w:rPr>
                <w:rFonts w:ascii="Arial" w:cs="Arial" w:eastAsia="Arial" w:hAnsi="Arial"/>
                <w:sz w:val="13"/>
                <w:szCs w:val="13"/>
                <w:color w:val="auto"/>
              </w:rPr>
              <w:t>OWARD</w:t>
            </w:r>
            <w:r>
              <w:rPr>
                <w:rFonts w:ascii="Arial" w:cs="Arial" w:eastAsia="Arial" w:hAnsi="Arial"/>
                <w:sz w:val="17"/>
                <w:szCs w:val="17"/>
                <w:color w:val="auto"/>
              </w:rPr>
              <w:t xml:space="preserve"> W. R</w:t>
            </w:r>
            <w:r>
              <w:rPr>
                <w:rFonts w:ascii="Arial" w:cs="Arial" w:eastAsia="Arial" w:hAnsi="Arial"/>
                <w:sz w:val="13"/>
                <w:szCs w:val="13"/>
                <w:color w:val="auto"/>
              </w:rPr>
              <w:t>OBIN</w:t>
            </w:r>
          </w:p>
        </w:tc>
        <w:tc>
          <w:tcPr>
            <w:tcW w:w="4520" w:type="dxa"/>
            <w:vAlign w:val="bottom"/>
          </w:tcPr>
          <w:p>
            <w:pPr>
              <w:ind w:left="20"/>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ILLIAN</w:t>
            </w:r>
            <w:r>
              <w:rPr>
                <w:rFonts w:ascii="Arial" w:cs="Arial" w:eastAsia="Arial" w:hAnsi="Arial"/>
                <w:sz w:val="17"/>
                <w:szCs w:val="17"/>
                <w:color w:val="auto"/>
              </w:rPr>
              <w:t xml:space="preserve"> B. T</w:t>
            </w:r>
            <w:r>
              <w:rPr>
                <w:rFonts w:ascii="Arial" w:cs="Arial" w:eastAsia="Arial" w:hAnsi="Arial"/>
                <w:sz w:val="13"/>
                <w:szCs w:val="13"/>
                <w:color w:val="auto"/>
              </w:rPr>
              <w:t>HOMSEN</w:t>
            </w:r>
          </w:p>
        </w:tc>
      </w:tr>
      <w:tr>
        <w:trPr>
          <w:trHeight w:val="214"/>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Howard W. Robin</w:t>
            </w:r>
          </w:p>
        </w:tc>
        <w:tc>
          <w:tcPr>
            <w:tcW w:w="2180" w:type="dxa"/>
            <w:vAlign w:val="bottom"/>
          </w:tcPr>
          <w:p>
            <w:pPr>
              <w:spacing w:after="0"/>
              <w:rPr>
                <w:sz w:val="18"/>
                <w:szCs w:val="18"/>
                <w:color w:val="auto"/>
              </w:rPr>
            </w:pPr>
          </w:p>
        </w:tc>
        <w:tc>
          <w:tcPr>
            <w:tcW w:w="45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Jillian B. Thomsen</w:t>
            </w:r>
          </w:p>
        </w:tc>
      </w:tr>
      <w:tr>
        <w:trPr>
          <w:trHeight w:val="173"/>
        </w:trPr>
        <w:tc>
          <w:tcPr>
            <w:tcW w:w="6700" w:type="dxa"/>
            <w:vAlign w:val="bottom"/>
            <w:gridSpan w:val="2"/>
          </w:tcPr>
          <w:p>
            <w:pPr>
              <w:ind w:left="20"/>
              <w:spacing w:after="0" w:line="173" w:lineRule="exact"/>
              <w:rPr>
                <w:sz w:val="20"/>
                <w:szCs w:val="20"/>
                <w:color w:val="auto"/>
              </w:rPr>
            </w:pPr>
            <w:r>
              <w:rPr>
                <w:rFonts w:ascii="Arial" w:cs="Arial" w:eastAsia="Arial" w:hAnsi="Arial"/>
                <w:sz w:val="17"/>
                <w:szCs w:val="17"/>
                <w:b w:val="1"/>
                <w:bCs w:val="1"/>
                <w:color w:val="auto"/>
              </w:rPr>
              <w:t>Chief Executive Officer, President and Director</w:t>
            </w:r>
          </w:p>
        </w:tc>
        <w:tc>
          <w:tcPr>
            <w:tcW w:w="4520" w:type="dxa"/>
            <w:vAlign w:val="bottom"/>
          </w:tcPr>
          <w:p>
            <w:pPr>
              <w:ind w:left="20"/>
              <w:spacing w:after="0" w:line="173" w:lineRule="exact"/>
              <w:rPr>
                <w:sz w:val="20"/>
                <w:szCs w:val="20"/>
                <w:color w:val="auto"/>
              </w:rPr>
            </w:pPr>
            <w:r>
              <w:rPr>
                <w:rFonts w:ascii="Arial" w:cs="Arial" w:eastAsia="Arial" w:hAnsi="Arial"/>
                <w:sz w:val="17"/>
                <w:szCs w:val="17"/>
                <w:b w:val="1"/>
                <w:bCs w:val="1"/>
                <w:color w:val="auto"/>
              </w:rPr>
              <w:t>Senior Vice President, Chief Financial Officer and Chief</w:t>
            </w:r>
          </w:p>
        </w:tc>
      </w:tr>
      <w:tr>
        <w:trPr>
          <w:trHeight w:val="223"/>
        </w:trPr>
        <w:tc>
          <w:tcPr>
            <w:tcW w:w="4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7"/>
                <w:szCs w:val="17"/>
                <w:b w:val="1"/>
                <w:bCs w:val="1"/>
                <w:color w:val="auto"/>
              </w:rPr>
              <w:t>Accounting Officer</w:t>
            </w:r>
          </w:p>
        </w:tc>
      </w:tr>
    </w:tbl>
    <w:p>
      <w:pPr>
        <w:spacing w:after="0" w:line="293" w:lineRule="exact"/>
        <w:rPr>
          <w:sz w:val="20"/>
          <w:szCs w:val="20"/>
          <w:color w:val="auto"/>
        </w:rPr>
      </w:pPr>
    </w:p>
    <w:p>
      <w:pPr>
        <w:ind w:left="780" w:hanging="777"/>
        <w:spacing w:after="0" w:line="318" w:lineRule="auto"/>
        <w:tabs>
          <w:tab w:leader="none" w:pos="261"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0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lvl w:ilvl="1">
      <w:lvlJc w:val="left"/>
      <w:lvlText w:val="◦"/>
      <w:numFmt w:val="bullet"/>
      <w:start w:val="1"/>
    </w:lvl>
  </w:abstractNum>
  <w:abstractNum w:abstractNumId="3">
    <w:nsid w:val="6CEAF087"/>
    <w:multiLevelType w:val="hybridMultilevel"/>
    <w:lvl w:ilvl="0">
      <w:lvlJc w:val="left"/>
      <w:lvlText w:val="•"/>
      <w:numFmt w:val="bullet"/>
      <w:start w:val="1"/>
    </w:lvl>
    <w:lvl w:ilvl="1">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450"/>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2"/>
    </w:lvl>
  </w:abstractNum>
  <w:abstractNum w:abstractNumId="44">
    <w:nsid w:val="12E685FB"/>
    <w:multiLevelType w:val="hybridMultilevel"/>
    <w:lvl w:ilvl="0">
      <w:lvlJc w:val="left"/>
      <w:lvlText w:val="(%1)"/>
      <w:numFmt w:val="decimal"/>
      <w:start w:val="3"/>
    </w:lvl>
  </w:abstractNum>
  <w:abstractNum w:abstractNumId="45">
    <w:nsid w:val="70C6A529"/>
    <w:multiLevelType w:val="hybridMultilevel"/>
    <w:lvl w:ilvl="0">
      <w:lvlJc w:val="left"/>
      <w:lvlText w:val="%1"/>
      <w:numFmt w:val="decimal"/>
      <w:start w:val="24"/>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3"/>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5" Type="http://schemas.openxmlformats.org/officeDocument/2006/relationships/image" Target="media/image147.png"/><Relationship Id="rId184"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154" Type="http://schemas.openxmlformats.org/officeDocument/2006/relationships/hyperlink" Target="http://www.sec.gov/Archives/edgar/data/906709/0001047469-98-031070.txt" TargetMode="External"/><Relationship Id="rId155" Type="http://schemas.openxmlformats.org/officeDocument/2006/relationships/hyperlink" Target="http://www.sec.gov/Archives/edgar/data/906709/000091205700037283/ex-3_3.txt" TargetMode="External"/><Relationship Id="rId156" Type="http://schemas.openxmlformats.org/officeDocument/2006/relationships/hyperlink" Target="http://www.sec.gov/Archives/edgar/data/906709/000104746903002325/a2101294zex-3_1.htm" TargetMode="External"/><Relationship Id="rId157" Type="http://schemas.openxmlformats.org/officeDocument/2006/relationships/hyperlink" Target="http://www.sec.gov/Archives/edgar/data/906709/000114420410011093/v176023_ex3-6.htm" TargetMode="External"/><Relationship Id="rId158" Type="http://schemas.openxmlformats.org/officeDocument/2006/relationships/hyperlink" Target="https://www.sec.gov/Archives/edgar/data/906709/000121390022080498/ea170222ex3-1_nektartherap.htm" TargetMode="External"/><Relationship Id="rId159" Type="http://schemas.openxmlformats.org/officeDocument/2006/relationships/hyperlink" Target="https://www.sec.gov/Archives/edgar/data/906709/000121390020043821/ea132008ex3-1_nektartherap.htm" TargetMode="External"/><Relationship Id="rId160" Type="http://schemas.openxmlformats.org/officeDocument/2006/relationships/hyperlink" Target="http://www.sec.gov/Archives/edgar/data/906709/000104746903002325/a2101294zex-4_1.htm" TargetMode="External"/><Relationship Id="rId161" Type="http://schemas.openxmlformats.org/officeDocument/2006/relationships/hyperlink" Target="http://www.sec.gov/Archives/edgar/data/906709/000161577415002842/s101972_ex10-2.htm" TargetMode="External"/><Relationship Id="rId162" Type="http://schemas.openxmlformats.org/officeDocument/2006/relationships/hyperlink" Target="https://www.sec.gov/Archives/edgar/data/906709/000090670920000004/nktr20191231ex44.htm" TargetMode="External"/><Relationship Id="rId163" Type="http://schemas.openxmlformats.org/officeDocument/2006/relationships/hyperlink" Target="http://www.sec.gov/Archives/edgar/data/906709/000119312512089389/d262604dex107.htm" TargetMode="External"/><Relationship Id="rId164" Type="http://schemas.openxmlformats.org/officeDocument/2006/relationships/hyperlink" Target="http://www.sec.gov/Archives/edgar/data/906709/000119312512089389/d262604dex108.htm" TargetMode="External"/><Relationship Id="rId166" Type="http://schemas.openxmlformats.org/officeDocument/2006/relationships/hyperlink" Target="http://www.sec.gov/Archives/edgar/data/906709/000161577415001516/s101346_ex10-1.htm" TargetMode="External"/><Relationship Id="rId167" Type="http://schemas.openxmlformats.org/officeDocument/2006/relationships/hyperlink" Target="http://www.sec.gov/Archives/edgar/data/906709/000161577415003667/s102370_ex10-1.htm" TargetMode="External"/><Relationship Id="rId168" Type="http://schemas.openxmlformats.org/officeDocument/2006/relationships/hyperlink" Target="https://www.sec.gov/Archives/edgar/data/906709/000090670922000014/nktr2022-06x30xexx101ar201.htm#i7b0c4c07e114409f9b9c3f6a9592b777_1" TargetMode="External"/><Relationship Id="rId169" Type="http://schemas.openxmlformats.org/officeDocument/2006/relationships/hyperlink" Target="http://www.sec.gov/Archives/edgar/data/906709/000156459019005639/nktr-ex109_7.htm" TargetMode="External"/><Relationship Id="rId170" Type="http://schemas.openxmlformats.org/officeDocument/2006/relationships/hyperlink" Target="https://www.sec.gov/Archives/edgar/data/906709/000090670920000014/nktr-2020x06x30xexx102.htm" TargetMode="External"/><Relationship Id="rId171" Type="http://schemas.openxmlformats.org/officeDocument/2006/relationships/hyperlink" Target="https://www.sec.gov/Archives/edgar/data/0000906709/000090670920000009/nktr2020-03x31ex101.htm" TargetMode="External"/><Relationship Id="rId172" Type="http://schemas.openxmlformats.org/officeDocument/2006/relationships/hyperlink" Target="http://www.sec.gov/Archives/edgar/data/906709/000110465904022735/a04-8706_1ex10d4.htm" TargetMode="External"/><Relationship Id="rId173" Type="http://schemas.openxmlformats.org/officeDocument/2006/relationships/hyperlink" Target="http://www.sec.gov/Archives/edgar/data/906709/000119312507240872/dex104.htm" TargetMode="External"/><Relationship Id="rId174" Type="http://schemas.openxmlformats.org/officeDocument/2006/relationships/hyperlink" Target="http://www.sec.gov/Archives/edgar/data/906709/000136231009003350/c82049exv10w26.htm" TargetMode="External"/><Relationship Id="rId175" Type="http://schemas.openxmlformats.org/officeDocument/2006/relationships/hyperlink" Target="http://www.sec.gov/Archives/edgar/data/906709/000136231009003350/c82049exv10w27.htm" TargetMode="External"/><Relationship Id="rId176" Type="http://schemas.openxmlformats.org/officeDocument/2006/relationships/hyperlink" Target="http://www.sec.gov/Archives/edgar/data/906709/000095012311020657/f57959exv10w22.htm" TargetMode="External"/><Relationship Id="rId177" Type="http://schemas.openxmlformats.org/officeDocument/2006/relationships/hyperlink" Target="https://www.sec.gov/Archives/edgar/data/906709/000090670920000004/nktr20191231ex1017.htm" TargetMode="External"/><Relationship Id="rId178" Type="http://schemas.openxmlformats.org/officeDocument/2006/relationships/hyperlink" Target="http://www.sec.gov/Archives/edgar/data/906709/000090670919000010/nktr2019-09x30xexx101.htm" TargetMode="External"/><Relationship Id="rId179" Type="http://schemas.openxmlformats.org/officeDocument/2006/relationships/hyperlink" Target="https://www.sec.gov/Archives/edgar/data/906709/000090670920000004/nktr20191231ex1019.htm" TargetMode="External"/><Relationship Id="rId180" Type="http://schemas.openxmlformats.org/officeDocument/2006/relationships/hyperlink" Target="http://www.sec.gov/Archives/edgar/data/906709/000119312507240872/dex108.htm" TargetMode="External"/><Relationship Id="rId181" Type="http://schemas.openxmlformats.org/officeDocument/2006/relationships/hyperlink" Target="http://www.sec.gov/Archives/edgar/data/906709/000156459017022445/nktr-ex102_237.htm" TargetMode="External"/><Relationship Id="rId182" Type="http://schemas.openxmlformats.org/officeDocument/2006/relationships/hyperlink" Target="http://www.sec.gov/Archives/edgar/data/906709/000119312506167850/dex102.htm" TargetMode="External"/><Relationship Id="rId183" Type="http://schemas.openxmlformats.org/officeDocument/2006/relationships/hyperlink" Target="http://www.sec.gov/Archives/edgar/data/906709/000136231009003350/c82049exv10w34.htm" TargetMode="External"/><Relationship Id="rId185" Type="http://schemas.openxmlformats.org/officeDocument/2006/relationships/hyperlink" Target="http://www.sec.gov/Archives/edgar/data/906709/000136231009003350/c82049exv10w35.htm" TargetMode="External"/><Relationship Id="rId186" Type="http://schemas.openxmlformats.org/officeDocument/2006/relationships/hyperlink" Target="http://www.sec.gov/Archives/edgar/data/906709/000095012311020657/f57959exv10w31.htm" TargetMode="External"/><Relationship Id="rId187" Type="http://schemas.openxmlformats.org/officeDocument/2006/relationships/hyperlink" Target="http://www.sec.gov/Archives/edgar/data/906709/000114420409056637/v164533_ex10-1.htm" TargetMode="External"/><Relationship Id="rId188" Type="http://schemas.openxmlformats.org/officeDocument/2006/relationships/hyperlink" Target="http://www.sec.gov/Archives/edgar/data/906709/000156459016022647/nktr-ex101_193.htm" TargetMode="External"/><Relationship Id="rId189" Type="http://schemas.openxmlformats.org/officeDocument/2006/relationships/hyperlink" Target="http://www.sec.gov/Archives/edgar/data/906709/000156459017022445/nktr-ex101_179.htm" TargetMode="External"/><Relationship Id="rId190" Type="http://schemas.openxmlformats.org/officeDocument/2006/relationships/hyperlink" Target="http://www.sec.gov/Archives/edgar/data/906709/000161577415002842/s101972_ex10-1.htm" TargetMode="External"/><Relationship Id="rId191" Type="http://schemas.openxmlformats.org/officeDocument/2006/relationships/hyperlink" Target="http://www.sec.gov/Archives/edgar/data/906709/000161577415002842/s101972_ex10-3.htm" TargetMode="External"/><Relationship Id="rId192" Type="http://schemas.openxmlformats.org/officeDocument/2006/relationships/hyperlink" Target="http://www.sec.gov/Archives/edgar/data/906709/000119312512209441/d311622dex101.htm" TargetMode="External"/><Relationship Id="rId193" Type="http://schemas.openxmlformats.org/officeDocument/2006/relationships/hyperlink" Target="http://www.sec.gov/Archives/edgar/data/906709/000119312513433110/d594595dex101.htm" TargetMode="External"/><Relationship Id="rId194" Type="http://schemas.openxmlformats.org/officeDocument/2006/relationships/hyperlink" Target="http://www.sec.gov/Archives/edgar/data/906709/000156459018012975/nktr-ex41_103.htm" TargetMode="External"/><Relationship Id="rId195" Type="http://schemas.openxmlformats.org/officeDocument/2006/relationships/hyperlink" Target="http://www.sec.gov/Archives/edgar/data/906709/000156459018012975/nktr-ex101_104.htm" TargetMode="External"/><Relationship Id="rId196" Type="http://schemas.openxmlformats.org/officeDocument/2006/relationships/hyperlink" Target="https://www.sec.gov/Archives/edgar/data/0000906709/000090670921000005/nktr20201231-exx1035.htm" TargetMode="External"/><Relationship Id="rId197" Type="http://schemas.openxmlformats.org/officeDocument/2006/relationships/hyperlink" Target="https://www.sec.gov/Archives/edgar/data/906709/000090670920000004/nktr20191213ex1035.htm" TargetMode="External"/><Relationship Id="rId198" Type="http://schemas.openxmlformats.org/officeDocument/2006/relationships/hyperlink" Target="http://www.sec.gov/Archives/edgar/data/906709/000119312518044320/d499642dex101.htm" TargetMode="External"/><Relationship Id="rId199" Type="http://schemas.openxmlformats.org/officeDocument/2006/relationships/hyperlink" Target="http://www.sec.gov/Archives/edgar/data/906709/000156459018020709/nktr-ex101_86.htm" TargetMode="External"/><Relationship Id="rId200" Type="http://schemas.openxmlformats.org/officeDocument/2006/relationships/hyperlink" Target="https://www.sec.gov/Archives/edgar/data/906709/000090670921000005/nktr20201231-exx1039.htm" TargetMode="External"/><Relationship Id="rId201" Type="http://schemas.openxmlformats.org/officeDocument/2006/relationships/hyperlink" Target="https://www.sec.gov/Archives/edgar/data/906709/000090670922000005/nktr20211231-exx1040.htm" TargetMode="External"/><Relationship Id="rId202" Type="http://schemas.openxmlformats.org/officeDocument/2006/relationships/hyperlink" Target="https://www.sec.gov/Archives/edgar/data/906709/000090670922000014/nktr2022-06x30xexx102nort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2023-03-01T00:46:15Z</dcterms:created>
  <dcterms:modified xsi:type="dcterms:W3CDTF">2023-03-01T00:46:15Z</dcterms:modified>
</cp:coreProperties>
</file>