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798-8k_nektar.htm"/>
      <w:bookmarkStart w:id="1" w:name="ksea03047988k_nekta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90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405"/>
        <w:gridCol w:w="60"/>
        <w:gridCol w:w="2300"/>
        <w:gridCol w:w="60"/>
        <w:gridCol w:w="1565"/>
      </w:tblGrid>
      <w:tr>
        <w:trPr/>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908"/>
            <w:bookmarkEnd w:id="6"/>
            <w:r>
              <w:rPr>
                <w:rFonts w:ascii="Times New Roman;Times;Serif" w:hAnsi="Times New Roman;Times;Serif"/>
                <w:b/>
                <w:sz w:val="20"/>
              </w:rPr>
              <w:t>0-24006</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94-3134940</w:t>
            </w:r>
          </w:p>
        </w:tc>
      </w:tr>
      <w:tr>
        <w:trPr/>
        <w:tc>
          <w:tcPr>
            <w:tcW w:w="240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455 Mission Bay Boulevard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San Francisco, </w:t>
      </w:r>
      <w:bookmarkStart w:id="10" w:name="xdx_904_edei--EntityAddressStateOrProvin"/>
      <w:bookmarkEnd w:id="10"/>
      <w:r>
        <w:rPr>
          <w:rFonts w:ascii="Times New Roman;Times;Serif" w:hAnsi="Times New Roman;Times;Serif"/>
          <w:b/>
          <w:i w:val="false"/>
          <w:caps w:val="false"/>
          <w:smallCaps w:val="false"/>
          <w:sz w:val="20"/>
        </w:rPr>
        <w:t xml:space="preserve">California </w:t>
      </w:r>
      <w:bookmarkStart w:id="11" w:name="xdx_906_edei--EntityAddressPostalZipCode"/>
      <w:bookmarkEnd w:id="11"/>
      <w:r>
        <w:rPr>
          <w:rFonts w:ascii="Times New Roman;Times;Serif" w:hAnsi="Times New Roman;Times;Serif"/>
          <w:b/>
          <w:i w:val="false"/>
          <w:caps w:val="false"/>
          <w:smallCaps w:val="false"/>
          <w:sz w:val="20"/>
        </w:rPr>
        <w:t>94158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F_edei--CityAreaCode_c20260908__20"/>
      <w:bookmarkEnd w:id="12"/>
      <w:r>
        <w:rPr>
          <w:rFonts w:ascii="Times New Roman;Times;Serif" w:hAnsi="Times New Roman;Times;Serif"/>
          <w:b w:val="false"/>
          <w:i w:val="false"/>
          <w:caps w:val="false"/>
          <w:smallCaps w:val="false"/>
          <w:sz w:val="20"/>
        </w:rPr>
        <w:t xml:space="preserve">415) </w:t>
      </w:r>
      <w:bookmarkStart w:id="13" w:name="xdx_90A_edei--LocalPhoneNumber_c20260908"/>
      <w:bookmarkEnd w:id="13"/>
      <w:r>
        <w:rPr>
          <w:rFonts w:ascii="Times New Roman;Times;Serif" w:hAnsi="Times New Roman;Times;Serif"/>
          <w:b w:val="false"/>
          <w:i w:val="false"/>
          <w:caps w:val="false"/>
          <w:smallCaps w:val="false"/>
          <w:sz w:val="20"/>
        </w:rPr>
        <w:t>482-5300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E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8"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28" w:type="dxa"/>
          <w:right w:w="0" w:type="dxa"/>
        </w:tblCellMar>
      </w:tblPr>
      <w:tblGrid>
        <w:gridCol w:w="2855"/>
        <w:gridCol w:w="60"/>
        <w:gridCol w:w="1580"/>
        <w:gridCol w:w="60"/>
        <w:gridCol w:w="371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6_edei--Security12bTitle_c20260908"/>
            <w:bookmarkEnd w:id="18"/>
            <w:r>
              <w:rPr>
                <w:rFonts w:ascii="Times New Roman;Times;Serif" w:hAnsi="Times New Roman;Times;Serif"/>
                <w:sz w:val="20"/>
              </w:rPr>
              <w:t>Common Stock, $0.0001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60908__2"/>
            <w:bookmarkEnd w:id="19"/>
            <w:r>
              <w:rPr>
                <w:rFonts w:ascii="Times New Roman;Times;Serif" w:hAnsi="Times New Roman;Times;Serif"/>
                <w:sz w:val="20"/>
              </w:rPr>
              <w:t>NKTR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7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Therapeutics (the “Company”) is entering a quiet period beginning September 8, 2026 and continuing until the public announcement of data from the 24-week off treatment follow-up period of its Phase 2b REZOLVE-AA study of rezpegaldesleukin in patients with severe-to-very-severe alopecia areata. The implementation of the quiet period is consistent with the Company’s prior quiet periods pertaining to the Phase 2b REZOLVE studies and planned data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is being furnished and shall not be deemed to be “filed” for the purposes of Section 18 of the Securities Exchange Act of 1934, as amended (the “Exchange Act”), or otherwise subject to the liabilities of that section and shall not be incorporated by reference in any filing under the Securities Act of 1933, as amended, or the Exchange Act, except as shall be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314" w:type="dxa"/>
        <w:jc w:val="left"/>
        <w:tblInd w:w="0" w:type="dxa"/>
        <w:tblLayout w:type="fixed"/>
        <w:tblCellMar>
          <w:top w:w="0" w:type="dxa"/>
          <w:left w:w="0" w:type="dxa"/>
          <w:bottom w:w="0" w:type="dxa"/>
          <w:right w:w="0" w:type="dxa"/>
        </w:tblCellMar>
      </w:tblPr>
      <w:tblGrid>
        <w:gridCol w:w="2030"/>
        <w:gridCol w:w="341"/>
        <w:gridCol w:w="1943"/>
      </w:tblGrid>
      <w:tr>
        <w:trPr/>
        <w:tc>
          <w:tcPr>
            <w:tcW w:w="2030" w:type="dxa"/>
            <w:tcBorders/>
            <w:vAlign w:val="center"/>
          </w:tcPr>
          <w:p>
            <w:pPr>
              <w:pStyle w:val="TableContents"/>
              <w:bidi w:val="0"/>
              <w:spacing w:before="0" w:after="283"/>
              <w:jc w:val="center"/>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NEKTAR THERAPEUTICS</w:t>
            </w:r>
          </w:p>
        </w:tc>
      </w:tr>
      <w:tr>
        <w:trPr/>
        <w:tc>
          <w:tcPr>
            <w:tcW w:w="203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Elizabeth Zhang</w:t>
            </w:r>
          </w:p>
        </w:tc>
      </w:tr>
      <w:tr>
        <w:trPr/>
        <w:tc>
          <w:tcPr>
            <w:tcW w:w="203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Zhang</w:t>
            </w:r>
          </w:p>
        </w:tc>
      </w:tr>
      <w:tr>
        <w:trPr/>
        <w:tc>
          <w:tcPr>
            <w:tcW w:w="203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Vice President, Legal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516</Words>
  <Characters>2838</Characters>
  <CharactersWithSpaces>3356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