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538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June 5, 2026</w:t>
            </w:r>
          </w:p>
        </w:tc>
        <w:tc>
          <w:tcPr>
            <w:tcW w:w="2840" w:type="dxa"/>
            <w:vAlign w:val="bottom"/>
          </w:tcPr>
          <w:p>
            <w:pPr>
              <w:spacing w:after="0"/>
              <w:rPr>
                <w:sz w:val="20"/>
                <w:szCs w:val="20"/>
                <w:color w:val="auto"/>
              </w:rPr>
            </w:pPr>
          </w:p>
        </w:tc>
      </w:tr>
      <w:tr>
        <w:trPr>
          <w:trHeight w:val="410"/>
        </w:trPr>
        <w:tc>
          <w:tcPr>
            <w:tcW w:w="3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NEKTAR THERAPEUTICS</w:t>
            </w:r>
          </w:p>
        </w:tc>
        <w:tc>
          <w:tcPr>
            <w:tcW w:w="2840" w:type="dxa"/>
            <w:vAlign w:val="bottom"/>
          </w:tcPr>
          <w:p>
            <w:pPr>
              <w:spacing w:after="0"/>
              <w:rPr>
                <w:sz w:val="24"/>
                <w:szCs w:val="24"/>
                <w:color w:val="auto"/>
              </w:rPr>
            </w:pPr>
          </w:p>
        </w:tc>
      </w:tr>
      <w:tr>
        <w:trPr>
          <w:trHeight w:val="238"/>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80" w:type="dxa"/>
            <w:vAlign w:val="bottom"/>
            <w:gridSpan w:val="4"/>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tc>
        <w:tc>
          <w:tcPr>
            <w:tcW w:w="2840" w:type="dxa"/>
            <w:vAlign w:val="bottom"/>
          </w:tcPr>
          <w:p>
            <w:pPr>
              <w:spacing w:after="0"/>
              <w:rPr>
                <w:sz w:val="20"/>
                <w:szCs w:val="20"/>
                <w:color w:val="auto"/>
              </w:rPr>
            </w:pPr>
          </w:p>
        </w:tc>
      </w:tr>
      <w:tr>
        <w:trPr>
          <w:trHeight w:val="439"/>
        </w:trPr>
        <w:tc>
          <w:tcPr>
            <w:tcW w:w="302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2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0-24006</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4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94-3134940</w:t>
            </w:r>
          </w:p>
        </w:tc>
      </w:tr>
      <w:tr>
        <w:trPr>
          <w:trHeight w:val="194"/>
        </w:trPr>
        <w:tc>
          <w:tcPr>
            <w:tcW w:w="3020" w:type="dxa"/>
            <w:vAlign w:val="bottom"/>
            <w:tcBorders>
              <w:top w:val="single" w:sz="8" w:color="auto"/>
            </w:tcBorders>
          </w:tcPr>
          <w:p>
            <w:pPr>
              <w:jc w:val="center"/>
              <w:ind w:left="47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6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840" w:type="dxa"/>
            <w:vAlign w:val="bottom"/>
            <w:tcBorders>
              <w:top w:val="single" w:sz="8" w:color="auto"/>
            </w:tcBorders>
          </w:tcPr>
          <w:p>
            <w:pPr>
              <w:jc w:val="center"/>
              <w:ind w:right="6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02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4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3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455 Mission Bay Boulevard South</w:t>
            </w:r>
          </w:p>
        </w:tc>
        <w:tc>
          <w:tcPr>
            <w:tcW w:w="2840" w:type="dxa"/>
            <w:vAlign w:val="bottom"/>
          </w:tcPr>
          <w:p>
            <w:pPr>
              <w:spacing w:after="0"/>
              <w:rPr>
                <w:sz w:val="24"/>
                <w:szCs w:val="24"/>
                <w:color w:val="auto"/>
              </w:rPr>
            </w:pPr>
          </w:p>
        </w:tc>
      </w:tr>
      <w:tr>
        <w:trPr>
          <w:trHeight w:val="216"/>
        </w:trPr>
        <w:tc>
          <w:tcPr>
            <w:tcW w:w="3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San Francisco, California 94158</w:t>
            </w:r>
          </w:p>
        </w:tc>
        <w:tc>
          <w:tcPr>
            <w:tcW w:w="2840" w:type="dxa"/>
            <w:vAlign w:val="bottom"/>
          </w:tcPr>
          <w:p>
            <w:pPr>
              <w:spacing w:after="0"/>
              <w:rPr>
                <w:sz w:val="18"/>
                <w:szCs w:val="18"/>
                <w:color w:val="auto"/>
              </w:rPr>
            </w:pPr>
          </w:p>
        </w:tc>
      </w:tr>
      <w:tr>
        <w:trPr>
          <w:trHeight w:val="238"/>
        </w:trPr>
        <w:tc>
          <w:tcPr>
            <w:tcW w:w="3020" w:type="dxa"/>
            <w:vAlign w:val="bottom"/>
          </w:tcPr>
          <w:p>
            <w:pPr>
              <w:spacing w:after="0"/>
              <w:rPr>
                <w:sz w:val="20"/>
                <w:szCs w:val="20"/>
                <w:color w:val="auto"/>
              </w:rPr>
            </w:pPr>
          </w:p>
        </w:tc>
        <w:tc>
          <w:tcPr>
            <w:tcW w:w="538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and Zip Code)</w:t>
            </w:r>
          </w:p>
        </w:tc>
        <w:tc>
          <w:tcPr>
            <w:tcW w:w="2840" w:type="dxa"/>
            <w:vAlign w:val="bottom"/>
          </w:tcPr>
          <w:p>
            <w:pPr>
              <w:spacing w:after="0"/>
              <w:rPr>
                <w:sz w:val="20"/>
                <w:szCs w:val="20"/>
                <w:color w:val="auto"/>
              </w:rPr>
            </w:pPr>
          </w:p>
        </w:tc>
      </w:tr>
      <w:tr>
        <w:trPr>
          <w:trHeight w:val="432"/>
        </w:trPr>
        <w:tc>
          <w:tcPr>
            <w:tcW w:w="3020" w:type="dxa"/>
            <w:vAlign w:val="bottom"/>
          </w:tcPr>
          <w:p>
            <w:pPr>
              <w:spacing w:after="0"/>
              <w:rPr>
                <w:sz w:val="24"/>
                <w:szCs w:val="24"/>
                <w:color w:val="auto"/>
              </w:rPr>
            </w:pPr>
          </w:p>
        </w:tc>
        <w:tc>
          <w:tcPr>
            <w:tcW w:w="538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(415) 482-5300</w:t>
            </w:r>
          </w:p>
        </w:tc>
        <w:tc>
          <w:tcPr>
            <w:tcW w:w="2840" w:type="dxa"/>
            <w:vAlign w:val="bottom"/>
          </w:tcPr>
          <w:p>
            <w:pPr>
              <w:spacing w:after="0"/>
              <w:rPr>
                <w:sz w:val="24"/>
                <w:szCs w:val="24"/>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48" w:lineRule="exact"/>
        <w:rPr>
          <w:rFonts w:ascii="MS PGothic" w:cs="MS PGothic" w:eastAsia="MS PGothic" w:hAnsi="MS PGothic"/>
          <w:sz w:val="20"/>
          <w:szCs w:val="20"/>
          <w:color w:val="auto"/>
        </w:rPr>
      </w:pPr>
    </w:p>
    <w:p>
      <w:pPr>
        <w:ind w:left="340" w:hanging="332"/>
        <w:spacing w:after="0"/>
        <w:tabs>
          <w:tab w:leader="none" w:pos="3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48" w:lineRule="exact"/>
        <w:rPr>
          <w:rFonts w:ascii="MS PGothic" w:cs="MS PGothic" w:eastAsia="MS PGothic" w:hAnsi="MS PGothic"/>
          <w:sz w:val="20"/>
          <w:szCs w:val="20"/>
          <w:color w:val="auto"/>
        </w:rPr>
      </w:pPr>
    </w:p>
    <w:p>
      <w:pPr>
        <w:ind w:left="340" w:hanging="332"/>
        <w:spacing w:after="0"/>
        <w:tabs>
          <w:tab w:leader="none" w:pos="3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68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6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center"/>
              <w:ind w:right="750"/>
              <w:spacing w:after="0"/>
              <w:rPr>
                <w:sz w:val="20"/>
                <w:szCs w:val="20"/>
                <w:color w:val="auto"/>
              </w:rPr>
            </w:pPr>
            <w:r>
              <w:rPr>
                <w:rFonts w:ascii="Times New Roman" w:cs="Times New Roman" w:eastAsia="Times New Roman" w:hAnsi="Times New Roman"/>
                <w:sz w:val="18"/>
                <w:szCs w:val="18"/>
                <w:color w:val="auto"/>
                <w:w w:val="97"/>
              </w:rPr>
              <w:t>NKTR</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Annual Meeting of the Stockholders of Nektar Therapeutics, a Delaware corporation (the “Company”), held on June 4, 2026 (the “Annual Meeting”), the following actions were taken. The proposals below are described in detail in the Company’s definitive proxy statement for the Annual Meeting filed with the Securities and Exchange Commission on April 24,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individual listed below was elected, by a majority of the votes cast at the Annual Meeting and entitled to vote on the election of directors, to serve on the board of directors of the Company (the “Board”) until the Company’s 2029 Annual Meeting of Stockholders.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Nominee</w:t>
            </w:r>
          </w:p>
        </w:tc>
        <w:tc>
          <w:tcPr>
            <w:tcW w:w="14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For</w:t>
            </w: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Against</w:t>
            </w:r>
          </w:p>
        </w:tc>
        <w:tc>
          <w:tcPr>
            <w:tcW w:w="1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Abstain</w:t>
            </w: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16"/>
        </w:trPr>
        <w:tc>
          <w:tcPr>
            <w:tcW w:w="5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Howard W. Robin</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13,164,879</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4,975,288</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286,175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4,588,835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directors elected above, Jeffrey Ajer, Diana Brainard, Robert Chess, R. Scott Greer and Roy Whitfield continue to serve as directors after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proposal to approve an amendment to the Amended and Restated 2017 Performance Incentive Plan to increase the aggregate number of shares of common stock authorized for issuance thereunder by 3,000,000 shares was approved with the following votes.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For</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Against</w:t>
            </w:r>
          </w:p>
        </w:tc>
        <w:tc>
          <w:tcPr>
            <w:tcW w:w="28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Abstain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16"/>
        </w:trPr>
        <w:tc>
          <w:tcPr>
            <w:tcW w:w="282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13,160,661</w:t>
            </w:r>
          </w:p>
        </w:tc>
        <w:tc>
          <w:tcPr>
            <w:tcW w:w="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4,902,925</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362,756</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4,588,835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proposal to ratify the selection of Ernst &amp; Young LLP as the Company’s independent registered public accounting firm for the fiscal year ending December 31, 2026 was approved with the following votes.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For</w:t>
            </w:r>
          </w:p>
        </w:tc>
        <w:tc>
          <w:tcPr>
            <w:tcW w:w="28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Against</w:t>
            </w:r>
          </w:p>
        </w:tc>
        <w:tc>
          <w:tcPr>
            <w:tcW w:w="28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Abstain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16"/>
        </w:trPr>
        <w:tc>
          <w:tcPr>
            <w:tcW w:w="282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22,591,556</w:t>
            </w:r>
          </w:p>
        </w:tc>
        <w:tc>
          <w:tcPr>
            <w:tcW w:w="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118,592</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305,029</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proposal to approve the non-binding advisory resolution regarding our executive compensation was approved with the following votes.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For</w:t>
            </w:r>
          </w:p>
        </w:tc>
        <w:tc>
          <w:tcPr>
            <w:tcW w:w="21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Against</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Abstain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16"/>
        </w:trPr>
        <w:tc>
          <w:tcPr>
            <w:tcW w:w="282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18,154,226</w:t>
            </w:r>
          </w:p>
        </w:tc>
        <w:tc>
          <w:tcPr>
            <w:tcW w:w="14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161,005</w:t>
            </w: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111,111</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4,588,835</w:t>
            </w:r>
          </w:p>
        </w:tc>
      </w:tr>
      <w:tr>
        <w:trPr>
          <w:trHeight w:val="655"/>
        </w:trPr>
        <w:tc>
          <w:tcPr>
            <w:tcW w:w="2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2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NEKTAR THERAPEUTICS</w:t>
      </w:r>
    </w:p>
    <w:p>
      <w:pPr>
        <w:spacing w:after="0" w:line="25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June 5, 2026</w:t>
      </w:r>
      <w:r>
        <w:rPr>
          <w:sz w:val="20"/>
          <w:szCs w:val="20"/>
          <w:color w:val="auto"/>
        </w:rPr>
        <w:tab/>
      </w:r>
      <w:r>
        <w:rPr>
          <w:rFonts w:ascii="Times New Roman" w:cs="Times New Roman" w:eastAsia="Times New Roman" w:hAnsi="Times New Roman"/>
          <w:sz w:val="18"/>
          <w:szCs w:val="18"/>
          <w:color w:val="auto"/>
        </w:rPr>
        <w:t>By: /s/ Elizabeth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Elizabeth Zhang</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Vice President, Legal</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2026-06-05T15:45:47Z</dcterms:created>
  <dcterms:modified xsi:type="dcterms:W3CDTF">2026-06-05T15:45:47Z</dcterms:modified>
</cp:coreProperties>
</file>