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p>
      <w:pPr>
        <w:spacing w:after="0" w:line="2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REPORTS PURSUANT TO SECTION 13 OR 15(d) OF THE SECURITIES EXCHANGE ACT OF 1934</w:t>
      </w:r>
    </w:p>
    <w:p>
      <w:pPr>
        <w:spacing w:after="0" w:line="207" w:lineRule="exact"/>
        <w:rPr>
          <w:sz w:val="24"/>
          <w:szCs w:val="24"/>
          <w:color w:val="auto"/>
        </w:rPr>
      </w:pPr>
    </w:p>
    <w:tbl>
      <w:tblPr>
        <w:tblLayout w:type="fixed"/>
        <w:tblInd w:w="13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99"/>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3"/>
          </w:tcPr>
          <w:p>
            <w:pPr>
              <w:jc w:val="center"/>
              <w:ind w:right="3396"/>
              <w:spacing w:after="0"/>
              <w:rPr>
                <w:sz w:val="20"/>
                <w:szCs w:val="20"/>
                <w:color w:val="auto"/>
              </w:rPr>
            </w:pPr>
            <w:r>
              <w:rPr>
                <w:rFonts w:ascii="Times New Roman" w:cs="Times New Roman" w:eastAsia="Times New Roman" w:hAnsi="Times New Roman"/>
                <w:sz w:val="18"/>
                <w:szCs w:val="18"/>
                <w:b w:val="1"/>
                <w:bCs w:val="1"/>
                <w:color w:val="auto"/>
              </w:rPr>
              <w:t>Commission File Number: 0-24006</w:t>
            </w:r>
          </w:p>
        </w:tc>
      </w:tr>
      <w:tr>
        <w:trPr>
          <w:trHeight w:val="190"/>
        </w:trPr>
        <w:tc>
          <w:tcPr>
            <w:tcW w:w="1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tc>
      </w:tr>
      <w:tr>
        <w:trPr>
          <w:trHeight w:val="541"/>
        </w:trPr>
        <w:tc>
          <w:tcPr>
            <w:tcW w:w="11040" w:type="dxa"/>
            <w:vAlign w:val="bottom"/>
            <w:gridSpan w:val="5"/>
          </w:tcPr>
          <w:p>
            <w:pPr>
              <w:jc w:val="center"/>
              <w:spacing w:after="0"/>
              <w:rPr>
                <w:sz w:val="20"/>
                <w:szCs w:val="20"/>
                <w:color w:val="auto"/>
              </w:rPr>
            </w:pPr>
            <w:r>
              <w:rPr>
                <w:rFonts w:ascii="Times New Roman" w:cs="Times New Roman" w:eastAsia="Times New Roman" w:hAnsi="Times New Roman"/>
                <w:sz w:val="41"/>
                <w:szCs w:val="41"/>
                <w:b w:val="1"/>
                <w:bCs w:val="1"/>
                <w:color w:val="auto"/>
              </w:rPr>
              <w:t>NEKTAR THERAPEUTICS</w:t>
            </w:r>
          </w:p>
        </w:tc>
      </w:tr>
      <w:tr>
        <w:trPr>
          <w:trHeight w:val="214"/>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jc w:val="center"/>
              <w:ind w:right="337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90"/>
        </w:trPr>
        <w:tc>
          <w:tcPr>
            <w:tcW w:w="11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w:t>
            </w:r>
          </w:p>
        </w:tc>
      </w:tr>
      <w:tr>
        <w:trPr>
          <w:trHeight w:val="255"/>
        </w:trPr>
        <w:tc>
          <w:tcPr>
            <w:tcW w:w="3140" w:type="dxa"/>
            <w:vAlign w:val="bottom"/>
          </w:tcPr>
          <w:p>
            <w:pPr>
              <w:jc w:val="center"/>
              <w:ind w:lef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0" w:type="dxa"/>
            <w:vAlign w:val="bottom"/>
          </w:tcPr>
          <w:p>
            <w:pPr>
              <w:jc w:val="center"/>
              <w:ind w:right="576"/>
              <w:spacing w:after="0"/>
              <w:rPr>
                <w:sz w:val="20"/>
                <w:szCs w:val="20"/>
                <w:color w:val="auto"/>
              </w:rPr>
            </w:pPr>
            <w:r>
              <w:rPr>
                <w:rFonts w:ascii="Times New Roman" w:cs="Times New Roman" w:eastAsia="Times New Roman" w:hAnsi="Times New Roman"/>
                <w:sz w:val="18"/>
                <w:szCs w:val="18"/>
                <w:b w:val="1"/>
                <w:bCs w:val="1"/>
                <w:color w:val="auto"/>
                <w:w w:val="98"/>
              </w:rPr>
              <w:t>94-3134940</w:t>
            </w:r>
          </w:p>
        </w:tc>
      </w:tr>
      <w:tr>
        <w:trPr>
          <w:trHeight w:val="146"/>
        </w:trPr>
        <w:tc>
          <w:tcPr>
            <w:tcW w:w="6440" w:type="dxa"/>
            <w:vAlign w:val="bottom"/>
            <w:gridSpan w:val="4"/>
          </w:tcPr>
          <w:p>
            <w:pPr>
              <w:jc w:val="center"/>
              <w:ind w:right="12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0" w:type="dxa"/>
            <w:vAlign w:val="bottom"/>
          </w:tcPr>
          <w:p>
            <w:pPr>
              <w:jc w:val="center"/>
              <w:ind w:right="576"/>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44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0" w:type="dxa"/>
            <w:vAlign w:val="bottom"/>
          </w:tcPr>
          <w:p>
            <w:pPr>
              <w:jc w:val="center"/>
              <w:ind w:right="57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5"/>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3"/>
          </w:tcPr>
          <w:p>
            <w:pPr>
              <w:jc w:val="center"/>
              <w:ind w:right="3396"/>
              <w:spacing w:after="0"/>
              <w:rPr>
                <w:sz w:val="20"/>
                <w:szCs w:val="20"/>
                <w:color w:val="auto"/>
              </w:rPr>
            </w:pPr>
            <w:r>
              <w:rPr>
                <w:rFonts w:ascii="Times New Roman" w:cs="Times New Roman" w:eastAsia="Times New Roman" w:hAnsi="Times New Roman"/>
                <w:sz w:val="18"/>
                <w:szCs w:val="18"/>
                <w:b w:val="1"/>
                <w:bCs w:val="1"/>
                <w:color w:val="auto"/>
                <w:w w:val="99"/>
              </w:rPr>
              <w:t>455 Mission Bay Boulevard South</w:t>
            </w:r>
          </w:p>
        </w:tc>
      </w:tr>
      <w:tr>
        <w:trPr>
          <w:trHeight w:val="214"/>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0" w:type="dxa"/>
            <w:vAlign w:val="bottom"/>
            <w:gridSpan w:val="3"/>
          </w:tcPr>
          <w:p>
            <w:pPr>
              <w:jc w:val="center"/>
              <w:ind w:right="3376"/>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94158</w:t>
            </w:r>
          </w:p>
        </w:tc>
      </w:tr>
      <w:tr>
        <w:trPr>
          <w:trHeight w:val="190"/>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0" w:type="dxa"/>
            <w:vAlign w:val="bottom"/>
            <w:gridSpan w:val="3"/>
          </w:tcPr>
          <w:p>
            <w:pPr>
              <w:jc w:val="center"/>
              <w:ind w:right="33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09"/>
        </w:trPr>
        <w:tc>
          <w:tcPr>
            <w:tcW w:w="3140" w:type="dxa"/>
            <w:vAlign w:val="bottom"/>
          </w:tcPr>
          <w:p>
            <w:pPr>
              <w:spacing w:after="0"/>
              <w:rPr>
                <w:sz w:val="24"/>
                <w:szCs w:val="24"/>
                <w:color w:val="auto"/>
              </w:rPr>
            </w:pPr>
          </w:p>
        </w:tc>
        <w:tc>
          <w:tcPr>
            <w:tcW w:w="330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415-482-5300</w:t>
            </w:r>
          </w:p>
        </w:tc>
        <w:tc>
          <w:tcPr>
            <w:tcW w:w="460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0" w:type="dxa"/>
            <w:vAlign w:val="bottom"/>
            <w:gridSpan w:val="3"/>
          </w:tcPr>
          <w:p>
            <w:pPr>
              <w:jc w:val="center"/>
              <w:ind w:right="339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66"/>
        </w:trPr>
        <w:tc>
          <w:tcPr>
            <w:tcW w:w="3140" w:type="dxa"/>
            <w:vAlign w:val="bottom"/>
            <w:tcBorders>
              <w:bottom w:val="single" w:sz="8" w:color="auto"/>
            </w:tcBorders>
          </w:tcPr>
          <w:p>
            <w:pPr>
              <w:spacing w:after="0"/>
              <w:rPr>
                <w:sz w:val="23"/>
                <w:szCs w:val="23"/>
                <w:color w:val="auto"/>
              </w:rPr>
            </w:pPr>
          </w:p>
        </w:tc>
        <w:tc>
          <w:tcPr>
            <w:tcW w:w="7900" w:type="dxa"/>
            <w:vAlign w:val="bottom"/>
            <w:tcBorders>
              <w:bottom w:val="single" w:sz="8" w:color="auto"/>
            </w:tcBorders>
            <w:gridSpan w:val="4"/>
          </w:tcPr>
          <w:p>
            <w:pPr>
              <w:jc w:val="center"/>
              <w:ind w:right="309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3"/>
        </w:trPr>
        <w:tc>
          <w:tcPr>
            <w:tcW w:w="3140" w:type="dxa"/>
            <w:vAlign w:val="bottom"/>
            <w:tcBorders>
              <w:left w:val="single" w:sz="8" w:color="auto"/>
              <w:bottom w:val="single" w:sz="8" w:color="auto"/>
            </w:tcBorders>
          </w:tcPr>
          <w:p>
            <w:pPr>
              <w:jc w:val="center"/>
              <w:ind w:left="164"/>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700" w:type="dxa"/>
            <w:vAlign w:val="bottom"/>
            <w:tcBorders>
              <w:bottom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140" w:type="dxa"/>
            <w:vAlign w:val="bottom"/>
            <w:tcBorders>
              <w:left w:val="single" w:sz="8" w:color="auto"/>
              <w:bottom w:val="single" w:sz="8" w:color="auto"/>
            </w:tcBorders>
          </w:tcPr>
          <w:p>
            <w:pPr>
              <w:jc w:val="center"/>
              <w:ind w:left="164"/>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0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NKTR</w:t>
            </w:r>
          </w:p>
        </w:tc>
        <w:tc>
          <w:tcPr>
            <w:tcW w:w="700" w:type="dxa"/>
            <w:vAlign w:val="bottom"/>
            <w:tcBorders>
              <w:bottom w:val="single" w:sz="8" w:color="auto"/>
            </w:tcBorders>
          </w:tcPr>
          <w:p>
            <w:pPr>
              <w:spacing w:after="0"/>
              <w:rPr>
                <w:sz w:val="19"/>
                <w:szCs w:val="19"/>
                <w:color w:val="auto"/>
              </w:rPr>
            </w:pPr>
          </w:p>
        </w:tc>
        <w:tc>
          <w:tcPr>
            <w:tcW w:w="4600" w:type="dxa"/>
            <w:vAlign w:val="bottom"/>
            <w:tcBorders>
              <w:bottom w:val="single" w:sz="8" w:color="auto"/>
              <w:right w:val="single" w:sz="8" w:color="auto"/>
            </w:tcBorders>
          </w:tcPr>
          <w:p>
            <w:pPr>
              <w:jc w:val="center"/>
              <w:ind w:right="656"/>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9" w:lineRule="exact"/>
        <w:rPr>
          <w:sz w:val="24"/>
          <w:szCs w:val="24"/>
          <w:color w:val="auto"/>
        </w:rPr>
      </w:pPr>
    </w:p>
    <w:p>
      <w:pPr>
        <w:ind w:right="160" w:firstLine="972"/>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firstLine="972"/>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firstLine="972"/>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1540"/>
              <w:spacing w:after="0" w:line="201" w:lineRule="exact"/>
              <w:rPr>
                <w:sz w:val="20"/>
                <w:szCs w:val="20"/>
                <w:color w:val="auto"/>
              </w:rPr>
            </w:pPr>
            <w:r>
              <w:rPr>
                <w:rFonts w:ascii="MS PGothic" w:cs="MS PGothic" w:eastAsia="MS PGothic" w:hAnsi="MS PGothic"/>
                <w:sz w:val="20"/>
                <w:szCs w:val="20"/>
                <w:color w:val="auto"/>
              </w:rPr>
              <w:t>☒</w:t>
            </w:r>
          </w:p>
        </w:tc>
        <w:tc>
          <w:tcPr>
            <w:tcW w:w="3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1540"/>
              <w:spacing w:after="0" w:line="201" w:lineRule="exact"/>
              <w:rPr>
                <w:sz w:val="20"/>
                <w:szCs w:val="20"/>
                <w:color w:val="auto"/>
              </w:rPr>
            </w:pPr>
            <w:r>
              <w:rPr>
                <w:rFonts w:ascii="MS PGothic" w:cs="MS PGothic" w:eastAsia="MS PGothic" w:hAnsi="MS PGothic"/>
                <w:sz w:val="20"/>
                <w:szCs w:val="20"/>
                <w:color w:val="auto"/>
              </w:rPr>
              <w:t>☐</w:t>
            </w:r>
          </w:p>
        </w:tc>
        <w:tc>
          <w:tcPr>
            <w:tcW w:w="3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1540"/>
              <w:spacing w:after="0" w:line="201" w:lineRule="exact"/>
              <w:rPr>
                <w:sz w:val="20"/>
                <w:szCs w:val="20"/>
                <w:color w:val="auto"/>
              </w:rPr>
            </w:pPr>
            <w:r>
              <w:rPr>
                <w:rFonts w:ascii="MS PGothic" w:cs="MS PGothic" w:eastAsia="MS PGothic" w:hAnsi="MS PGothic"/>
                <w:sz w:val="20"/>
                <w:szCs w:val="20"/>
                <w:color w:val="auto"/>
              </w:rPr>
              <w:t>☐</w:t>
            </w:r>
          </w:p>
        </w:tc>
        <w:tc>
          <w:tcPr>
            <w:tcW w:w="37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50" w:lineRule="exact"/>
        <w:rPr>
          <w:sz w:val="24"/>
          <w:szCs w:val="24"/>
          <w:color w:val="auto"/>
        </w:rPr>
      </w:pPr>
    </w:p>
    <w:p>
      <w:pPr>
        <w:jc w:val="both"/>
        <w:ind w:right="140" w:firstLine="972"/>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980" w:right="92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$0.0001 par value, was 187,404,772 on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gridSpan w:val="11"/>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NEKTAR THERAPEUTICS</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gridSpan w:val="7"/>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1"/>
          </w:tcPr>
          <w:p>
            <w:pPr>
              <w:ind w:left="140"/>
              <w:spacing w:after="0"/>
              <w:rPr>
                <w:sz w:val="20"/>
                <w:szCs w:val="20"/>
                <w:color w:val="auto"/>
              </w:rPr>
            </w:pPr>
            <w:r>
              <w:rPr>
                <w:rFonts w:ascii="Times New Roman" w:cs="Times New Roman" w:eastAsia="Times New Roman" w:hAnsi="Times New Roman"/>
                <w:sz w:val="18"/>
                <w:szCs w:val="18"/>
                <w:color w:val="0000FF"/>
              </w:rPr>
              <w:t>Summary of Risks</w:t>
            </w:r>
          </w:p>
        </w:tc>
        <w:tc>
          <w:tcPr>
            <w:tcW w:w="0" w:type="dxa"/>
            <w:vAlign w:val="bottom"/>
          </w:tcPr>
          <w:p>
            <w:pPr>
              <w:spacing w:after="0"/>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00" w:type="dxa"/>
            <w:vAlign w:val="bottom"/>
            <w:gridSpan w:val="12"/>
          </w:tcPr>
          <w:p>
            <w:pPr>
              <w:jc w:val="center"/>
              <w:ind w:right="24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20" w:type="dxa"/>
            <w:vAlign w:val="bottom"/>
          </w:tcPr>
          <w:p>
            <w:pPr>
              <w:spacing w:after="0"/>
              <w:rPr>
                <w:sz w:val="19"/>
                <w:szCs w:val="19"/>
                <w:color w:val="auto"/>
              </w:rPr>
            </w:pPr>
          </w:p>
        </w:tc>
        <w:tc>
          <w:tcPr>
            <w:tcW w:w="4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 Unaudited:</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June 30, 2022 and December 31, 2021</w:t>
            </w:r>
          </w:p>
        </w:tc>
        <w:tc>
          <w:tcPr>
            <w:tcW w:w="270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80" w:type="dxa"/>
            <w:vAlign w:val="bottom"/>
            <w:tcBorders>
              <w:bottom w:val="single" w:sz="8" w:color="0000FF"/>
            </w:tcBorders>
            <w:gridSpan w:val="16"/>
            <w:vMerge w:val="continue"/>
          </w:tcPr>
          <w:p>
            <w:pPr>
              <w:spacing w:after="0"/>
              <w:rPr>
                <w:sz w:val="18"/>
                <w:szCs w:val="18"/>
                <w:color w:val="auto"/>
              </w:rPr>
            </w:pPr>
          </w:p>
        </w:tc>
        <w:tc>
          <w:tcPr>
            <w:tcW w:w="27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2022 and 2021</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six months ended June 30, 2022 and 2021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2022 and 2021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2022 and 2021</w:t>
            </w:r>
          </w:p>
        </w:tc>
        <w:tc>
          <w:tcPr>
            <w:tcW w:w="1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6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20" w:type="dxa"/>
            <w:vAlign w:val="bottom"/>
          </w:tcPr>
          <w:p>
            <w:pPr>
              <w:spacing w:after="0"/>
              <w:rPr>
                <w:sz w:val="21"/>
                <w:szCs w:val="21"/>
                <w:color w:val="auto"/>
              </w:rPr>
            </w:pPr>
          </w:p>
        </w:tc>
        <w:tc>
          <w:tcPr>
            <w:tcW w:w="6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20" w:type="dxa"/>
            <w:vAlign w:val="bottom"/>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1740" w:type="dxa"/>
            <w:vAlign w:val="bottom"/>
            <w:gridSpan w:val="3"/>
          </w:tcPr>
          <w:p>
            <w:pPr>
              <w:spacing w:after="0"/>
              <w:rPr>
                <w:sz w:val="18"/>
                <w:szCs w:val="18"/>
                <w:color w:val="auto"/>
              </w:rPr>
            </w:pPr>
          </w:p>
        </w:tc>
        <w:tc>
          <w:tcPr>
            <w:tcW w:w="25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20" w:type="dxa"/>
            <w:vAlign w:val="bottom"/>
          </w:tcPr>
          <w:p>
            <w:pPr>
              <w:spacing w:after="0"/>
              <w:rPr>
                <w:sz w:val="18"/>
                <w:szCs w:val="18"/>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5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760" w:type="dxa"/>
            <w:vAlign w:val="bottom"/>
            <w:gridSpan w:val="4"/>
          </w:tcPr>
          <w:p>
            <w:pPr>
              <w:spacing w:after="0"/>
              <w:rPr>
                <w:sz w:val="18"/>
                <w:szCs w:val="18"/>
                <w:color w:val="auto"/>
              </w:rPr>
            </w:pPr>
          </w:p>
        </w:tc>
        <w:tc>
          <w:tcPr>
            <w:tcW w:w="25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00" w:type="dxa"/>
            <w:vAlign w:val="bottom"/>
            <w:gridSpan w:val="12"/>
            <w:vMerge w:val="restart"/>
          </w:tcPr>
          <w:p>
            <w:pPr>
              <w:jc w:val="center"/>
              <w:ind w:right="24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00" w:type="dxa"/>
            <w:vAlign w:val="bottom"/>
            <w:gridSpan w:val="1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20" w:type="dxa"/>
            <w:vAlign w:val="bottom"/>
          </w:tcPr>
          <w:p>
            <w:pPr>
              <w:spacing w:after="0"/>
              <w:rPr>
                <w:sz w:val="19"/>
                <w:szCs w:val="19"/>
                <w:color w:val="auto"/>
              </w:rPr>
            </w:pP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980" w:type="dxa"/>
            <w:vAlign w:val="bottom"/>
            <w:gridSpan w:val="3"/>
          </w:tcPr>
          <w:p>
            <w:pPr>
              <w:spacing w:after="0"/>
              <w:rPr>
                <w:sz w:val="19"/>
                <w:szCs w:val="19"/>
                <w:color w:val="auto"/>
              </w:rPr>
            </w:pPr>
          </w:p>
        </w:tc>
        <w:tc>
          <w:tcPr>
            <w:tcW w:w="1020" w:type="dxa"/>
            <w:vAlign w:val="bottom"/>
            <w:gridSpan w:val="2"/>
          </w:tcPr>
          <w:p>
            <w:pPr>
              <w:spacing w:after="0"/>
              <w:rPr>
                <w:sz w:val="19"/>
                <w:szCs w:val="19"/>
                <w:color w:val="auto"/>
              </w:rPr>
            </w:pPr>
          </w:p>
        </w:tc>
        <w:tc>
          <w:tcPr>
            <w:tcW w:w="1020" w:type="dxa"/>
            <w:vAlign w:val="bottom"/>
            <w:tcBorders>
              <w:top w:val="single" w:sz="8" w:color="0000FF"/>
              <w:bottom w:val="single" w:sz="8" w:color="0000FF"/>
            </w:tcBorders>
            <w:gridSpan w:val="2"/>
          </w:tcPr>
          <w:p>
            <w:pPr>
              <w:spacing w:after="0"/>
              <w:rPr>
                <w:sz w:val="19"/>
                <w:szCs w:val="19"/>
                <w:color w:val="auto"/>
              </w:rPr>
            </w:pPr>
          </w:p>
        </w:tc>
        <w:tc>
          <w:tcPr>
            <w:tcW w:w="1760" w:type="dxa"/>
            <w:vAlign w:val="bottom"/>
            <w:tcBorders>
              <w:top w:val="single" w:sz="8" w:color="0000FF"/>
              <w:bottom w:val="single" w:sz="8" w:color="0000FF"/>
            </w:tcBorders>
            <w:gridSpan w:val="4"/>
          </w:tcPr>
          <w:p>
            <w:pPr>
              <w:spacing w:after="0"/>
              <w:rPr>
                <w:sz w:val="19"/>
                <w:szCs w:val="19"/>
                <w:color w:val="auto"/>
              </w:rPr>
            </w:pPr>
          </w:p>
        </w:tc>
        <w:tc>
          <w:tcPr>
            <w:tcW w:w="25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1A.</w:t>
            </w: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20" w:type="dxa"/>
            <w:vAlign w:val="bottom"/>
          </w:tcPr>
          <w:p>
            <w:pPr>
              <w:spacing w:after="0"/>
              <w:rPr>
                <w:sz w:val="18"/>
                <w:szCs w:val="18"/>
                <w:color w:val="auto"/>
              </w:rPr>
            </w:pPr>
          </w:p>
        </w:tc>
        <w:tc>
          <w:tcPr>
            <w:tcW w:w="2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3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20" w:type="dxa"/>
            <w:vAlign w:val="bottom"/>
          </w:tcPr>
          <w:p>
            <w:pPr>
              <w:spacing w:after="0"/>
              <w:rPr>
                <w:sz w:val="18"/>
                <w:szCs w:val="18"/>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69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3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20" w:type="dxa"/>
            <w:vAlign w:val="bottom"/>
          </w:tcPr>
          <w:p>
            <w:pPr>
              <w:spacing w:after="0"/>
              <w:rPr>
                <w:sz w:val="18"/>
                <w:szCs w:val="18"/>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36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3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80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2">
            <w:col w:w="10320" w:space="720"/>
            <w:col w:w="18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our collaboration arrangements, commercialization activities and product sales levels by our collaboration partners and future payments that may come due to us under these arrangements, any statements regarding our plans and objectives to initiate or continue clinical trials, any statements related to potential, anticipated, or ongoing litigation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The Nektar brand and product names, including but not limited to Nektar</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to our business are more fully described below in Item IA in this Form 10-Q, which risks include, among others:</w:t>
      </w:r>
    </w:p>
    <w:p>
      <w:pPr>
        <w:spacing w:after="0" w:line="11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Risks Related to our Research and Development Efforts</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b w:val="1"/>
          <w:bCs w:val="1"/>
          <w:color w:val="auto"/>
        </w:rPr>
      </w:pPr>
    </w:p>
    <w:p>
      <w:pPr>
        <w:ind w:left="1300" w:right="120" w:hanging="320"/>
        <w:spacing w:after="0" w:line="234" w:lineRule="auto"/>
        <w:tabs>
          <w:tab w:leader="none" w:pos="1296" w:val="left"/>
        </w:tabs>
        <w:numPr>
          <w:ilvl w:val="1"/>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clinical drug development is a lengthy and uncertain process and we may not be able to generate and develop successful drug candidates for commercial use;</w:t>
      </w:r>
    </w:p>
    <w:p>
      <w:pPr>
        <w:spacing w:after="0" w:line="91" w:lineRule="exact"/>
        <w:rPr>
          <w:rFonts w:ascii="Arial" w:cs="Arial" w:eastAsia="Arial" w:hAnsi="Arial"/>
          <w:sz w:val="22"/>
          <w:szCs w:val="22"/>
          <w:color w:val="auto"/>
        </w:rPr>
      </w:pPr>
    </w:p>
    <w:p>
      <w:pPr>
        <w:ind w:left="1300" w:right="8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NKTR-358 and NKTR-255 and our business will be significantly harmed if either NKTR-358 or NKTR-255 do not continue to advance in clinical studies;</w:t>
      </w:r>
    </w:p>
    <w:p>
      <w:pPr>
        <w:spacing w:after="0" w:line="53"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from competitive oncology and immunology therapy clinical trials, and the discovery and development of new potential oncology and immunology therapies could have a material and adverse impact on the value of our pipeline;</w:t>
      </w:r>
    </w:p>
    <w:p>
      <w:pPr>
        <w:spacing w:after="0" w:line="53"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for our polymer conjugate chemistry technology platforms and our products and drug candidates could make our technologies, drug products or drug candidates obsolete or uncompetitive;</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and interim data from our clinical studies are subject to audit and verification procedures that could result in material changes in the final data and may change as more patient data become available;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any of our drug candidates could be delayed for a variety of reasons.</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Financial Condition and Capital Requirements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strategic reorganization plan focused on prioritizing key research and development efforts, as well as a cost restructuring plan, and our business will be significantly harmed if either of these plans is unsuccessful;</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future capital requirements and there is a risk we may not have access to sufficient capital to meet our current business plan;</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exclusively derived from our collaboration agreements. If we are unable to establish and maintain collaboration partnerships with attractive commercial terms, including significant development milestones and research and development cost-sharing, our business, results of operations and financial condition could suffer; and</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substantial net losses from operations and may not achieve or sustain profitability in the future.</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Collaboration Partners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1300" w:hanging="320"/>
        <w:spacing w:after="0" w:line="289" w:lineRule="auto"/>
        <w:tabs>
          <w:tab w:leader="none" w:pos="129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Eli Lilly and Company, our collaboration partner for NKTR-358, our lead drug candidate, to initiate, properly conduct and prioritize clinical trials for NKTR-358 and to perform important additional development and commercialization activities, and our business will be significantly harmed if our partner’s actions deprioritize or otherwise harm the prospects of NKTR-358; and</w:t>
      </w:r>
    </w:p>
    <w:p>
      <w:pPr>
        <w:spacing w:after="0" w:line="49" w:lineRule="exact"/>
        <w:rPr>
          <w:rFonts w:ascii="Times New Roman" w:cs="Times New Roman" w:eastAsia="Times New Roman" w:hAnsi="Times New Roman"/>
          <w:sz w:val="17"/>
          <w:szCs w:val="17"/>
          <w:color w:val="auto"/>
        </w:rPr>
      </w:pPr>
    </w:p>
    <w:p>
      <w:pPr>
        <w:ind w:left="1300" w:right="2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our collaboration partners have been affected by the COVID-19 pandemic in the past, and it is possible that the COVID-19 pandemic will affect the operations of our collaboration partners in the future, which would cause delays in initiating or completing one or more clinical trials involving our drug candidates.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the COVID-19 Pandemic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100" w:hanging="320"/>
        <w:spacing w:after="0" w:line="258"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the effects of health epidemics, including the ongoing COVID-19 pandemic. While the COVID-19 pandemic has not had a material adverse effect on our current operations, the ongoing challenges associated with the pandemic, including the emergence of new variants of the coronavirus and resurgences in the number and rates of infections, and shortages in raw materials and equipment and other supply chain disruptions, could have a material negative impact on our business and our clinical trial timelines.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Risks Related to Supply and Manufacturing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right="40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contract manufacturers are not able to manufacture drugs or drug substances in sufficient quantities that meet applicable quality standards, our business, financial condition and results of operations could be harmed; and</w:t>
      </w:r>
    </w:p>
    <w:p>
      <w:pPr>
        <w:spacing w:after="0" w:line="53"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some of the starting material for drugs and drug candidates from a single source or a limited number of suppliers, and the partial or complete loss of one of these suppliers could cause delays, loss of revenue and contract liability.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Risks Related to Intellectual Property, Litigation and Regulatory Concerns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obtain regulatory approval for our drug candidates on a timely basis, or at all;</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312" w:lineRule="auto"/>
        <w:tabs>
          <w:tab w:leader="none" w:pos="129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31" w:lineRule="exact"/>
        <w:rPr>
          <w:rFonts w:ascii="Times New Roman" w:cs="Times New Roman" w:eastAsia="Times New Roman" w:hAnsi="Times New Roman"/>
          <w:sz w:val="17"/>
          <w:szCs w:val="17"/>
          <w:color w:val="auto"/>
        </w:rPr>
      </w:pPr>
    </w:p>
    <w:p>
      <w:pPr>
        <w:ind w:left="1300" w:right="420" w:hanging="320"/>
        <w:spacing w:after="0" w:line="282"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legal proceedings and may incur substantial litigation costs and liabilities that could adversely affect our business,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above-mentioned risks, our business is subject to a number of additional risks faced by businesses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708,737</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w:t>
            </w:r>
          </w:p>
        </w:tc>
      </w:tr>
      <w:tr>
        <w:trPr>
          <w:trHeight w:val="25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795,581</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64,828</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117,025</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1,117,189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8000" w:type="dxa"/>
            <w:vAlign w:val="bottom"/>
            <w:tcBorders>
              <w:bottom w:val="single" w:sz="8" w:color="CCEEFF"/>
            </w:tcBorders>
            <w:shd w:val="clear" w:color="auto" w:fill="CCEEFF"/>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r>
      <w:tr>
        <w:trPr>
          <w:trHeight w:val="27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r>
      <w:tr>
        <w:trPr>
          <w:trHeight w:val="25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85,200</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125,736</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derivative liability</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5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437,681</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5"/>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no shares designated or outstanding at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61"/>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June 30, 2022 or December 31, 2021, respectively</w:t>
            </w:r>
          </w:p>
        </w:tc>
        <w:tc>
          <w:tcPr>
            <w:tcW w:w="2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Common stock, $0.0001 par value; 300,000 shares authorized; 187,405 shares and 185,468 shares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61"/>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3,516,641</w:t>
            </w:r>
          </w:p>
        </w:tc>
      </w:tr>
      <w:tr>
        <w:trPr>
          <w:trHeight w:val="230"/>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70"/>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(3,082,456)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(2,832,995)</w:t>
            </w:r>
          </w:p>
        </w:tc>
      </w:tr>
      <w:tr>
        <w:trPr>
          <w:trHeight w:val="25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679,508</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1,117,189</w:t>
            </w:r>
          </w:p>
        </w:tc>
      </w:tr>
      <w:tr>
        <w:trPr>
          <w:trHeight w:val="21"/>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5180" w:type="dxa"/>
        <w:tblCellMar>
          <w:top w:w="0" w:type="dxa"/>
          <w:left w:w="0" w:type="dxa"/>
          <w:bottom w:w="0" w:type="dxa"/>
          <w:right w:w="0" w:type="dxa"/>
        </w:tblCellMar>
      </w:tblPr>
      <w:tr>
        <w:trPr>
          <w:trHeight w:val="190"/>
        </w:trPr>
        <w:tc>
          <w:tcPr>
            <w:tcW w:w="30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8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20"/>
        <w:spacing w:after="0"/>
        <w:tabs>
          <w:tab w:leader="none" w:pos="5180" w:val="left"/>
        </w:tabs>
        <w:rPr>
          <w:sz w:val="20"/>
          <w:szCs w:val="20"/>
          <w:color w:val="auto"/>
        </w:rPr>
      </w:pPr>
      <w:r>
        <w:rPr>
          <w:rFonts w:ascii="Times New Roman" w:cs="Times New Roman" w:eastAsia="Times New Roman" w:hAnsi="Times New Roman"/>
          <w:sz w:val="18"/>
          <w:szCs w:val="18"/>
          <w:color w:val="auto"/>
        </w:rPr>
        <w:t>Product sales</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License, collaboration and other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20" w:right="360" w:firstLine="202"/>
        <w:spacing w:after="0" w:line="297" w:lineRule="auto"/>
        <w:rPr>
          <w:sz w:val="20"/>
          <w:szCs w:val="20"/>
          <w:color w:val="auto"/>
        </w:rPr>
      </w:pPr>
      <w:r>
        <w:rPr>
          <w:rFonts w:ascii="Times New Roman" w:cs="Times New Roman" w:eastAsia="Times New Roman" w:hAnsi="Times New Roman"/>
          <w:sz w:val="18"/>
          <w:szCs w:val="18"/>
          <w:color w:val="auto"/>
        </w:rPr>
        <w:t>Restructuring, impairment and other costs of terminated program Total operating costs and expenses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p>
      <w:pPr>
        <w:spacing w:after="0" w:line="50" w:lineRule="exact"/>
        <w:rPr>
          <w:sz w:val="20"/>
          <w:szCs w:val="20"/>
          <w:color w:val="auto"/>
        </w:rPr>
      </w:pPr>
    </w:p>
    <w:p>
      <w:pPr>
        <w:ind w:left="220" w:right="180"/>
        <w:spacing w:after="0" w:line="295" w:lineRule="auto"/>
        <w:rPr>
          <w:sz w:val="20"/>
          <w:szCs w:val="20"/>
          <w:color w:val="auto"/>
        </w:rPr>
      </w:pPr>
      <w:r>
        <w:rPr>
          <w:rFonts w:ascii="Times New Roman" w:cs="Times New Roman" w:eastAsia="Times New Roman" w:hAnsi="Times New Roman"/>
          <w:sz w:val="18"/>
          <w:szCs w:val="18"/>
          <w:color w:val="auto"/>
        </w:rPr>
        <w:t>Change in fair value of development derivative liability Non-cash interest expense on liabilities related to the sales of future royalties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5,312</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7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16,264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39,254</w:t>
            </w:r>
          </w:p>
        </w:tc>
      </w:tr>
      <w:tr>
        <w:trPr>
          <w:trHeight w:val="27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21,585</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51,977</w:t>
            </w:r>
          </w:p>
        </w:tc>
      </w:tr>
      <w:tr>
        <w:trPr>
          <w:trHeight w:val="52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5,115</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7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42,740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196,917</w:t>
            </w:r>
          </w:p>
        </w:tc>
      </w:tr>
      <w:tr>
        <w:trPr>
          <w:trHeight w:val="265"/>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20,521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61,234</w:t>
            </w:r>
          </w:p>
        </w:tc>
      </w:tr>
      <w:tr>
        <w:trPr>
          <w:trHeight w:val="234"/>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106,045</w:t>
            </w:r>
          </w:p>
        </w:tc>
        <w:tc>
          <w:tcPr>
            <w:tcW w:w="4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174,421</w:t>
            </w: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315,803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271,574</w:t>
            </w:r>
          </w:p>
        </w:tc>
      </w:tr>
      <w:tr>
        <w:trPr>
          <w:trHeight w:val="250"/>
        </w:trPr>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(152,836)</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(110,205)</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(219,597)</w:t>
            </w:r>
          </w:p>
        </w:tc>
      </w:tr>
      <w:tr>
        <w:trPr>
          <w:trHeight w:val="48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486"/>
        </w:trPr>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(7,228)</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w:t>
            </w:r>
          </w:p>
        </w:tc>
      </w:tr>
      <w:tr>
        <w:trPr>
          <w:trHeight w:val="27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1,096</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50"/>
        </w:trPr>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(6,132)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(28,440)</w:t>
            </w:r>
          </w:p>
        </w:tc>
      </w:tr>
      <w:tr>
        <w:trPr>
          <w:trHeight w:val="250"/>
        </w:trPr>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(158,968)</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(248,037)</w:t>
            </w:r>
          </w:p>
        </w:tc>
      </w:tr>
      <w:tr>
        <w:trPr>
          <w:trHeight w:val="270"/>
        </w:trPr>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-2999740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-2313940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-1971040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-993775</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-170815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-513715</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-1310640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-1653540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-3728085</wp:posOffset>
            </wp:positionH>
            <wp:positionV relativeFrom="paragraph">
              <wp:posOffset>-2656840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80" w:space="600"/>
            <w:col w:w="5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(249,461)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(248,486)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51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used in computing basic and</w:t>
            </w: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(248,486)</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available-for-sale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5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foreign currency translation gain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(249,591)</w:t>
            </w:r>
          </w:p>
        </w:tc>
      </w:tr>
      <w:tr>
        <w:trPr>
          <w:trHeight w:val="21"/>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3,388,730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1,077,295</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(123,793)</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994,506</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(125,798)</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679,508</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607,889</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 under equity compensation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(160,727)</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(248,486)</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(39,254)</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development derivative liability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research and development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47,612</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premiums (discounts), net and other non-cash transactions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(159,986)</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(527,887)</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612,419</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investments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83,410</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shares issued under equity compensation plans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28,523</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receipts from development derivative liability</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30,023</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(46,610)</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198,955</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152,345</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in exchange for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We are a research-based biopharmaceutical company headquartered in San Francisco, California and incorporated in Delaware. We (individually or with a partner) are developing a pipeline of drug candidates that utilize our advanced polymer conjugate technology platforms, which are designed to enable the development of new molecular entities that target known mechanisms of action. Our research and development pipeline of new investigational drugs includes investigational treatments in oncology and immunology.</w:t>
      </w:r>
    </w:p>
    <w:p>
      <w:pPr>
        <w:spacing w:after="0" w:line="72"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As of June 30, 2022, we had approximately $628.2 million in cash and investments in marketable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Bempegaldesleukin Program and the Restructuring Plan</w:t>
      </w:r>
    </w:p>
    <w:p>
      <w:pPr>
        <w:spacing w:after="0" w:line="172" w:lineRule="exact"/>
        <w:rPr>
          <w:sz w:val="20"/>
          <w:szCs w:val="20"/>
          <w:color w:val="auto"/>
        </w:rPr>
      </w:pPr>
    </w:p>
    <w:p>
      <w:pPr>
        <w:ind w:right="60" w:firstLine="567"/>
        <w:spacing w:after="0" w:line="239" w:lineRule="auto"/>
        <w:rPr>
          <w:sz w:val="20"/>
          <w:szCs w:val="20"/>
          <w:color w:val="auto"/>
        </w:rPr>
      </w:pPr>
      <w:r>
        <w:rPr>
          <w:rFonts w:ascii="Times New Roman" w:cs="Times New Roman" w:eastAsia="Times New Roman" w:hAnsi="Times New Roman"/>
          <w:sz w:val="18"/>
          <w:szCs w:val="18"/>
          <w:color w:val="auto"/>
        </w:rPr>
        <w:t>In March and April 2022, we announced the unsuccessful results from our clinical trials studying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under our Strategic Collaboration Agreement with Bristol-Myers Squibb Company (BMS). Based on these results, we decided to discontinue all of our ongoing clinical trials of bempegaldesleukin in combination with checkpoint inhibitors and tyrosine kinase inhibitors. In April 2022, we also announced new strategic reorganization and cost restructuring plans for the Company’s future:</w:t>
      </w:r>
    </w:p>
    <w:p>
      <w:pPr>
        <w:spacing w:after="0" w:line="90" w:lineRule="exact"/>
        <w:rPr>
          <w:sz w:val="20"/>
          <w:szCs w:val="20"/>
          <w:color w:val="auto"/>
        </w:rPr>
      </w:pPr>
    </w:p>
    <w:p>
      <w:pPr>
        <w:ind w:left="660" w:right="300" w:hanging="328"/>
        <w:spacing w:after="0" w:line="23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2022, BMS and we announced that the registrational trial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metastatic melanoma did not meet its primary endpoints and that BMS and we decided to discontinue the registrational trials in metastatic melanoma and adjuvant melanoma. See Note 7 for additional information on our BMS Collaboration Agreement.</w:t>
      </w:r>
    </w:p>
    <w:p>
      <w:pPr>
        <w:spacing w:after="0" w:line="88"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14, 2022, we announced that each of our registrational trials for bempegaldesleukin in combination with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renal cell carcinoma and in cisplatin-ineligible, locally advanced or metastatic urothelial cancer did not meet their respective primary endpoints. Due to these results, BMS and we decided to discontinue these studies and all other ongoing studies for bempegaldesleukin in combination with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7" w:lineRule="exact"/>
        <w:rPr>
          <w:rFonts w:ascii="Times New Roman" w:cs="Times New Roman" w:eastAsia="Times New Roman" w:hAnsi="Times New Roman"/>
          <w:sz w:val="17"/>
          <w:szCs w:val="17"/>
          <w:color w:val="auto"/>
        </w:rPr>
      </w:pPr>
    </w:p>
    <w:p>
      <w:pPr>
        <w:ind w:left="660" w:right="60" w:hanging="328"/>
        <w:spacing w:after="0" w:line="23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2022, we announced that, in consultation with SFJ Pharmaceuticals and based upon a recommendation from an independent Data Monitoring Committee, we decided to discontinue our Phase 2/3 study in bempegaldesleukin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patients with metastatic or unresectable recurrent squamous cell cancer of the head and neck under our Co-Development Agreement with SFJ Pharmaceuticals. See Note 4 for additional information regarding our Co-Development Agreement with SFJ Pharmaceuticals.</w:t>
      </w:r>
    </w:p>
    <w:p>
      <w:pPr>
        <w:spacing w:after="0" w:line="86" w:lineRule="exact"/>
        <w:rPr>
          <w:rFonts w:ascii="Times New Roman" w:cs="Times New Roman" w:eastAsia="Times New Roman" w:hAnsi="Times New Roman"/>
          <w:sz w:val="18"/>
          <w:szCs w:val="18"/>
          <w:color w:val="auto"/>
        </w:rPr>
      </w:pPr>
    </w:p>
    <w:p>
      <w:pPr>
        <w:ind w:left="660" w:right="80" w:hanging="328"/>
        <w:spacing w:after="0" w:line="253"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also announced on April 14, 2022, the discontinuation of our Phase 1/2 PROPEL study of bempegaldesleukin in combination with 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locally advanced or metastatic solid tumors, including non-small cell lung cancer. With these announcements on April 14, 2022, subject to activities required for an orderly wind down of the studies, there will be no ongoing clinical development activities of bempegaldesleukin.</w:t>
      </w:r>
    </w:p>
    <w:p>
      <w:pPr>
        <w:spacing w:after="0" w:line="80"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2022, we announced our strategic reorganization and cost restructuring plans (together, the Restructuring Plan), which were reviewed and approved by our Board of Directors on April 14, 2022. Pursuant to the Restructuring Plan, on April 26, 2022, our duly authorized officers implemented certain strategic, operational and organizational steps, including the prioritization of key Phase 2 development programs to advance our early stage research pipeline. In addition, we announced our plan to reduce our workforce by approximately 70% and to close our research facility in India.</w:t>
      </w:r>
    </w:p>
    <w:p>
      <w:pPr>
        <w:spacing w:after="0" w:line="75" w:lineRule="exact"/>
        <w:rPr>
          <w:sz w:val="20"/>
          <w:szCs w:val="20"/>
          <w:color w:val="auto"/>
        </w:rPr>
      </w:pPr>
    </w:p>
    <w:p>
      <w:pPr>
        <w:ind w:right="80" w:firstLine="567"/>
        <w:spacing w:after="0" w:line="282" w:lineRule="auto"/>
        <w:rPr>
          <w:sz w:val="20"/>
          <w:szCs w:val="20"/>
          <w:color w:val="auto"/>
        </w:rPr>
      </w:pPr>
      <w:r>
        <w:rPr>
          <w:rFonts w:ascii="Times New Roman" w:cs="Times New Roman" w:eastAsia="Times New Roman" w:hAnsi="Times New Roman"/>
          <w:sz w:val="18"/>
          <w:szCs w:val="18"/>
          <w:color w:val="auto"/>
        </w:rPr>
        <w:t>We have incurred and expect to incur significant costs resulting from these decisions and plans. See Note 8 for additional information on the effect on our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160" w:firstLine="567"/>
        <w:spacing w:after="0" w:line="282"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financial position, results of operations and cash flows of Nektar Therapeutics and our wholly-owned subsidiaries. We have eliminated all intercompany accounts and transactions in consolidation.</w:t>
      </w:r>
    </w:p>
    <w:p>
      <w:pPr>
        <w:spacing w:after="0" w:line="54"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color w:val="auto"/>
        </w:rPr>
        <w:t>We prepared our Condensed Consolidated Financial Statements following the requirements of the Securities and Exchange Commission (SEC) for interim reporting. As permitted under those rules, we may condense or omit certain footnotes or other financial information that are normally required by U.S. generally accepted accounting principles (GAAP) for annual periods. In the opinion of management, these financial statements include all normal and recurring adjustments that we consider necessary for the fair presentation of our financial position and operating results.</w:t>
      </w:r>
    </w:p>
    <w:p>
      <w:pPr>
        <w:spacing w:after="0" w:line="72"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We include translation gains and losses in accumulated other comprehensive loss in the stockholders’ equity section of our Condensed Consolidated Balance Sheets. To date, such cumulative currency translation adjustments have not been significant to our consolidated financial position.</w:t>
      </w:r>
    </w:p>
    <w:p>
      <w:pPr>
        <w:spacing w:after="0" w:line="75" w:lineRule="exact"/>
        <w:rPr>
          <w:sz w:val="20"/>
          <w:szCs w:val="20"/>
          <w:color w:val="auto"/>
        </w:rPr>
      </w:pPr>
    </w:p>
    <w:p>
      <w:pPr>
        <w:jc w:val="both"/>
        <w:ind w:right="60" w:firstLine="567"/>
        <w:spacing w:after="0" w:line="266" w:lineRule="auto"/>
        <w:rPr>
          <w:sz w:val="20"/>
          <w:szCs w:val="20"/>
          <w:color w:val="auto"/>
        </w:rPr>
      </w:pPr>
      <w:r>
        <w:rPr>
          <w:rFonts w:ascii="Times New Roman" w:cs="Times New Roman" w:eastAsia="Times New Roman" w:hAnsi="Times New Roman"/>
          <w:sz w:val="18"/>
          <w:szCs w:val="18"/>
          <w:color w:val="auto"/>
        </w:rPr>
        <w:t>Our comprehensive loss consists of our net loss plus our foreign currency translation gains and losses and unrealized gains and losses on available-for-sale securities. There were no significant reclassifications out of accumulated other comprehensive loss to the statements of operations during the three and six months ended June 30, 2022 and 2021.</w:t>
      </w:r>
    </w:p>
    <w:p>
      <w:pPr>
        <w:spacing w:after="0" w:line="68" w:lineRule="exact"/>
        <w:rPr>
          <w:sz w:val="20"/>
          <w:szCs w:val="20"/>
          <w:color w:val="auto"/>
        </w:rPr>
      </w:pPr>
    </w:p>
    <w:p>
      <w:pPr>
        <w:ind w:right="280" w:firstLine="567"/>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The Condensed Consolidated Balance Sheet data as of December 31, 2021 was derived from the audited consolidated financial statements which are included in our Annual Report on Form 10-K for the year ended December 31, 2021 filed with the SEC on March 1, 2022. The information included in this Quarterly Report on Form 10-Q should be read in conjunction with the consolidated financial statements and the accompanying notes to those financial statements.</w:t>
      </w:r>
    </w:p>
    <w:p>
      <w:pPr>
        <w:spacing w:after="0" w:line="72"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Revenue, expenses, assets, and liabilities can vary during each quarter of the year. The results and trends in these interim Condensed Consolidated Financial Statements are not necessarily indicative of the results to be expected for the full year or any other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40" w:firstLine="567"/>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w:t>
      </w:r>
    </w:p>
    <w:p>
      <w:pPr>
        <w:spacing w:after="0" w:line="7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Actual results could differ materially from those estimates and assumptions. As appropriate, we assess estimates each period, update them to reflect current information, and generally reflect any changes in estimates in the period first identified.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75"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Our customers are primarily pharmaceutical companies that are located in the U.S. and Europe and with whom we have multi-year arrangements. Our accounts receivable balance contains billed and unbilled trade receivables from product sales, milestones (to the extent that they have been achieved and are due from the counterparty), and other contingent payments, as well as reimbursable costs from collaborative research and development agreements. As of June 30, 2022 and December 31, 2021, our accounts receivable includes $7.4 million and $21.4 million, respectively, for unbilled net expense reimbursements from BMS. The remaining accounts receivable relate primarily to product sales. We generally do not require collateral from our customers. We perform a regular review of our customers’ credit risk and payment histories, including payments made after period end. Historically, we have not experienced credit losses from our accounts receivable. We have not recorded reserves for credit losses for the three and six months ended June 30, 2022 and 2021, nor have recorded such an allowance as of June 30, 2022 or December 31, 2021.</w:t>
      </w:r>
    </w:p>
    <w:p>
      <w:pPr>
        <w:spacing w:after="0" w:line="8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Consequently, in the event that supplies are delayed or interrupted for any reason, including as a result of the COVID-19 pandemic, our ability to develop and produce our drug candidates, our ability to supply comparator drugs for our clinical trials, or our ability to meet our supply obligations could be significantly impaired, which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our available-for-sale securities, we have significant concentrations of issuers in the banking and financial services industries. While our investment policy requires that we only invest in highly-rated securities and limit our exposure to any single issuer, the COVID-19 pandemic or other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the COVID-19 pandemic or other factors result in downgrades below our minimum credit rating requirements and if we decide to sell these securities, we may experience losses on such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recognize restructuring charges related to reorganization plans that have been committed to by management when liabilities have been incurred. In connection with these activities, we record restructuring charges at fair value for:</w:t>
      </w:r>
    </w:p>
    <w:p>
      <w:pPr>
        <w:spacing w:after="0" w:line="108" w:lineRule="exact"/>
        <w:rPr>
          <w:sz w:val="20"/>
          <w:szCs w:val="20"/>
          <w:color w:val="auto"/>
        </w:rPr>
      </w:pPr>
    </w:p>
    <w:p>
      <w:pPr>
        <w:ind w:left="660" w:right="5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employee termination benefits provided that the obligations result from services already rendered based on vested rights to such benefits when the payment of benefits becomes probable and the amount can be reasonably estimated,</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employee termination benefits on the communication date from management to the employees provided that management has committed to a plan of termination, the plan identifies the employees and their expected termination dates, the details of termination benefits are complete, and it is unlikely that changes to the plan will be made or the plan will be withdrawn,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costs when we cancel the contract in accordance with its terms,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incurred over the remaining contract term without economic benefit to us at the cease-use date.</w:t>
      </w:r>
    </w:p>
    <w:p>
      <w:pPr>
        <w:spacing w:after="0" w:line="11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one-time employee terminations benefits, we recognize the liability in full on the communication date when future services are not required or amortize the liability ratably over the service period, if required. The fair value of termination benefits reflects our estimates of expected utilization of certain Company-funded post-employment benefits.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for additional information on the severance expense that we recognized for employees terminated in connection with our reduction-in-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net cash flows associated with the asset, discounted at a rate that we believe a market participant would utilize to reflect the risks associated with the cash flows, such as credit risk. See Note 8 for additional information regarding the impairment charge we recorded in connection with our leased facilities and certain property and equipment.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Investments in Marketable Securities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and investments in marketable securities, including cash equivalents,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r>
      <w:tr>
        <w:trPr>
          <w:trHeight w:val="2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708,737</w:t>
            </w:r>
          </w:p>
        </w:tc>
      </w:tr>
      <w:tr>
        <w:trPr>
          <w:trHeight w:val="23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64,828</w:t>
            </w:r>
          </w:p>
        </w:tc>
      </w:tr>
      <w:tr>
        <w:trPr>
          <w:trHeight w:val="223"/>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798,783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firstLine="567"/>
        <w:spacing w:after="0" w:line="266" w:lineRule="auto"/>
        <w:rPr>
          <w:sz w:val="20"/>
          <w:szCs w:val="20"/>
          <w:color w:val="auto"/>
        </w:rPr>
      </w:pPr>
      <w:r>
        <w:rPr>
          <w:rFonts w:ascii="Times New Roman" w:cs="Times New Roman" w:eastAsia="Times New Roman" w:hAnsi="Times New Roman"/>
          <w:sz w:val="18"/>
          <w:szCs w:val="18"/>
          <w:color w:val="auto"/>
        </w:rPr>
        <w:t>We invest in liquid, high quality debt securities which are subject to interest rate risk. To minimize the exposure due to an adverse shift in interest rates, we invest in securities with maturities of two years or less and maintain a weighted average maturity of one year or less. As of June 30, 2022 and December 31, 2021, all of our long-term investments had maturities between one and two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portfolio of cash and investments in marketable securities includes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6"/>
        </w:trPr>
        <w:tc>
          <w:tcPr>
            <w:tcW w:w="4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2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1"/>
                <w:szCs w:val="11"/>
                <w:color w:val="auto"/>
              </w:rPr>
            </w:pPr>
          </w:p>
        </w:tc>
        <w:tc>
          <w:tcPr>
            <w:tcW w:w="10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04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139,911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278,121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478,629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U.S. government agencies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4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561,402</w:t>
            </w:r>
          </w:p>
        </w:tc>
        <w:tc>
          <w:tcPr>
            <w:tcW w:w="100" w:type="dxa"/>
            <w:vAlign w:val="bottom"/>
          </w:tcPr>
          <w:p>
            <w:pPr>
              <w:spacing w:after="0"/>
              <w:rPr>
                <w:sz w:val="19"/>
                <w:szCs w:val="19"/>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557,660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762,625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798,783</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40" w:firstLine="567"/>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there were no transfers between Level 1 and Level 2 of the fair value hierarchy. At December 31, 2021, our gross unrealized losses totaled $0.7 million, and our gross unrealized gains were insignificant.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w:t>
            </w:r>
          </w:p>
        </w:tc>
      </w:tr>
      <w:tr>
        <w:trPr>
          <w:trHeight w:val="23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23"/>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20" w:firstLine="567"/>
        <w:spacing w:after="0" w:line="256" w:lineRule="auto"/>
        <w:rPr>
          <w:sz w:val="20"/>
          <w:szCs w:val="20"/>
          <w:color w:val="auto"/>
        </w:rPr>
      </w:pPr>
      <w:r>
        <w:rPr>
          <w:rFonts w:ascii="Times New Roman" w:cs="Times New Roman" w:eastAsia="Times New Roman" w:hAnsi="Times New Roman"/>
          <w:sz w:val="18"/>
          <w:szCs w:val="18"/>
          <w:color w:val="auto"/>
        </w:rPr>
        <w:t>We manufacture finished goods inventory upon receipt of firm purchase orders, and we may manufacture certain intermediate work-in-process materials and purchase raw materials based on purchase forecasts from our collaboration partners. We include direct materials, direct labor, and manufacturing overhead in inventory and determine cost on a first-in, first-out basis for raw materials and on a specific identification basis for work-in-process and finished goods. We value inventory at the lower of cost or net realizable value, and we write down defective or excess inventory to net realizable value based on historical experience or projected usage. We expense inventory related to our research and development activities as manufactured by us or when purchased.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Co-Development Agreement with SFJ Pharmaceuticals and Development Derivative Liability</w:t>
      </w:r>
    </w:p>
    <w:p>
      <w:pPr>
        <w:spacing w:after="0" w:line="175" w:lineRule="exact"/>
        <w:rPr>
          <w:sz w:val="20"/>
          <w:szCs w:val="20"/>
          <w:color w:val="auto"/>
        </w:rPr>
      </w:pPr>
    </w:p>
    <w:p>
      <w:pPr>
        <w:ind w:right="20" w:firstLine="567"/>
        <w:spacing w:after="0" w:line="244" w:lineRule="auto"/>
        <w:rPr>
          <w:sz w:val="20"/>
          <w:szCs w:val="20"/>
          <w:color w:val="auto"/>
        </w:rPr>
      </w:pPr>
      <w:r>
        <w:rPr>
          <w:rFonts w:ascii="Times New Roman" w:cs="Times New Roman" w:eastAsia="Times New Roman" w:hAnsi="Times New Roman"/>
          <w:sz w:val="18"/>
          <w:szCs w:val="18"/>
          <w:color w:val="auto"/>
        </w:rPr>
        <w:t>On February 12, 2021, we entered into a Co-Development Agreement (the SFJ Agreement) with SFJ Pharmaceuticals XII, L.P., a SFJ Pharmaceuticals Group company (SFJ), pursuant to which SFJ would pay up to $150.0 million in committed funding to support a Phase 2/3 study of bempegaldesleukin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for first-line treatment of patients with metastatic or unresectable recurrent squamous cell carcinoma of the head and neck (the SCCHN Clinical Trial) whose tumors express PD-L1 (the SCCHN Indication). SFJ has primary responsibility for the clinical trial management of the SCCHN Clinical Trial, and we are the sponsor of the SCCHN Clinical Trial. The SFJ Agreement provided for us to pay up to $637.5 million in Success Payments in the event of FDA approval of bempegaldesleukin for the metastatic melanoma, the SCCHN Indication, or both, and in the event of FDA approval of one additional bempegaldesleukin indication.</w:t>
      </w:r>
    </w:p>
    <w:p>
      <w:pPr>
        <w:spacing w:after="0" w:line="89" w:lineRule="exact"/>
        <w:rPr>
          <w:sz w:val="20"/>
          <w:szCs w:val="20"/>
          <w:color w:val="auto"/>
        </w:rPr>
      </w:pPr>
    </w:p>
    <w:p>
      <w:pPr>
        <w:ind w:right="20" w:firstLine="567"/>
        <w:spacing w:after="0" w:line="241" w:lineRule="auto"/>
        <w:rPr>
          <w:sz w:val="20"/>
          <w:szCs w:val="20"/>
          <w:color w:val="auto"/>
        </w:rPr>
      </w:pPr>
      <w:r>
        <w:rPr>
          <w:rFonts w:ascii="Times New Roman" w:cs="Times New Roman" w:eastAsia="Times New Roman" w:hAnsi="Times New Roman"/>
          <w:sz w:val="18"/>
          <w:szCs w:val="18"/>
          <w:color w:val="auto"/>
        </w:rPr>
        <w:t>As of March 31, 2022, due to the negative results of the metastatic melanoma trial and initial discussions with SFJ, we concluded that it was remote that SFJ and we would continue the SCCHN Clinical Trial. Accordingly, the fair value of the development derivative liability was reduced to $0 as of March 31, 2022, and we recognized a corresponding gain in the Change in fair value of development derivative liability. As discussed in Note 1, on April 14, 2022, BMS and we decided to end the development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that all other ongoing studies in the bempegaldesleukin program would be discontinued. We also announced that SFJ and we agreed to discontinue the SCCHN Clinical Trial.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Accordingly, SFJ will not be entitled to any Success Payments, and SFJ has the responsibility to wind down the SCCHN Clinical Trial at its sole cost. SFJ has no right to seek reimbursement from us for any costs incurred for the SCCHN Clinical Trial.</w:t>
      </w:r>
    </w:p>
    <w:p>
      <w:pPr>
        <w:spacing w:after="0" w:line="54"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We presented the SFJ Agreement as a Development derivative liability in our Condensed Consolidated Balance Sheets, which we remeasured to fair value at each reporting date. As SFJ conducted the SCCHN Clinical Trial, we recorded non-cash research and development expense with a corresponding increase to the development derivative liability, and as SFJ remitted funding to us to support our internal costs of conducting the trial, we also recorded a corresponding increase to the development derivative liability. We presented the gain (loss) from the remeasurement as change in fair value of development derivative liability in our Condensed Consolidated Statements of Operations.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changes in the development derivative liability: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46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40" w:type="dxa"/>
            <w:vAlign w:val="bottom"/>
          </w:tcPr>
          <w:p>
            <w:pPr>
              <w:spacing w:after="0"/>
              <w:rPr>
                <w:sz w:val="12"/>
                <w:szCs w:val="12"/>
                <w:color w:val="auto"/>
              </w:rPr>
            </w:pPr>
          </w:p>
        </w:tc>
        <w:tc>
          <w:tcPr>
            <w:tcW w:w="1460" w:type="dxa"/>
            <w:vAlign w:val="bottom"/>
          </w:tcPr>
          <w:p>
            <w:pPr>
              <w:jc w:val="center"/>
              <w:ind w:left="281"/>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March 31, 2022 and 2021, respectively</w:t>
            </w:r>
          </w:p>
        </w:tc>
        <w:tc>
          <w:tcPr>
            <w:tcW w:w="146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research and development expense</w:t>
            </w: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receipts from SFJ</w:t>
            </w: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the fair value of development derivative liability</w:t>
            </w:r>
          </w:p>
        </w:tc>
        <w:tc>
          <w:tcPr>
            <w:tcW w:w="14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60" w:type="dxa"/>
            <w:vAlign w:val="bottom"/>
            <w:tcBorders>
              <w:bottom w:val="single" w:sz="8" w:color="CCEEFF"/>
            </w:tcBorders>
            <w:shd w:val="clear" w:color="auto" w:fill="CCEEFF"/>
          </w:tcPr>
          <w:p>
            <w:pPr>
              <w:jc w:val="center"/>
              <w:ind w:left="281"/>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5"/>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460" w:type="dxa"/>
            <w:vAlign w:val="bottom"/>
            <w:vMerge w:val="restart"/>
          </w:tcPr>
          <w:p>
            <w:pPr>
              <w:jc w:val="center"/>
              <w:ind w:left="241"/>
              <w:spacing w:after="0" w:line="15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6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640" w:type="dxa"/>
            <w:vAlign w:val="bottom"/>
          </w:tcPr>
          <w:p>
            <w:pPr>
              <w:spacing w:after="0"/>
              <w:rPr>
                <w:sz w:val="11"/>
                <w:szCs w:val="11"/>
                <w:color w:val="auto"/>
              </w:rPr>
            </w:pPr>
          </w:p>
        </w:tc>
        <w:tc>
          <w:tcPr>
            <w:tcW w:w="146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90"/>
        </w:trPr>
        <w:tc>
          <w:tcPr>
            <w:tcW w:w="6640" w:type="dxa"/>
            <w:vAlign w:val="bottom"/>
          </w:tcPr>
          <w:p>
            <w:pPr>
              <w:spacing w:after="0"/>
              <w:rPr>
                <w:sz w:val="16"/>
                <w:szCs w:val="16"/>
                <w:color w:val="auto"/>
              </w:rPr>
            </w:pPr>
          </w:p>
        </w:tc>
        <w:tc>
          <w:tcPr>
            <w:tcW w:w="146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2021 and February 12, 2021 (inception), respectively</w:t>
            </w:r>
          </w:p>
        </w:tc>
        <w:tc>
          <w:tcPr>
            <w:tcW w:w="1460" w:type="dxa"/>
            <w:vAlign w:val="bottom"/>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research and development expense</w:t>
            </w: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receipts from SFJ</w:t>
            </w: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the fair value of development derivative liability</w:t>
            </w:r>
          </w:p>
        </w:tc>
        <w:tc>
          <w:tcPr>
            <w:tcW w:w="14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(33,427)</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60" w:type="dxa"/>
            <w:vAlign w:val="bottom"/>
            <w:tcBorders>
              <w:bottom w:val="single" w:sz="8" w:color="CCEEFF"/>
            </w:tcBorders>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Liabilities Related to Sales of Future Royalties</w:t>
      </w:r>
    </w:p>
    <w:p>
      <w:pPr>
        <w:spacing w:after="0" w:line="175"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In 2012 and 2020, we sold to RPI Finance Trust (RPI) and entities managed by Healthcare Royalty Management, LLC (collectively, HCR), respectively, our rights to receive royalties under our license and manufacturing agreements with certain pharmaceutical partners as summarized below under the 2012 Purchase and Sale Agreement and the 2020 Purchase and Sale Agreement,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Drug</w:t>
            </w:r>
          </w:p>
        </w:tc>
        <w:tc>
          <w:tcPr>
            <w:tcW w:w="26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Manufacturer</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Counterparty under Purchase and</w:t>
            </w:r>
          </w:p>
        </w:tc>
        <w:tc>
          <w:tcPr>
            <w:tcW w:w="19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Date Sold</w:t>
            </w:r>
          </w:p>
        </w:tc>
        <w:tc>
          <w:tcPr>
            <w:tcW w:w="0" w:type="dxa"/>
            <w:vAlign w:val="bottom"/>
          </w:tcPr>
          <w:p>
            <w:pPr>
              <w:spacing w:after="0"/>
              <w:rPr>
                <w:sz w:val="1"/>
                <w:szCs w:val="1"/>
                <w:color w:val="auto"/>
              </w:rPr>
            </w:pPr>
          </w:p>
        </w:tc>
      </w:tr>
      <w:tr>
        <w:trPr>
          <w:trHeight w:val="195"/>
        </w:trPr>
        <w:tc>
          <w:tcPr>
            <w:tcW w:w="4260" w:type="dxa"/>
            <w:vAlign w:val="bottom"/>
            <w:gridSpan w:val="2"/>
            <w:vMerge w:val="continue"/>
          </w:tcPr>
          <w:p>
            <w:pPr>
              <w:spacing w:after="0"/>
              <w:rPr>
                <w:sz w:val="16"/>
                <w:szCs w:val="16"/>
                <w:color w:val="auto"/>
              </w:rPr>
            </w:pPr>
          </w:p>
        </w:tc>
        <w:tc>
          <w:tcPr>
            <w:tcW w:w="2640" w:type="dxa"/>
            <w:vAlign w:val="bottom"/>
            <w:gridSpan w:val="2"/>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ADYNOVATE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and ADYNOVI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(brand name for</w:t>
            </w:r>
          </w:p>
        </w:tc>
        <w:tc>
          <w:tcPr>
            <w:tcW w:w="14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Takeda Pharmaceutical Company</w:t>
            </w: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Healthcare Royalty</w:t>
            </w:r>
          </w:p>
        </w:tc>
        <w:tc>
          <w:tcPr>
            <w:tcW w:w="14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December 16, 2020</w:t>
            </w:r>
          </w:p>
        </w:tc>
        <w:tc>
          <w:tcPr>
            <w:tcW w:w="0" w:type="dxa"/>
            <w:vAlign w:val="bottom"/>
          </w:tcPr>
          <w:p>
            <w:pPr>
              <w:spacing w:after="0"/>
              <w:rPr>
                <w:sz w:val="1"/>
                <w:szCs w:val="1"/>
                <w:color w:val="auto"/>
              </w:rPr>
            </w:pPr>
          </w:p>
        </w:tc>
      </w:tr>
      <w:tr>
        <w:trPr>
          <w:trHeight w:val="238"/>
        </w:trPr>
        <w:tc>
          <w:tcPr>
            <w:tcW w:w="426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Europe)</w:t>
            </w: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LLC</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05" w:lineRule="auto"/>
        <w:rPr>
          <w:sz w:val="20"/>
          <w:szCs w:val="20"/>
          <w:color w:val="auto"/>
        </w:rPr>
      </w:pPr>
      <w:r>
        <w:rPr>
          <w:rFonts w:ascii="Times New Roman" w:cs="Times New Roman" w:eastAsia="Times New Roman" w:hAnsi="Times New Roman"/>
          <w:sz w:val="17"/>
          <w:szCs w:val="17"/>
          <w:color w:val="auto"/>
        </w:rPr>
        <w:t>MOVANTIK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(naloxegol tablets) and MOVENTIG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name for MOVANTIK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Europe)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REBINYN</w:t>
      </w:r>
      <w:r>
        <w:rPr>
          <w:rFonts w:ascii="Times New Roman" w:cs="Times New Roman" w:eastAsia="Times New Roman" w:hAnsi="Times New Roman"/>
          <w:sz w:val="23"/>
          <w:szCs w:val="23"/>
          <w:color w:val="auto"/>
          <w:vertAlign w:val="superscript"/>
        </w:rPr>
        <w:t>®</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(certolizumab pegol)</w:t>
      </w:r>
    </w:p>
    <w:p>
      <w:pPr>
        <w:ind w:left="20" w:right="200"/>
        <w:spacing w:after="0" w:line="205" w:lineRule="auto"/>
        <w:rPr>
          <w:sz w:val="20"/>
          <w:szCs w:val="20"/>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(Continuous Erythropoietin Receptor Activator)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AstraZeneca AB</w:t>
            </w:r>
          </w:p>
        </w:tc>
        <w:tc>
          <w:tcPr>
            <w:tcW w:w="2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Healthcare Royalty</w:t>
            </w:r>
          </w:p>
        </w:tc>
        <w:tc>
          <w:tcPr>
            <w:tcW w:w="194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w w:val="98"/>
              </w:rPr>
              <w:t>December 16, 2020</w:t>
            </w:r>
          </w:p>
        </w:tc>
      </w:tr>
      <w:tr>
        <w:trPr>
          <w:trHeight w:val="229"/>
        </w:trPr>
        <w:tc>
          <w:tcPr>
            <w:tcW w:w="254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LLC</w:t>
            </w:r>
          </w:p>
        </w:tc>
        <w:tc>
          <w:tcPr>
            <w:tcW w:w="1940" w:type="dxa"/>
            <w:vAlign w:val="bottom"/>
          </w:tcPr>
          <w:p>
            <w:pPr>
              <w:spacing w:after="0"/>
              <w:rPr>
                <w:sz w:val="19"/>
                <w:szCs w:val="19"/>
                <w:color w:val="auto"/>
              </w:rPr>
            </w:pPr>
          </w:p>
        </w:tc>
      </w:tr>
      <w:tr>
        <w:trPr>
          <w:trHeight w:val="189"/>
        </w:trPr>
        <w:tc>
          <w:tcPr>
            <w:tcW w:w="2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Novo Nordisk Inc., Novo Nordisk</w:t>
            </w:r>
          </w:p>
        </w:tc>
        <w:tc>
          <w:tcPr>
            <w:tcW w:w="20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Healthcare Royalty</w:t>
            </w:r>
          </w:p>
        </w:tc>
        <w:tc>
          <w:tcPr>
            <w:tcW w:w="1940" w:type="dxa"/>
            <w:vAlign w:val="bottom"/>
          </w:tcPr>
          <w:p>
            <w:pPr>
              <w:ind w:left="520"/>
              <w:spacing w:after="0" w:line="189" w:lineRule="exact"/>
              <w:rPr>
                <w:sz w:val="20"/>
                <w:szCs w:val="20"/>
                <w:color w:val="auto"/>
              </w:rPr>
            </w:pPr>
            <w:r>
              <w:rPr>
                <w:rFonts w:ascii="Times New Roman" w:cs="Times New Roman" w:eastAsia="Times New Roman" w:hAnsi="Times New Roman"/>
                <w:sz w:val="18"/>
                <w:szCs w:val="18"/>
                <w:color w:val="auto"/>
                <w:w w:val="98"/>
              </w:rPr>
              <w:t>December 16, 2020</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A/S and Novo Nordisk A/G</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LLC</w:t>
            </w:r>
          </w:p>
        </w:tc>
        <w:tc>
          <w:tcPr>
            <w:tcW w:w="1940" w:type="dxa"/>
            <w:vAlign w:val="bottom"/>
          </w:tcPr>
          <w:p>
            <w:pPr>
              <w:spacing w:after="0"/>
              <w:rPr>
                <w:sz w:val="19"/>
                <w:szCs w:val="19"/>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UCB Pharma</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RPI Finance Trust</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24, 2012</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 Hoffmann-La Roche Ltd</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RPI Finance Trust</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24,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-616585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-205105</wp:posOffset>
            </wp:positionV>
            <wp:extent cx="713232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3860" w:space="420"/>
            <w:col w:w="6960"/>
          </w:cols>
          <w:pgMar w:left="320" w:top="121"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Due to our ongoing manufacturing obligations in both arrangements, we account for the proceeds as imputed debt (Royalty Obligations) and therefore continue to recognize these non-cash royalties as revenue. As royalties are remitted to RPI and HCR by our licensees, the balances of the respective Royalty Obligations will be effectively repaid over the lives of the agreements. To determine the amortization of the Royalty Obligations, we are required to estimate the total amount of future royalty payments to be received by RPI and HCR, respectively. The sum of these amounts less the net proceeds we received will be recorded as non-cash interest expense over the lives of the respective Royalty Obligations. Additionally, to the extent that the amount or timing of the royalty payments is materially different from our original estimates, we will prospectively adjust the imputed interest rate and the related amortization of the applicable Royalty Obligation. As of June 30, 2022, our imputed interest rates for the arrangements with RPI and HCR were 16% and 15%, respectively.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of each arrangement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6"/>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Period from inception to June 30, 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6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2012 Purchase and</w:t>
            </w:r>
          </w:p>
        </w:tc>
        <w:tc>
          <w:tcPr>
            <w:tcW w:w="138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2020 Purchase and</w:t>
            </w:r>
          </w:p>
        </w:tc>
        <w:tc>
          <w:tcPr>
            <w:tcW w:w="480" w:type="dxa"/>
            <w:vAlign w:val="bottom"/>
          </w:tcPr>
          <w:p>
            <w:pPr>
              <w:spacing w:after="0"/>
              <w:rPr>
                <w:sz w:val="11"/>
                <w:szCs w:val="11"/>
                <w:color w:val="auto"/>
              </w:rPr>
            </w:pPr>
          </w:p>
        </w:tc>
        <w:tc>
          <w:tcPr>
            <w:tcW w:w="8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 Agreement</w:t>
            </w:r>
          </w:p>
        </w:tc>
        <w:tc>
          <w:tcPr>
            <w:tcW w:w="4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monetization proceeds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274,000</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royalty revenue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(367,277)</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259,030</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to RPI</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revaluation of liability related to the sale of future royalties (1)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 ending balance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179,275</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unamortized transaction costs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Loss recognized from Settlement Agreement to resolve UCB’s challenges to our patents, as agreed to by UCB, RPI and us, on October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October 2018, we and certain of our executives were named in a putative securities class action complaint filed in the U.S. District Court for the Northern District of California (Case No. 18-cv-06607, which we refer to as the Mulquin action). The Mulquin plaintiffs have challenged public statements Nektar made, between January 2017 and June 2018, about the clinical trials of bempegaldesleukin. The Mulquin complaint was amended in May 2019. The defendants moved to dismiss and the court granted the motion without prejudice in July 2020. The Mulquin plaintiffs again amended their complaint and the defendants again moved to dismiss. In December 2020, the court dismissed the action with prejudice. The plaintiffs filed a notice of appeal in January 2021 and appellate briefing in the U.S. Court of Appeals for the Ninth Circuit was completed in September 2021. Oral argument occurred on December 10, 2021. On May 19, 2022, the Ninth Circuit affirmed the district court's dismissal of all claims against the defendants.</w:t>
      </w:r>
    </w:p>
    <w:p>
      <w:pPr>
        <w:spacing w:after="0" w:line="8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 derivative action was also filed against certain of the Company’s current and former officers and directors, purportedly on the Company’s behalf. This derivative action is based on the allegations in the Mulquin action and on the premise that the Company’s officers and directors breached their fiduciary duties to the Company. The complaint for this derivative action was filed in February 2021 in the Court of Chancery of the State of Delaware (C.A. No. 2021-0118-PAF). Following a stay in the proceedings during the pendency of the appeal in the Mulquin action, the Company received an amended complaint on July 29, 2022, and the defendants will have until September 12, 2022 to respond to the amended complaint. Given the nature and status of the derivative action, we cannot reasonably estimate a potential future loss or a range of potential future losses. However, an unfavorable resolution could potentially have a material adverse effect on our business, financial condition, and results of operations or prospects, and potentially result in paying monetary damages. We have recorded no liability for these matters in our Consolidated Balance Sheets at either June 30, 2022 or December 31,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 in Connection with Commercial Agreements</w:t>
      </w:r>
    </w:p>
    <w:p>
      <w:pPr>
        <w:spacing w:after="0" w:line="175" w:lineRule="exact"/>
        <w:rPr>
          <w:sz w:val="20"/>
          <w:szCs w:val="20"/>
          <w:color w:val="auto"/>
        </w:rPr>
      </w:pPr>
    </w:p>
    <w:p>
      <w:pPr>
        <w:ind w:firstLine="170"/>
        <w:spacing w:after="0" w:line="256" w:lineRule="auto"/>
        <w:rPr>
          <w:sz w:val="20"/>
          <w:szCs w:val="20"/>
          <w:color w:val="auto"/>
        </w:rPr>
      </w:pPr>
      <w:r>
        <w:rPr>
          <w:rFonts w:ascii="Times New Roman" w:cs="Times New Roman" w:eastAsia="Times New Roman" w:hAnsi="Times New Roman"/>
          <w:sz w:val="18"/>
          <w:szCs w:val="18"/>
          <w:color w:val="auto"/>
        </w:rPr>
        <w:t>As part of our collaboration agreements with our partners related to the license, development, manufacture and supply of drugs and PEGylation materials based on our proprietary technologies and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79" w:lineRule="exact"/>
        <w:rPr>
          <w:sz w:val="20"/>
          <w:szCs w:val="20"/>
          <w:color w:val="auto"/>
        </w:rPr>
      </w:pPr>
    </w:p>
    <w:p>
      <w:pPr>
        <w:ind w:right="340" w:firstLine="567"/>
        <w:spacing w:after="0" w:line="266" w:lineRule="auto"/>
        <w:rPr>
          <w:sz w:val="20"/>
          <w:szCs w:val="20"/>
          <w:color w:val="auto"/>
        </w:rPr>
      </w:pPr>
      <w:r>
        <w:rPr>
          <w:rFonts w:ascii="Times New Roman" w:cs="Times New Roman" w:eastAsia="Times New Roman" w:hAnsi="Times New Roman"/>
          <w:sz w:val="18"/>
          <w:szCs w:val="18"/>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License and Collaboration Agreements</w:t>
      </w:r>
    </w:p>
    <w:p>
      <w:pPr>
        <w:spacing w:after="0" w:line="175" w:lineRule="exact"/>
        <w:rPr>
          <w:sz w:val="20"/>
          <w:szCs w:val="20"/>
          <w:color w:val="auto"/>
        </w:rPr>
      </w:pPr>
    </w:p>
    <w:p>
      <w:pPr>
        <w:ind w:right="80" w:firstLine="567"/>
        <w:spacing w:after="0" w:line="255" w:lineRule="auto"/>
        <w:rPr>
          <w:sz w:val="20"/>
          <w:szCs w:val="20"/>
          <w:color w:val="auto"/>
        </w:rPr>
      </w:pPr>
      <w:r>
        <w:rPr>
          <w:rFonts w:ascii="Times New Roman" w:cs="Times New Roman" w:eastAsia="Times New Roman" w:hAnsi="Times New Roman"/>
          <w:sz w:val="18"/>
          <w:szCs w:val="18"/>
          <w:color w:val="auto"/>
        </w:rPr>
        <w:t>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and payments for the manufacture and supply of our proprietary PEGylation materials and/or reimbursement for research and development activities.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and, if so, we analyze whether we should account for any elements under ASC 606.</w:t>
      </w:r>
    </w:p>
    <w:p>
      <w:pPr>
        <w:spacing w:after="0" w:line="81" w:lineRule="exact"/>
        <w:rPr>
          <w:sz w:val="20"/>
          <w:szCs w:val="20"/>
          <w:color w:val="auto"/>
        </w:rPr>
      </w:pPr>
    </w:p>
    <w:p>
      <w:pPr>
        <w:ind w:right="400" w:firstLine="567"/>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collaboration agreements in the three and six months ended June 30, 2022, other than as described below for our Strategic Collaboration Agreement with BMS and Note 4 regarding SFJ.</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Company (BMS)</w:t>
      </w:r>
      <w:r>
        <w:rPr>
          <w:rFonts w:ascii="Times New Roman" w:cs="Times New Roman" w:eastAsia="Times New Roman" w:hAnsi="Times New Roman"/>
          <w:sz w:val="18"/>
          <w:szCs w:val="18"/>
          <w:i w:val="1"/>
          <w:iCs w:val="1"/>
          <w:color w:val="auto"/>
        </w:rPr>
        <w:t>: Bempegaldesleukin, also referred to as NKTR-214</w:t>
      </w:r>
    </w:p>
    <w:p>
      <w:pPr>
        <w:spacing w:after="0" w:line="175" w:lineRule="exact"/>
        <w:rPr>
          <w:sz w:val="20"/>
          <w:szCs w:val="20"/>
          <w:color w:val="auto"/>
        </w:rPr>
      </w:pPr>
    </w:p>
    <w:p>
      <w:pPr>
        <w:ind w:right="80" w:firstLine="567"/>
        <w:spacing w:after="0" w:line="243" w:lineRule="auto"/>
        <w:rPr>
          <w:sz w:val="20"/>
          <w:szCs w:val="20"/>
          <w:color w:val="auto"/>
        </w:rPr>
      </w:pPr>
      <w:r>
        <w:rPr>
          <w:rFonts w:ascii="Times New Roman" w:cs="Times New Roman" w:eastAsia="Times New Roman" w:hAnsi="Times New Roman"/>
          <w:sz w:val="18"/>
          <w:szCs w:val="18"/>
          <w:color w:val="auto"/>
        </w:rPr>
        <w:t>On February 13, 2018, we entered into a Strategic Collaboration Agreement (the BMS Collaboration Agreement) and a Share Purchase Agreement with BMS, both of which became effective on April 3, 2018. Pursuant to the BMS Collaboration Agreement, we and BMS have jointly developed bempegaldesleukin in combination with BMS’s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parties share the internal and external development costs for bempegaldesleukin in combination regimens based on each party’s relative ownership interest in the compounds included in the regimens. In accordance with the agreement, the parties share development costs for bempegaldesleukin in combination with Opdivo</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67.5% of costs to BMS and 32.5% to Nektar. The parties share costs for the manufacturing and commercialization of bempegaldesleukin, 35% of the costs to BMS and 65% to Nektar.</w:t>
      </w:r>
    </w:p>
    <w:p>
      <w:pPr>
        <w:spacing w:after="0" w:line="88" w:lineRule="exact"/>
        <w:rPr>
          <w:sz w:val="20"/>
          <w:szCs w:val="20"/>
          <w:color w:val="auto"/>
        </w:rPr>
      </w:pPr>
    </w:p>
    <w:p>
      <w:pPr>
        <w:jc w:val="both"/>
        <w:ind w:right="140" w:firstLine="567"/>
        <w:spacing w:after="0" w:line="261" w:lineRule="auto"/>
        <w:rPr>
          <w:sz w:val="20"/>
          <w:szCs w:val="20"/>
          <w:color w:val="auto"/>
        </w:rPr>
      </w:pPr>
      <w:r>
        <w:rPr>
          <w:rFonts w:ascii="Times New Roman" w:cs="Times New Roman" w:eastAsia="Times New Roman" w:hAnsi="Times New Roman"/>
          <w:sz w:val="18"/>
          <w:szCs w:val="18"/>
          <w:color w:val="auto"/>
        </w:rPr>
        <w:t>Upon the effective date of the BMS Collaboration Agreement in April 2018, BMS paid us a non-refundable upfront cash payment of $1.0 billion and purchased 8,284,600 shares of our common stock pursuant to the Share Purchase Agreement for total additional cash consideration of $850.0 million. In 2020, we received non-refundable milestone payments of $50.0 million in aggregate for the first patient, first visit in the registrational trials in muscle-invasive bladder cancer and adjuvant melanoma.</w:t>
      </w:r>
    </w:p>
    <w:p>
      <w:pPr>
        <w:spacing w:after="0" w:line="72" w:lineRule="exact"/>
        <w:rPr>
          <w:sz w:val="20"/>
          <w:szCs w:val="20"/>
          <w:color w:val="auto"/>
        </w:rPr>
      </w:pPr>
    </w:p>
    <w:p>
      <w:pPr>
        <w:ind w:right="240" w:firstLine="567"/>
        <w:spacing w:after="0" w:line="256" w:lineRule="auto"/>
        <w:rPr>
          <w:sz w:val="20"/>
          <w:szCs w:val="20"/>
          <w:color w:val="auto"/>
        </w:rPr>
      </w:pPr>
      <w:r>
        <w:rPr>
          <w:rFonts w:ascii="Times New Roman" w:cs="Times New Roman" w:eastAsia="Times New Roman" w:hAnsi="Times New Roman"/>
          <w:sz w:val="18"/>
          <w:szCs w:val="18"/>
          <w:color w:val="auto"/>
        </w:rPr>
        <w:t>As discussed in Note 1, on March 14, 2022, we announced our registrational trial in metastatic melanoma did not meet its primary endpoints and that BMS and we decided to discontinue the trials in metastatic melanoma and adjuvant melanoma. On April 14, 2022, we announced that our registrational trials in each of renal cell carcinoma and cisplatin-ineligible, locally advanced or metastatic urothelial cancer did not meet their respective primary endpoints. Due to these results, BMS and we decided that these studies and all other ongoing studies in the program will be discontinued. The decision to terminate the program does not affect the cost-sharing provisions under the BMS Collaboration Agreement. However, without further development of bempegaldesleukin, we will no longer be eligible for the development, regulatory and sales milestones under the arrangement.</w:t>
      </w:r>
    </w:p>
    <w:p>
      <w:pPr>
        <w:spacing w:after="0" w:line="79" w:lineRule="exact"/>
        <w:rPr>
          <w:sz w:val="20"/>
          <w:szCs w:val="20"/>
          <w:color w:val="auto"/>
        </w:rPr>
      </w:pPr>
    </w:p>
    <w:p>
      <w:pPr>
        <w:ind w:right="60" w:firstLine="567"/>
        <w:spacing w:after="0" w:line="282" w:lineRule="auto"/>
        <w:rPr>
          <w:sz w:val="20"/>
          <w:szCs w:val="20"/>
          <w:color w:val="auto"/>
        </w:rPr>
      </w:pPr>
      <w:r>
        <w:rPr>
          <w:rFonts w:ascii="Times New Roman" w:cs="Times New Roman" w:eastAsia="Times New Roman" w:hAnsi="Times New Roman"/>
          <w:sz w:val="18"/>
          <w:szCs w:val="18"/>
          <w:color w:val="auto"/>
        </w:rPr>
        <w:t>We determined that the BMS Collaboration Agreement falls within the scope of ASC 808. As mentioned above, BMS shares certain percentages of development costs incurred by us and we share certain percentages of development costs incurred by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BMS. We consider these activities to represent collaborative activities under ASC 808 and we recognize such cost sharing proportionately with the performance of the underlying services. We recognized BMS’ reimbursement of our expenses as a reduction of research and development expense and our reimbursement of BMS’ expenses as research and development expense. As discussed in Note 8, beginning in the three months ended June 30, 2022, we began reporting clinical trial, other third-party costs and employee costs for the bempegaldesleukin program in Restructuring, impairment and other costs of program. Accordingly, during the three months ended June 30, 2022, we recorded $7.6 million, as a reduction of such expense for the net reimbursement from BMS. During the six months ended June 30, 2022, we recorded $24.9 million as a reduction of research and development expense for the net reimbursement from BMS, reflecting the reimbursement recorded in the three months ended March 31, 2022. For the three and six months ended June 30, 2021, we recorded $24.8 million and $51.4 million, respectively, as a reduction of research and development expense for the net reimbursement from BMS. As of June 30, 2022, we have recorded an unbilled receivable of $7.4 million from BMS in accounts receivable in our Condensed Consolidated Balance Sheet.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 (Lilly</w:t>
      </w:r>
      <w:r>
        <w:rPr>
          <w:rFonts w:ascii="Times New Roman" w:cs="Times New Roman" w:eastAsia="Times New Roman" w:hAnsi="Times New Roman"/>
          <w:sz w:val="18"/>
          <w:szCs w:val="18"/>
          <w:i w:val="1"/>
          <w:iCs w:val="1"/>
          <w:color w:val="auto"/>
        </w:rPr>
        <w:t>): NKTR-358</w:t>
      </w:r>
    </w:p>
    <w:p>
      <w:pPr>
        <w:spacing w:after="0" w:line="175"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On July 23, 2017, we entered into a worldwide license agreement (the Lilly Agreement) with Eli Lilly and Company (Lilly) to co-develop NKTR-358, a novel immunological drug candidate that we invented, pursuant to which we received an initial payment of $150.0 million and are eligible for up to $250.0 million in additional development and regulatory milestones. We are currently in Phase 1B and Phase 2 development, where we share costs with 75% of the costs borne by Lilly and 25% of the costs borne by us. Lilly is responsible for the costs of Phase 3 development, but we retain the option to</w:t>
      </w:r>
    </w:p>
    <w:p>
      <w:pPr>
        <w:spacing w:after="0" w:line="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contribute up to 25% of the costs of Phase 3 development on an indication-by-indication basis in order for us to achieve the maximum royalty level under the Lilly Agreement, and further, if approved, we will have the opportunity to receive a royalty rate up to the low twenties based upon our Phase 3 development cost contribution and the level of annual global product sales. Lilly will be responsible for all costs of global commercialization, and we will have an option to co-promote in the U.S. under certain conditions. A portion of the development milestones may be reduced by 50% under certain conditions, related to the final formulation of the approved product and the timing of prior approval (if any) of competitive products with a similar mechanism of action, which could reduce these milestone payments by 75% if both conditions occur.</w:t>
      </w:r>
    </w:p>
    <w:p>
      <w:pPr>
        <w:spacing w:after="0" w:line="79" w:lineRule="exact"/>
        <w:rPr>
          <w:sz w:val="20"/>
          <w:szCs w:val="20"/>
          <w:color w:val="auto"/>
        </w:rPr>
      </w:pPr>
    </w:p>
    <w:p>
      <w:pPr>
        <w:ind w:firstLine="567"/>
        <w:spacing w:after="0" w:line="266"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The Lilly Agreement may be terminated by Lilly for convenience, and may also be terminated under certain other circumstances, including material breach.</w:t>
      </w:r>
    </w:p>
    <w:p>
      <w:pPr>
        <w:spacing w:after="0" w:line="68"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Although we are entitled to significant development milestones under this arrangement, through June 30, 2022, we have excluded such milestones from the transaction price due to the significant uncertainties involved with clinical development. We re-evaluate the transaction price at each reporting period and as uncertain events are resolved or other changes in circumstances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We have other collaboration agreements that have resulted in commercialized products for our collaborations partners. Under these agreements, we may sell our proprietary PEGylation materials for use in these products, and we are entitled to receive royalties based on net sales of these products as well as sales milestones. As discussed in Note 5, we have sold our rights to receive royalties from these other collaboration agreements. Our non-cash royalty revenue which totaled $16.3 million and $33.8 million for the three and six months ended June 30, 2022 and totaled $20.5 million and $39.3 million for the three and six months ended June 30, 2021, respectively, represents revenue for granting licenses which we had satisfied in prior periods.</w:t>
      </w:r>
    </w:p>
    <w:p>
      <w:pPr>
        <w:spacing w:after="0" w:line="75"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Additionally, we have a collaboration agreement for a product under development, under which we are entitled to up to a total of $40.0 million of regulatory milestones, as well as sales milestones upon achievement of annual sales targets and royalties based on net sales of commercialized products, if any. However, given the current phase of development of the potential product under this collaboration agreement, we cannot estimate the probability or timing of achieving these milestones, and, therefore, have excluded all development milestones from the transaction price for this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Restructuring, Impairment and Other Costs of Terminated Program</w:t>
      </w:r>
    </w:p>
    <w:p>
      <w:pPr>
        <w:spacing w:after="0" w:line="175"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As discussed in Note 1, because our registrational trials in bempegaldesleukin did not meet their primary endpoints, we decided to discontinue all of our ongoing clinical trials of bempegaldesleukin in combination with checkpoint inhibitors and tyrosine kinase inhibitors, and, during April 2022, we announced the Restructuring Plan to prioritize key Phase 2 development programs, to advance our early stage research pipeline and to reduce our workforce by approximately 70% from approximately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735 to approximately 225 employees. In connection with these events, we reported the following costs in Restructuring, impairment and other costs of terminated program in the three months ended June 30, 2022:</w:t>
      </w:r>
    </w:p>
    <w:p>
      <w:pPr>
        <w:spacing w:after="0" w:line="108" w:lineRule="exact"/>
        <w:rPr>
          <w:sz w:val="20"/>
          <w:szCs w:val="20"/>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 other third-party costs and employee costs for the wind down of the bempegaldesleukin program, net of the reimbursement from BMS;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related benefit costs pursuant to the Restructuring Plan;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right-of-use assets and property, plant and equipment resulting from the Restructuring Plan, primarily reflecting excess office and laboratory leased spaces in San Francisco, CA;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costs associated with these plans. Previously, during the three months ended March 31, 2022, we recognized an initial $1.5 million in cancellation fees related to certain manufacturing activities for bempegaldesleukin.</w:t>
      </w:r>
    </w:p>
    <w:p>
      <w:pPr>
        <w:spacing w:after="0" w:line="54" w:lineRule="exact"/>
        <w:rPr>
          <w:sz w:val="20"/>
          <w:szCs w:val="20"/>
          <w:color w:val="auto"/>
        </w:rPr>
      </w:pPr>
    </w:p>
    <w:p>
      <w:pPr>
        <w:ind w:right="580" w:firstLine="567"/>
        <w:spacing w:after="0" w:line="282" w:lineRule="auto"/>
        <w:rPr>
          <w:sz w:val="20"/>
          <w:szCs w:val="20"/>
          <w:color w:val="auto"/>
        </w:rPr>
      </w:pPr>
      <w:r>
        <w:rPr>
          <w:rFonts w:ascii="Times New Roman" w:cs="Times New Roman" w:eastAsia="Times New Roman" w:hAnsi="Times New Roman"/>
          <w:sz w:val="18"/>
          <w:szCs w:val="18"/>
          <w:color w:val="auto"/>
        </w:rPr>
        <w:t>In prior periods, we reported the clinical trial costs, other third-party costs and employee costs related to the bempegaldesleukin primarily in research and development expense.</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 includes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5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0" w:type="dxa"/>
            <w:vAlign w:val="bottom"/>
            <w:tcBorders>
              <w:bottom w:val="single" w:sz="8" w:color="auto"/>
            </w:tcBorders>
          </w:tcPr>
          <w:p>
            <w:pPr>
              <w:spacing w:after="0"/>
              <w:rPr>
                <w:sz w:val="16"/>
                <w:szCs w:val="16"/>
                <w:color w:val="auto"/>
              </w:rPr>
            </w:pPr>
          </w:p>
        </w:tc>
      </w:tr>
      <w:tr>
        <w:trPr>
          <w:trHeight w:val="25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expense, other third-party and employee costs for the wind down of the bempegaldesleukin program</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r>
      <w:tr>
        <w:trPr>
          <w:trHeight w:val="27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benefit expense</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r>
      <w:tr>
        <w:trPr>
          <w:trHeight w:val="27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48"/>
        </w:trPr>
        <w:tc>
          <w:tcPr>
            <w:tcW w:w="8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567"/>
        <w:spacing w:after="0" w:line="282" w:lineRule="auto"/>
        <w:rPr>
          <w:sz w:val="20"/>
          <w:szCs w:val="20"/>
          <w:color w:val="auto"/>
        </w:rPr>
      </w:pPr>
      <w:r>
        <w:rPr>
          <w:rFonts w:ascii="Times New Roman" w:cs="Times New Roman" w:eastAsia="Times New Roman" w:hAnsi="Times New Roman"/>
          <w:sz w:val="18"/>
          <w:szCs w:val="18"/>
          <w:color w:val="auto"/>
        </w:rPr>
        <w:t>The clinical trial expense, other third-party and employee costs for the wind down of the bempegaldesleukin program for the three and six months ended June 30, 2022 includes a reduction of $7.6 million for the net reimbursement from BMS.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Benefit Expense</w:t>
      </w:r>
    </w:p>
    <w:p>
      <w:pPr>
        <w:spacing w:after="0" w:line="175"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Employees affected by the reduction in force under our Restructuring Plan are entitled to receive severance payments and certain Company funded benefits. We recognized severance and benefit expense in full for employees who were notified of their termination in April 2022 and have no requirements for future service, and we are recognizing expense for employees who are required to render services to receive their severance and benefits over the service period ratably over the service period. This service period began in April 2022 and all will end during 2022. The following table provides details regarding the severance and other termination benefit expense and a reconciliation of such liability for the three months ended June 30, 2022, which we report within Accrued compensation on our Condensed Consolidated Balance Sheet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7"/>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 service period</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Service period</w:t>
            </w:r>
          </w:p>
        </w:tc>
        <w:tc>
          <w:tcPr>
            <w:tcW w:w="300" w:type="dxa"/>
            <w:vAlign w:val="bottom"/>
          </w:tcPr>
          <w:p>
            <w:pPr>
              <w:spacing w:after="0"/>
              <w:rPr>
                <w:sz w:val="11"/>
                <w:szCs w:val="11"/>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severance and other termination benefits, at fair value</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March 31, 2022</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recognized during the period</w:t>
            </w:r>
          </w:p>
        </w:tc>
        <w:tc>
          <w:tcPr>
            <w:tcW w:w="2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June 30, 2022</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22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The liability as of June 30, 2022 for employees terminated with no requirements for future service primarily relates to final severance paid in July 2022. We may record adjustments to severance and benefit expense in future periods as our estimates of the costs of benefits change or when an employee terminates before the end of their requisite service period. However, we do not expect that such adjustments will have a material effect on our results of operations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Right-of-Use Assets and Property, Plant and Equipment</w:t>
      </w:r>
    </w:p>
    <w:p>
      <w:pPr>
        <w:spacing w:after="0" w:line="175" w:lineRule="exact"/>
        <w:rPr>
          <w:sz w:val="20"/>
          <w:szCs w:val="20"/>
          <w:color w:val="auto"/>
        </w:rPr>
      </w:pPr>
    </w:p>
    <w:p>
      <w:pPr>
        <w:ind w:right="260" w:firstLine="567"/>
        <w:spacing w:after="0" w:line="261" w:lineRule="auto"/>
        <w:rPr>
          <w:sz w:val="20"/>
          <w:szCs w:val="20"/>
          <w:color w:val="auto"/>
        </w:rPr>
      </w:pPr>
      <w:r>
        <w:rPr>
          <w:rFonts w:ascii="Times New Roman" w:cs="Times New Roman" w:eastAsia="Times New Roman" w:hAnsi="Times New Roman"/>
          <w:sz w:val="18"/>
          <w:szCs w:val="18"/>
          <w:color w:val="auto"/>
        </w:rPr>
        <w:t>In connection with our Restructuring Plan, we have consolidated our operations by exiting all of the office space from our leased facility at 360 Third St. and certain laboratory and office spaces at our leased facility at 455 Mission Bay Blvd. South, both in San Francisco, CA. We are seeking to sublease these spaces, while still maintaining sufficient office and laboratory space to allow our team to develop our proprietary programs. We have also terminated all research and development activities at our owned facility in India, which we plan to sell.</w:t>
      </w:r>
    </w:p>
    <w:p>
      <w:pPr>
        <w:spacing w:after="0" w:line="72"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As a result of these plans, we reviewed each of our excess spaces for impairment as of May 31, 2022, when management had determined which spaces we would retain and which spaces we may sublease. As part of our impairment evaluation of each excess space, we separately compared the estimated undiscounted income for each sublease to the net book value of the related long-term assets, which include right-of-use assets and certain property, plant and equipment, primarily for leasehold improvements (collectively, sublease assets). We estimated sublease income using market participant assumptions, including the length of time to enter into a sublease and lease payments, which we evaluated using current real estate trends and market conditions. If such income exceeded the net book value of the related assets, we did not record an impairment charge. Otherwise, we recorded an impairment charge by reducing the net book value of the assets to their estimated fair value, which we determined by discounting the estimated sublease income using the estimated borrowing rate of a market participant subtenant, which we estimated to be 6.4%. For our India site, we recorded no impairment charge because the estimated net proceeds from the sale exceed the net book value of the site. We have classified the India facility as an asset held for sale as of June 30, 2022 and report this in other current assets in our Condensed Consolidated Balance Sheet. Additionally, we recorded an impairment expense primarily for software which we plan to abandon and certain excess equipment based on the estimated income from selling such assets. We recorded impairment charges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6"/>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140" w:type="dxa"/>
            <w:vAlign w:val="bottom"/>
          </w:tcPr>
          <w:p>
            <w:pPr>
              <w:spacing w:after="0"/>
              <w:rPr>
                <w:sz w:val="11"/>
                <w:szCs w:val="11"/>
                <w:color w:val="auto"/>
              </w:rPr>
            </w:pPr>
          </w:p>
        </w:tc>
        <w:tc>
          <w:tcPr>
            <w:tcW w:w="140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Property, Plant and</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Operating Lease</w:t>
            </w:r>
          </w:p>
        </w:tc>
        <w:tc>
          <w:tcPr>
            <w:tcW w:w="400" w:type="dxa"/>
            <w:vAlign w:val="bottom"/>
          </w:tcPr>
          <w:p>
            <w:pPr>
              <w:spacing w:after="0"/>
              <w:rPr>
                <w:sz w:val="11"/>
                <w:szCs w:val="11"/>
                <w:color w:val="auto"/>
              </w:rPr>
            </w:pPr>
          </w:p>
        </w:tc>
        <w:tc>
          <w:tcPr>
            <w:tcW w:w="9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4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book value of impaired facilities before write-off</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87,268</w:t>
            </w:r>
          </w:p>
        </w:tc>
        <w:tc>
          <w:tcPr>
            <w:tcW w:w="0" w:type="dxa"/>
            <w:vAlign w:val="bottom"/>
          </w:tcPr>
          <w:p>
            <w:pPr>
              <w:spacing w:after="0"/>
              <w:rPr>
                <w:sz w:val="1"/>
                <w:szCs w:val="1"/>
                <w:color w:val="auto"/>
              </w:rPr>
            </w:pP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of impaired facilities — Level 3 of Fair Value Hierarchy</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 for facilities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w:t>
            </w:r>
          </w:p>
        </w:tc>
        <w:tc>
          <w:tcPr>
            <w:tcW w:w="0" w:type="dxa"/>
            <w:vAlign w:val="bottom"/>
          </w:tcPr>
          <w:p>
            <w:pPr>
              <w:spacing w:after="0"/>
              <w:rPr>
                <w:sz w:val="1"/>
                <w:szCs w:val="1"/>
                <w:color w:val="auto"/>
              </w:rPr>
            </w:pPr>
          </w:p>
        </w:tc>
      </w:tr>
      <w:tr>
        <w:trPr>
          <w:trHeight w:val="27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other property, plant and equipment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0" w:type="dxa"/>
            <w:vAlign w:val="bottom"/>
          </w:tcPr>
          <w:p>
            <w:pPr>
              <w:spacing w:after="0"/>
              <w:rPr>
                <w:sz w:val="1"/>
                <w:szCs w:val="1"/>
                <w:color w:val="auto"/>
              </w:rPr>
            </w:pPr>
          </w:p>
        </w:tc>
      </w:tr>
      <w:tr>
        <w:trPr>
          <w:trHeight w:val="248"/>
        </w:trPr>
        <w:tc>
          <w:tcPr>
            <w:tcW w:w="7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impairment of right-of-use assets and property, plant and equipment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property, plant and equipment as of June 30, 2022 and December 31, 2021, reflecting the effects of the impairment charges and held-for-sale reclassification.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97,385</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Depreciable property, plant and equipment at cost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(148,039)</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Depreciable property, plant and equipment,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2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60,510</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firstLine="567"/>
        <w:spacing w:after="0" w:line="282" w:lineRule="auto"/>
        <w:rPr>
          <w:sz w:val="20"/>
          <w:szCs w:val="20"/>
          <w:color w:val="auto"/>
        </w:rPr>
      </w:pPr>
      <w:r>
        <w:rPr>
          <w:rFonts w:ascii="Times New Roman" w:cs="Times New Roman" w:eastAsia="Times New Roman" w:hAnsi="Times New Roman"/>
          <w:sz w:val="18"/>
          <w:szCs w:val="18"/>
          <w:color w:val="auto"/>
        </w:rPr>
        <w:t>We may record adjustments to impairment expense in future periods as we enter into sublease or sale agreements or change our estimates when additional information becomes available to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75" w:lineRule="exact"/>
        <w:rPr>
          <w:sz w:val="20"/>
          <w:szCs w:val="20"/>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On June 8, 2022, the stockholders of Nektar approved an amendment to the Amended and Restated 2017 Performance Incentive Plan to increase the aggregate number of shares of Common Stock authorized for issuance thereunder by 5,000,000 shares.</w:t>
      </w:r>
    </w:p>
    <w:p>
      <w:pPr>
        <w:spacing w:after="0" w:line="108" w:lineRule="exact"/>
        <w:rPr>
          <w:sz w:val="20"/>
          <w:szCs w:val="20"/>
          <w:color w:val="auto"/>
        </w:rPr>
      </w:pPr>
    </w:p>
    <w:p>
      <w:pPr>
        <w:ind w:right="80" w:firstLine="567"/>
        <w:spacing w:after="0" w:line="263" w:lineRule="auto"/>
        <w:rPr>
          <w:sz w:val="20"/>
          <w:szCs w:val="20"/>
          <w:color w:val="auto"/>
        </w:rPr>
      </w:pPr>
      <w:r>
        <w:rPr>
          <w:rFonts w:ascii="Times New Roman" w:cs="Times New Roman" w:eastAsia="Times New Roman" w:hAnsi="Times New Roman"/>
          <w:sz w:val="18"/>
          <w:szCs w:val="18"/>
          <w:color w:val="auto"/>
        </w:rPr>
        <w:t>In connection with our Restructuring Plan, we recorded the benefit for the forfeitures of stock awards from employees who were terminated as part of our reduction-in-force during the three months ended June 30, 2022. We recognized total stock-based compensation expense in our Condensed Consolidated Statements of Operations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w:t>
            </w:r>
          </w:p>
        </w:tc>
      </w:tr>
      <w:tr>
        <w:trPr>
          <w:trHeight w:val="2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7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issued stock-based awards of our common stock as follows (shares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8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0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options granted</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RSUs granted</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equity compensation plans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Share</w:t>
      </w:r>
    </w:p>
    <w:p>
      <w:pPr>
        <w:spacing w:after="0" w:line="175"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We calculate basic net loss per share based on the weighted-average number of common shares outstanding during the periods presented and calculate diluted net loss per share based on the weighted-average number of shares of common stock outstanding, including potentially dilutive securities. For all periods presented in the accompanying Condensed Consolidated Statements of Operations, our net loss available to common stockholders equals the reported net loss.</w:t>
      </w:r>
    </w:p>
    <w:p>
      <w:pPr>
        <w:spacing w:after="0" w:line="72" w:lineRule="exact"/>
        <w:rPr>
          <w:sz w:val="20"/>
          <w:szCs w:val="20"/>
          <w:color w:val="auto"/>
        </w:rPr>
      </w:pPr>
    </w:p>
    <w:p>
      <w:pPr>
        <w:ind w:right="120" w:firstLine="567"/>
        <w:spacing w:after="0" w:line="263" w:lineRule="auto"/>
        <w:rPr>
          <w:sz w:val="20"/>
          <w:szCs w:val="20"/>
          <w:color w:val="auto"/>
        </w:rPr>
      </w:pPr>
      <w:r>
        <w:rPr>
          <w:rFonts w:ascii="Times New Roman" w:cs="Times New Roman" w:eastAsia="Times New Roman" w:hAnsi="Times New Roman"/>
          <w:sz w:val="18"/>
          <w:szCs w:val="18"/>
          <w:color w:val="auto"/>
        </w:rPr>
        <w:t>Basic and diluted net loss per share are the same due to our net losses and the requirement to exclude potentially dilutive securities which would have an antidilutive effect on net loss per share. Potentially dilutive securities consisted of weighted-average common shares underlying outstanding stock options and RSUs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8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 “Risk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Direction of Our Business</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Nektar Therapeutics is a research-based biopharmaceutical company that discovers and develops innovative new medicines in areas of high unmet medical need. Our research and development pipeline of new investigational drugs includes potential therapies for oncology and immunology. We leverage our proprietary and proven chemistry platform to discover and design new drug candidates. These drug candidates utilize our advanced polymer conjugate technology platforms, which are designed to enable the development of new molecular entities that target known mechanisms of action. We continue to make significant investments in new drug discovery and advancing our pipeline of drug candidates as we believe that this is the best strategy to build long-term stockholder value.</w:t>
      </w:r>
    </w:p>
    <w:p>
      <w:pPr>
        <w:spacing w:after="0" w:line="79"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18"/>
          <w:szCs w:val="18"/>
          <w:color w:val="auto"/>
        </w:rPr>
        <w:t>In oncology, we focus on developing medicines in immuno-oncology (I-O), which is a therapeutic approach based on targeting biological pathways that stimulate and sustain the body’s immune response in order to fight cancer. In the I-O area, we executed a broad clinical development program to develop bempegaldesleukin (previously referred to as NKTR-214)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in collaboration with Bristol-Myers Squibb Company (BMS) under our Strategic Collaboration Agreement. We also conducted independent development work evaluating bempegaldesleukin in combination with other checkpoint inhibitors and agents with potential complementary mechanisms of action, including studies evaluating bempegaldesleukin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In April 2022, we and BMS jointly announced that the companies would be ending the global clinical development program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discontinue all ongoing studies in our collaboration with BMS. We also decided to discontinue all studies of bempegaldesleukin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well as our studies of NKTR-262, which was being evaluated in combination with bempegaldesleukin.</w:t>
      </w:r>
    </w:p>
    <w:p>
      <w:pPr>
        <w:spacing w:after="0" w:line="9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April 2022, we announced new strategic reorganization and cost restructuring plans (together, the Restructuring Plan) focused on prioritizing key research and development efforts that will be most impactful to the Company’s future, including our NKTR-255 and NKTR-358 programs and several core research programs.</w:t>
      </w:r>
    </w:p>
    <w:p>
      <w:pPr>
        <w:spacing w:after="0" w:line="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NKTR-255 is a biologic that targets the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formation of long-term immunological memory, which may lead to sustained and durable anti-tumor immune response. Preclinical findings suggest NKTR-255 has the potential to synergistically combine with antibody-dependent cellular cytotoxicity molecules as well as to enhance CAR-T therapies. We have initiated a Phase 1 dose escalation and expansion clinical study of NKTR-255 in adults with relapsed or refractory non-Hodgkin lymphoma or multiple myeloma, as well as a Phase 1/2 clinical study of NKTR-255 in patients with relapsed or refractory head and neck squamous cell carcinoma or colorectal cancer. We are also continuing our oncology clinical collaboration with Merck KGaA and Pfizer Inc. to evaluate the maintenance regimen of NKTR-255 in combination with avelumab, a PD-L1 inhibitor, in patients with locally advanced or metastatic urothelial carcinoma in the Phase II JAVELIN Bladder Medley study. We are also currently designing a Nektar-sponsored comparative study, which we aim to initiate in the second half of 2022.</w:t>
      </w:r>
    </w:p>
    <w:p>
      <w:pPr>
        <w:spacing w:after="0" w:line="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immunology, NKTR-358 targets the underlying immune system imbalance in the body that occurs in patients with autoimmune disease. NKTR-358 is designed to optimally target the IL-2 receptor complex in order to stimulate proliferation and growth of regulatory T cells. NKTR-358 is being developed as a once or twice monthly self-administered injection for a number of autoimmune diseases. In 2017, we entered into a worldwide license agreement with Eli Lilly and Company (Lilly) to develop and commercialize NKTR-358, pursuant to which we received an initial payment of $150.0 million and are eligible for up to an additional $250.0 million for development and regulatory milestones. We have completed our responsibilities for Phase 1 clinical development and certain drug product development and supply activities. We also share Phase 2 development costs with Lilly, with Lilly responsible for 75% and Nektar responsible for 25% of these costs. Lilly is responsible for the costs of Phase 3 development, but we retain the option to</w:t>
      </w:r>
    </w:p>
    <w:p>
      <w:pPr>
        <w:spacing w:after="0" w:line="1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contribute up to 25% of the costs of Phase 3 development on an indication-by-indication basis in order for us to achieve the maximum royalty level under the Lilly Agreement, and further, if approved, we will have the opportunity to receive a royalty rate up to the low twenties based upon our Phase 3 development cost contribution and the level of annual global product sales.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 dose-finding trial of NKTR-358 to evaluate single-ascending doses of NKTR-358 in approximately 100 healthy patients. We also completed treatment of a Phase 1 multiple-ascending dose trial to evaluate NKTR-358 in patients with systemic lupus erythematosus (SLE). Lilly is conducting two Phase 1b studies in patients with psoriasis and atopic dermatitis, and based on positive interim Phase 1b results in atopic dermatitis announced in December 2021, Lilly is planning to initiate a Phase 2 study in atopic dermatitis. Lilly also initiated a Phase 2 study in SLE in October 2020 and a Phase 2 study in ulcerative colitis in March 2021. In April 2022, we announced that Lilly had informed us that an interim analysis in the Phase 2 study in ulcerative colitis led to the discontinuation of further development in this indication. Lilly also plans to initiate another Phase 2 study in another immune-mediated disease to potentially start in 2023.</w:t>
      </w:r>
    </w:p>
    <w:p>
      <w:pPr>
        <w:spacing w:after="0" w:line="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historically derived all of our revenue and substantial amounts of operating capital from our collaboration agreements. In addition to our collaborations with BMS and Lilly, we have received upfront and milestone payments under a number of other previous collaboration agreements, several of which have resulted in approved drugs, for which we may continue to manufacture the polymer reagents used in the production of the drug products and may be entitled to royalties for net sales of these approved drugs. As of December 31, 2020, however, we have sold the majority of our rights to receive royalties under these arrangements, including:</w:t>
      </w:r>
    </w:p>
    <w:p>
      <w:pPr>
        <w:spacing w:after="0" w:line="72" w:lineRule="exact"/>
        <w:rPr>
          <w:sz w:val="20"/>
          <w:szCs w:val="20"/>
          <w:color w:val="auto"/>
        </w:rPr>
      </w:pPr>
    </w:p>
    <w:p>
      <w:pPr>
        <w:ind w:left="660" w:right="20" w:hanging="328"/>
        <w:spacing w:after="0" w:line="229"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2012 Purchase and Sale Agreement: In 2012, we sold all of our rights to receive royalties from CIMZIA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treatment of Crohn’s disease and other autoimmune indications) and MIRCERA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treatment of anemia associated with chronic kidney disease) under our collaborations with UCB Pharma and F. Hoffmann-La Roche Ltd, respectively, to RPI Finance Trust (RPI), an affiliate of Royalty Pharma for $124.0 million.</w:t>
      </w:r>
    </w:p>
    <w:p>
      <w:pPr>
        <w:spacing w:after="0" w:line="86" w:lineRule="exact"/>
        <w:rPr>
          <w:rFonts w:ascii="Times New Roman" w:cs="Times New Roman" w:eastAsia="Times New Roman" w:hAnsi="Times New Roman"/>
          <w:sz w:val="17"/>
          <w:szCs w:val="17"/>
          <w:color w:val="auto"/>
        </w:rPr>
      </w:pPr>
    </w:p>
    <w:p>
      <w:pPr>
        <w:ind w:left="660" w:right="20" w:hanging="328"/>
        <w:spacing w:after="0" w:line="23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Purchase and Sale Agreement: In December 2020, we sold our rights, subject to a cap, to receive royalties from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MOEVNTIG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opioid-induced constipation), 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ADYNOVI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(HCR) under a capped sale arrangement, such that all future royalties return to Nektar if HCR receives $210.0 million in royalties by December 31, 2025 (the 2025 Threshold) or $240.0 million if the 2025 Threshold is not met.</w:t>
      </w:r>
    </w:p>
    <w:p>
      <w:pPr>
        <w:spacing w:after="0" w:line="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While in the near-term we continue to expect to generate substantially all of our revenue from collaboration arrangements, our long-term plan is to generate significant commercial revenue from proprietary products. Over the next several years, we plan to continue to make significant investments to advance our early drug candidate pipeline. We have several drug candidates in earlier stage clinical development or are being explored in research and that we are preparing to advance into clinical trials in future years. We are cultivating several research programs, including a collaboration with Biolojic Design to develop a unique bivalent antibody targeting TNFR2, as well as two Nektar-developed research programs focused in the areas of oncology and auto-immune disease. We believe that our substantial investment in research and development has the potential to create significant value if one or more of our drug candidates demonstrates positive clinical results, receives regulatory approval in one or more major markets and achieves commercial success.</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COVID-19 Pandemic</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continue to actively monitor the ongoing COVID-19 pandemic and applicable government recommendations in light of new developments. In particular, the emergence of new variants of the coronavirus and local resurgences in number and rates of infections, and the further spread of the virus may result in the return of prior restrictions or the institution of restrictions in the affected areas, which could have an adverse effect on our business, including our clinical trial timelines. Currently, our operations in research, manufacturing and maintenance that occur within our facilities are continuing in accordance with applicable guidelines and orders. Across all our locations, we have instituted a temporary work from home policy for office personnel who do not need to work on site to maintain productivity and we allow employees to voluntarily return to work on site with appropriate health and safety measures. The safety and well-being of our employees, and the patients and healthcare providers in our clinical trial programs, are of first and foremost importance to us. We believe that the safety measures we are taking and instructing our contractors to take in response to the COVID-19 pandemic meet or exceed the guidance and requirements issued from government and public health officials. We also continue to monitor our supply chains for any disruptions or constraints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caused by the COVID-19 pandemic. To date, we have not experienced any significant impacts on our supply, but ongoing global shortages in labor, raw materials and equipment could limit our ability to manufacture our products or to supply drug candidates for our clinical trials, or delay our research and development efforts.</w:t>
      </w:r>
    </w:p>
    <w:p>
      <w:pPr>
        <w:spacing w:after="0" w:line="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and our partners are currently engaged in the clinical testing of our drug candidates and the COVID-19 pandemic introduces challenges to our clinical development programs which are central to our business. The evolving situation around the COVID-19 pandemic, along with the resulting public health guidance measures that have been put into place, have thus far had varying impacts on the clinical testing of our drug candidates depending on the therapeutic indication, geographic distribution of clinical trial sites, the clinical trial stage, and, in certain cases, our partners’ general corporate approach to the COVID-19 pandemic. Nektar’s Phase 1 clinical study of NKTR-255 in patients with relapsed/refractory hematologic malignancies has enrolled slower than anticipated due to the challenges caused by the COVID-19 pandemic. While we are not currently aware of significant delays by our partners and collaborators caused by the COVID-19 pandemic on clinical trials involving our drug candidates; however, the fluidity of the COVID-19 pandemic precludes any firm estimates as to the ultimate effect this disease will have on clinical trials. Any current assessments of the effects of the COVID-19 pandemic on our clinical programs are difficult to predict and subject to change and, with regard to individual clinical trial sites within these studies, will likely vary by the geographic region in which they are located.</w:t>
      </w:r>
    </w:p>
    <w:p>
      <w:pPr>
        <w:spacing w:after="0" w:line="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an effort to mitigate the negative effects of the COVID-19 pandemic on our clinical trials (both in terms of clinical trial timelines and integrity of clinical study data), we have taken steps to help our clinical trial investigators and their teams continue to provide care and uninterrupted access to their patients. Although these steps may have the benefit of mitigating some of the negative effects of the COVID-19 pandemic, these measures may be insufficient to fully address all of the challenges posed by the pandemic.</w:t>
      </w:r>
    </w:p>
    <w:p>
      <w:pPr>
        <w:spacing w:after="0" w:line="7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respect to financing our near-term business needs, as set forth below in “Key Developments and Trends in Liquidity and Capital Resources,” we estimate we have working capital to fund our current business plans through at least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and Trends in Liquidity and Capital Resources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for at least the next twelve months from the date of filing. At June 30, 2022, we had approximately $628.2 million in cash and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2022 and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 thousands, except percentages)</w:t>
      </w:r>
    </w:p>
    <w:p>
      <w:pPr>
        <w:spacing w:after="0" w:line="35" w:lineRule="exact"/>
        <w:rPr>
          <w:sz w:val="20"/>
          <w:szCs w:val="20"/>
          <w:color w:val="auto"/>
        </w:rPr>
      </w:pPr>
    </w:p>
    <w:tbl>
      <w:tblPr>
        <w:tblLayout w:type="fixed"/>
        <w:tblInd w:w="55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28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860" w:type="dxa"/>
            <w:vAlign w:val="bottom"/>
            <w:gridSpan w:val="3"/>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138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5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1"/>
                <w:szCs w:val="11"/>
                <w:color w:val="auto"/>
              </w:rPr>
            </w:pPr>
          </w:p>
        </w:tc>
        <w:tc>
          <w:tcPr>
            <w:tcW w:w="110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revenue is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 The amount of upfront fees received under our license and collaboration agreements allocated to continuing obligations, such as development or manufacturing and supply commitments, is generally recognized as we deliver products or provide development services. As a result, there may be significant variations in the timing of receipt of cash payments and our recognition of revenue. We make our best estimate of the timing and amount of products and services expected to be required to fulfill our performance obligations. Given the uncertainties in research and development collaborations, significant judgment is required to make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7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Product sales include predominantly fixed price manufacturing and supply agreements with our collaboration partners and are the result of firm purchase orders from those partners. The timing of shipments is based solely on the demand and requirements of our collaboration partners and is not ratable throughout the year.</w:t>
      </w:r>
    </w:p>
    <w:p>
      <w:pPr>
        <w:spacing w:after="0" w:line="6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Product sales decreased for the six months ended June 30, 2022 as compared to the six months ended June 30, 2021 primarily due to a decrease in product demand from our collaboration partners. We expect product sales for the full year of 2022 to be marginally lower than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 Related to Sales of Future Royalties</w:t>
      </w:r>
    </w:p>
    <w:p>
      <w:pPr>
        <w:spacing w:after="0" w:line="17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our Non-cash royalty revenue, please see our discussion below in “Non-Cash Royalty Revenue and Non-Cash Interest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Collaboration and Other Revenue</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License, collaboration and other revenue includes the recognition of upfront payments, milestone and other contingent payments received in connection with our license and collaboration agreements and certain research and development activities. The level of license, collaboration and other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During the six months ended June 30, 2022, we recognized $1.5 million for a license agreement, under which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are entitled to no further consideration. As a result of the recognition of this revenue in the six months ended June 30, 2022, we expect license, collaboration and other revenue for 2022 to increase compared to 2021.</w:t>
      </w:r>
    </w:p>
    <w:p>
      <w:pPr>
        <w:spacing w:after="0" w:line="5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timing and future success of our drug development programs and those of our collaboration partners are subject to a number of risks and uncertainties. See Item 1A. Risk Factors for a discussion of the risks associated with the complex nature of our collaboration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Product Gross Margin (in thousands, except percentages)</w:t>
      </w:r>
    </w:p>
    <w:p>
      <w:pPr>
        <w:spacing w:after="0" w:line="35"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31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3100" w:type="dxa"/>
            <w:vAlign w:val="bottom"/>
            <w:gridSpan w:val="3"/>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15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7,667</w:t>
            </w:r>
          </w:p>
        </w:tc>
        <w:tc>
          <w:tcPr>
            <w:tcW w:w="2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gross profit</w:t>
            </w:r>
          </w:p>
        </w:tc>
        <w:tc>
          <w:tcPr>
            <w:tcW w:w="340" w:type="dxa"/>
            <w:vAlign w:val="bottom"/>
          </w:tcPr>
          <w:p>
            <w:pPr>
              <w:spacing w:after="0"/>
              <w:rPr>
                <w:sz w:val="23"/>
                <w:szCs w:val="23"/>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gross margin</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60" w:type="dxa"/>
            <w:vAlign w:val="bottom"/>
            <w:gridSpan w:val="4"/>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13,423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 gross profit (1)</w:t>
            </w:r>
          </w:p>
        </w:tc>
        <w:tc>
          <w:tcPr>
            <w:tcW w:w="340" w:type="dxa"/>
            <w:vAlign w:val="bottom"/>
          </w:tcPr>
          <w:p>
            <w:pPr>
              <w:spacing w:after="0"/>
              <w:rPr>
                <w:sz w:val="23"/>
                <w:szCs w:val="23"/>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7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gross margin</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Percentage change represents an improvement in the gross margin.</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strategy is to manufacture and supply polymer reagents to support our proprietary drug candidates or our third-party collaborators where we have a strategic development and commercialization relationship or where we derive substantial economic benefit. We have elected to only enter into and maintain those manufacturing relationships associated with long-term collaboration agreements which include multiple sources of revenue, which we view holistically and in aggregate. We have a predominantly fixed cost base associated with our manufacturing activities. As a result, our product gross profit and margin are significantly impacted by the mix and volume of products sold in each period.</w:t>
      </w:r>
    </w:p>
    <w:p>
      <w:pPr>
        <w:spacing w:after="0" w:line="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product gross margin improved from the three and six months ended June 30, 2021 to the three and six months ended June 30, 2022 due to the mix of manufacturing orders from our customers. Product gross margin was negative for the six months ended June 30, 2021. We have a manufacturing arrangement with a partner that includes a fixed price which is less than the fully burdened manufacturing cost for the reagent, and we expect this situation to continue with this partner in future years. In addition to product sales to this partner, we also receive royalty revenue from this collaboration. In the three and six months ended June 30, 2022 and 2021, the royalty revenue from this collaboration exceeded the related negative gross profit for this customer.</w:t>
      </w:r>
    </w:p>
    <w:p>
      <w:pPr>
        <w:spacing w:after="0" w:line="7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expect product gross margin to continue to fluctuate in future periods depending on the level and mix of manufacturing orders from our customers. We expect product gross profit to be negative in 2022 as a result of the collaborative arrangement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CCEEFF"/>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196,917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7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Research and development expense consists primarily of clinical study costs, contract manufacturing costs, direct costs of outside research, materials, supplies, licenses and fees as well as personnel costs (including salaries, benefits, and stock-based compensation). Research and development expense also includes certain overhead allocations consisting of support and facilities-related costs. Where we perform research and development activities under a joint development collaboration, such as our collaboration with BMS, we record the expense reimbursement from our partners as a reduction to research and development expense, and we record our share of our partners’ expenses as an increase to research and development expense. Under the BMS Collaboration Agreement, BMS generally bears 67.5% of development costs for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35% of costs for manufacturing bempegaldesleukin.</w:t>
      </w:r>
    </w:p>
    <w:p>
      <w:pPr>
        <w:spacing w:after="0" w:line="85"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As discussed in Note 1, BMS and we have decided to discontinue development of bempegaldesleukin in combination with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will wind down the various clinical trials under the BMS Collaboration Agreement, and we have also decided to discontinue all other development of bempegaldesleukin. The cost sharing under the BMS Collaboration Agreement remains unchanged. Additionally, as discussed in Note 8 to our Condensed Consolidated Financial Statements, we have also implemented the Restructuring Plan to reduce our workforce by approximately 70%. As a result, beginning in the three months ended June 30, 2022, we report clinical trial expense, other third-party costs and employee costs for the bempegaldesleukin program, net of the reimbursement from BMS, within Restructuring, impairment and other costs of terminated program in our Condensed Consolidated Statement of Operations. Because we no longer report these expenses in research and development expense, research and development expense decreased significantly for the three and six months ended June 30, 2022 as compared to the three and six months ended June 30, 2021, respectively, and we expect this to continue for the remainder 2022 as compared to the same period in 2021. Additionally, during the three months ended June 30, 2022, we recorded $7.6 million, as a reduction of Restructuring, impairment and other costs of terminated program for the net reimbursement from BMS. During the six months ended June 30, we recorded $24.9 million as a reduction of research and development expense for the net reimbursement from BMS, reflecting the reimbursement we recorded in the three months ended March 31, 2022. For the three and six months ended June 30, 2021, we recorded $24.8 million and $51.4 million, respectively, as a reduction of research and development expense for the net reimbursement from BMS. Please see our discussion below in Restructuring, impairment and other costs of terminated program for additional information.</w:t>
      </w:r>
    </w:p>
    <w:p>
      <w:pPr>
        <w:spacing w:after="0" w:line="9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incurred research and development expense in the three and six months ended June 30, 2022 and June 30, 2021 for development costs and manufacturing activities for NKTR-255 and development costs for NKTR-358 as Lilly conducts its Phase 1B and Phase 2 studies, for which we are responsible for 25% of costs and Lilly is responsible for 75% of costs. We expect research and development expense for the development of NKTR-255 and NKTR-358 to increase for 2022 as compared to 2021.</w:t>
      </w:r>
    </w:p>
    <w:p>
      <w:pPr>
        <w:spacing w:after="0" w:line="7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drug candidates that we plan to evaluate in clinical development during 2022 and beyond, we believe it is vitally important to continue our substantial investment in a pipeline of new drug candidates to continue to build the value of our drug candidate pipeline and our business. Our discovery research organization is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 stage research programs to human clinical studies over the next several years.</w:t>
      </w:r>
    </w:p>
    <w:p>
      <w:pPr>
        <w:spacing w:after="0" w:line="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7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a given clinical study design;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clinical study participants;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sites included in the clinical studies;</w:t>
      </w:r>
    </w:p>
    <w:p>
      <w:pPr>
        <w:spacing w:after="0" w:line="117"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study designs required by the health authorities (i.e. primary and secondary endpoints as well as the size of the study population needed to demonstrate efficacy and safety outcomes);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changing standards of care for the target patient population;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patient recruitment from competitive drug candidates being studied in the same clinical setting;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producing supplies of the drug candidates needed for clinical trials and regulatory submissions;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profile of the drug candidate;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clinical research organizations to assist with the management of the trials;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and the ability to secure, approvals from government health authorities.</w:t>
      </w:r>
    </w:p>
    <w:p>
      <w:pPr>
        <w:spacing w:after="0" w:line="11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Furthermore, our strategy includes the potential of entering into collaborations with third parties to participate in the development and commercialization of some of our drug candidates such as the collaboration that we have already completed for NKTR-358,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CFF0FC"/>
            </w:tcBorders>
          </w:tcPr>
          <w:p>
            <w:pPr>
              <w:spacing w:after="0"/>
              <w:rPr>
                <w:sz w:val="17"/>
                <w:szCs w:val="17"/>
                <w:color w:val="auto"/>
              </w:rPr>
            </w:pPr>
          </w:p>
        </w:tc>
        <w:tc>
          <w:tcPr>
            <w:tcW w:w="1100" w:type="dxa"/>
            <w:vAlign w:val="bottom"/>
            <w:tcBorders>
              <w:top w:val="single" w:sz="8" w:color="auto"/>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20" w:type="dxa"/>
            <w:vAlign w:val="bottom"/>
            <w:tcBorders>
              <w:top w:val="single" w:sz="8" w:color="auto"/>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9"/>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4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firstLine="567"/>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 includes the cost of administrative staffing, commercial, finance and legal activities. As discussed in Note 8 to our Condensed Consolidated Financial Statements, we have implemented a Restructuring Plan to reduce our workforce by approximately 70%. As a result of our Restructuring Plan, the commercial organization was eliminated and all other bempegaldesleukin-related commercialization activities ceased.</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Accordingly, general and administrative expense decreased for the three and six months ended June 30, 2022 compared with the three and six months ended June 30, 2021, and we expect this trend to continue for the full year of 2022 as compared to 2021. Beginning in the three months ended June 30, 2022, we report third-party costs and employee compensation costs for the bempegaldesleukin program and severance and benefit costs in Restructuring, impairment and other costs for terminated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Impairment and Other Costs of Terminated Program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8"/>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5"/>
        </w:trPr>
        <w:tc>
          <w:tcPr>
            <w:tcW w:w="616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CFF0FC"/>
            </w:tcBorders>
          </w:tcPr>
          <w:p>
            <w:pPr>
              <w:spacing w:after="0"/>
              <w:rPr>
                <w:sz w:val="16"/>
                <w:szCs w:val="16"/>
                <w:color w:val="auto"/>
              </w:rPr>
            </w:pPr>
          </w:p>
        </w:tc>
        <w:tc>
          <w:tcPr>
            <w:tcW w:w="1040" w:type="dxa"/>
            <w:vAlign w:val="bottom"/>
            <w:tcBorders>
              <w:top w:val="single" w:sz="8" w:color="auto"/>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160" w:type="dxa"/>
            <w:vAlign w:val="bottom"/>
            <w:tcBorders>
              <w:top w:val="single" w:sz="8" w:color="auto"/>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106,045</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421"/>
        </w:trPr>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1040" w:type="dxa"/>
            <w:vAlign w:val="bottom"/>
            <w:tcBorders>
              <w:top w:val="single" w:sz="8" w:color="auto"/>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107,520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20" w:firstLine="567"/>
        <w:spacing w:after="0" w:line="258" w:lineRule="auto"/>
        <w:rPr>
          <w:sz w:val="20"/>
          <w:szCs w:val="20"/>
          <w:color w:val="auto"/>
        </w:rPr>
      </w:pPr>
      <w:r>
        <w:rPr>
          <w:rFonts w:ascii="Times New Roman" w:cs="Times New Roman" w:eastAsia="Times New Roman" w:hAnsi="Times New Roman"/>
          <w:sz w:val="18"/>
          <w:szCs w:val="18"/>
          <w:color w:val="auto"/>
        </w:rPr>
        <w:t>As discussed in Note 8 to our Condensed Consolidated Financial Statements, following the announcements in March and April 2022 that our registrational trials in bempegaldesleukin failed to meet their primary endpoints, on April 25, 2022, we announced strategic reorganization and cost restructuring plans (together, the Restructuring Plan) to prioritize key Phase 2 development programs, to advance our early stage research pipeline and to reduce our workforce by approximately 70% from approximately 735 to approximately 225 employees. In connection with these events, we reported the following costs in Restructuring, impairment and other costs of terminated program: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 other third-party costs and employee costs for the wind down of the bempegaldesleukin program, net of the reimbursement from BMS;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related benefit costs pursuant to the Restructuring Plan;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right-of-use assets and property, plant and equipment resulting from the Restructuring Plan, primarily reflecting excess office and laboratory leased spaces in San Francisco, CA;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costs associated with these plans to discontinue development of bempegaldesleukin.</w:t>
      </w:r>
    </w:p>
    <w:p>
      <w:pPr>
        <w:spacing w:after="0" w:line="17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Restructuring, impairment and other costs of terminated program, as further described and disclosed in Note 8 to our Condensed Consolidated Financial Statements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5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0" w:type="dxa"/>
            <w:vAlign w:val="bottom"/>
            <w:tcBorders>
              <w:bottom w:val="single" w:sz="8" w:color="auto"/>
            </w:tcBorders>
          </w:tcPr>
          <w:p>
            <w:pPr>
              <w:spacing w:after="0"/>
              <w:rPr>
                <w:sz w:val="16"/>
                <w:szCs w:val="16"/>
                <w:color w:val="auto"/>
              </w:rPr>
            </w:pPr>
          </w:p>
        </w:tc>
      </w:tr>
      <w:tr>
        <w:trPr>
          <w:trHeight w:val="25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expense, other third-party and employee costs for the wind down of the bempegaldesleukin program</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r>
      <w:tr>
        <w:trPr>
          <w:trHeight w:val="27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benefit expense</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r>
      <w:tr>
        <w:trPr>
          <w:trHeight w:val="27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48"/>
        </w:trPr>
        <w:tc>
          <w:tcPr>
            <w:tcW w:w="8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impairment and other costs of terminated program</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567"/>
        <w:spacing w:after="0" w:line="258" w:lineRule="auto"/>
        <w:rPr>
          <w:sz w:val="20"/>
          <w:szCs w:val="20"/>
          <w:color w:val="auto"/>
        </w:rPr>
      </w:pPr>
      <w:r>
        <w:rPr>
          <w:rFonts w:ascii="Times New Roman" w:cs="Times New Roman" w:eastAsia="Times New Roman" w:hAnsi="Times New Roman"/>
          <w:sz w:val="18"/>
          <w:szCs w:val="18"/>
          <w:color w:val="auto"/>
        </w:rPr>
        <w:t>We will continue to recognize expenses in future periods for the winddown of the bempegaldesleukin program and related costs, of which we expect to recognize a significant portion in 2022. The ultimate amount of expense will be affected by the timing to complete the full wind down of the clinical trials run by BMS and us and whether or not we are able to enter into subleases and, if we do enter into subleases, the economic terms of those subleases. We will revise our estimates for the costs to wind down these studies for the bempegaldesleukin program, the amount of severance and benefits paid to employees, and our assessment of impairment charges as new information becomes available to us in future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development derivative liability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development derivative liability (1)</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07"/>
        </w:trPr>
        <w:tc>
          <w:tcPr>
            <w:tcW w:w="5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development derivative liability (1)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33,427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(4,312)</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37,739</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Percentage change represents a reduction of the expense or change to income.</w:t>
      </w:r>
    </w:p>
    <w:p>
      <w:pPr>
        <w:spacing w:after="0" w:line="29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discussed in Note 4 to our Condensed Consolidated Financial Statements, we remeasured the development derivative liability under our co-development agreement with SFJ to fair value at each reporting date. As discussed in Note 4, as of March 31, 2022, due to the results of the metastatic melanoma trial, we concluded that it was remote that SFJ and we would continue the clinical trial in head and neck cancer. Accordingly, we reduced the liability to $0 as of March 31, 2022 and recognized a corresponding gain in the change in fair value of development derivative liability. As a result of the decision to discontinue the clinical trial in head and neck cancer, we do not expect to record any future significant adjustments for the change in fair value.</w:t>
      </w:r>
    </w:p>
    <w:p>
      <w:pPr>
        <w:spacing w:after="0" w:line="7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expense recorded for the change in fair value for the three and six months ended June 30, 2021 primarily reflected the accretion of our obligation to potentially pay Success Payments to SFJ using our imputed borrowing rate.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 and Non-Cash Interest Expense</w:t>
      </w:r>
    </w:p>
    <w:p>
      <w:pPr>
        <w:spacing w:after="0" w:line="278" w:lineRule="exact"/>
        <w:rPr>
          <w:sz w:val="20"/>
          <w:szCs w:val="20"/>
          <w:color w:val="auto"/>
        </w:rPr>
      </w:pPr>
    </w:p>
    <w:tbl>
      <w:tblPr>
        <w:tblLayout w:type="fixed"/>
        <w:tblInd w:w="554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28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880" w:type="dxa"/>
            <w:vAlign w:val="bottom"/>
            <w:gridSpan w:val="3"/>
            <w:vMerge w:val="continue"/>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0"/>
        </w:trPr>
        <w:tc>
          <w:tcPr>
            <w:tcW w:w="138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16,264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rPr>
              <w:t>20,456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56"/>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99"/>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33,825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rPr>
              <w:t>39,254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(26,385)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5 to our Condensed Consolidated Financial Statements, we recognize non-cash royalty revenue for the 2012 Purchase and Sale Agreement and the 2020 Purchase and Sale Agreement.</w:t>
      </w:r>
    </w:p>
    <w:p>
      <w:pPr>
        <w:spacing w:after="0" w:line="10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Non-cash royalty revenue decreased for the three and six months ended June 30, 2022 as compared to the three and six months ended June 30, 2021. Non-cash interest expense decreased significantly for the three and six months ended June 30, 2022 as compared to the three and six months ended June 30,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Purchase and Sale Agreement</w:t>
      </w:r>
    </w:p>
    <w:p>
      <w:pPr>
        <w:spacing w:after="0" w:line="17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decrease in the non-cash interest expense in 2022 resulted from the decrease in the interest rate from 48% in the three and six months ended June 30, 2021 to 16% for the three six months ended June 30, 2022 as a result of the revaluation of the liability, which we recognized in the three months ended December 31, 2021.</w:t>
      </w:r>
    </w:p>
    <w:p>
      <w:pPr>
        <w:spacing w:after="0" w:line="68"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color w:val="auto"/>
        </w:rPr>
        <w:t>To resolve UCB’s challenges to our patents and their resulting obligation to pay us royalties on net sales of 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which we had sold to RPI, RPI and UCB negotiated a reduction in the royalty term and decreased royalty rates over the remaining term, which was implemented through the Settlement Agreement between UCB and us. As a result of accounting for the Settlement Agreement as a debt modification during the three months ended December 31, 2021, we remeasured the liability to fair value using a discount rate of 16%. The Settlement Agreement and revaluation do not affect our cash flows, and the net income statement effect over the term of 2012 Purchase and Sale Agreement remains unchanged.</w:t>
      </w:r>
    </w:p>
    <w:p>
      <w:pPr>
        <w:spacing w:after="0" w:line="9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Over the term of this arrangement, the net proceeds of the transaction of $114.0 million, consisting of the original proceeds of $124.0 million, net of $10.0 million in payments from us to RPI, is amortized as the difference between the non-cash royalty revenue and the sum of the non-cash interest expense and the loss on the revaluation of the liability. To date, we have amortized $44.5 million of the net proceeds. We periodically assess future non-cash royalty revenues, and we may adjust the prospective effective interest rate based on our best estimates of future non-cash royalty revenue such that future non-cash interest expense will amortize the remaining $69.5 million of the net proceeds, since RPI receives all of the benefits of the increases in future royalties. There are a number of factors that could materially affect our estimated interest rate, in particular, the amount and timing of royalty payments from future net sales of 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future interest rates could differ significantly, and we will adjust any such change in our estimated interest rate prospectively.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Purchase and Sale Agreement</w:t>
      </w:r>
    </w:p>
    <w:p>
      <w:pPr>
        <w:spacing w:after="0" w:line="17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To date, we have amortized $40.2 million of the proceeds. We periodically assess future non-cash royalty revenues, and we may adjust the prospective effective interest rate based on our best estimates of future non-cash royalty revenue such that future non-cash interest expense will amortize the remaining $109.8 million. Our current estimate of the imputed interest 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reflects that our estimates of sales of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REBINYN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will result in meeting the 2025 Threshold. Because the 2025 Threshold of $210.0 million and the increase in the threshold to $240.0 million (if the 2025 Threshold is not timely achieved) limit the amount of royalties payable to HCR, the potential for the implicit interest rate to vary is more limited. Instead, we will receive the benefit of net sales if they exceed the threshold, but do not bear risk of loss or payments to HCR if royalties are less than expected.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 (in thousands, except percentages)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27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419"/>
        </w:trPr>
        <w:tc>
          <w:tcPr>
            <w:tcW w:w="5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22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8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and other income (expense) increased for the three months ended June 30, 2022 as compared to the three months ended June 30, 2020 but decreased for the six months ended June 30, 2022 as compared to the six months ended June 30, 2021. The year-to-date decrease was due to lower investment balances which have been utilized to fund our operations. We expect that our interest income and other income (expense), net will decrease for 2022 compared to 2021 for the same reason.</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revenue from upfront and milestone payments under our strategic collaboration agreements, royalties and product sales, as well as public and private placements of debt and equity securities. As of June 30, 2022, we had approximately $628.2 million in cash and investments in marketable securities.</w:t>
      </w:r>
    </w:p>
    <w:p>
      <w:pPr>
        <w:spacing w:after="0" w:line="68"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for at least the next twelve months from the date of filing, which includes the payments for the winddown of the bempegaldesleukin program, as further disclosed in Note 8 to our Condensed Consolidated Financial Statements.</w:t>
      </w:r>
    </w:p>
    <w:p>
      <w:pPr>
        <w:spacing w:after="0" w:line="6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expect the clinical development of our drug candidates, including NKTR-358 and NKTR-255,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including $1.9 billion in total consideration received under our arrangement with BMS, development cost reimbursement from BMS, and a $150.0 million upfront payment from Lilly for our collaboration agreement for NKTR-358. In the future, we have the opportunity to receive up to $250.0 million in milestone payments under our collaboration with Lilly.</w:t>
      </w:r>
    </w:p>
    <w:p>
      <w:pPr>
        <w:spacing w:after="0" w:line="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current business is subject to significant uncertainties and risks as a result of, among other factors, clinical and regulatory outcomes for NKTR-358 and NKTR-255, the sales levels for those products for which we are entitled to royalties, if and when they are approved, whether, when and on what terms we are able to enter into new collaboration transactions, expenses being higher than anticipated, unplanned expenses, cash receipts being lower than anticipated, and the need to satisfy contingent liabilities, including litigation matters and indemnification obligations.</w:t>
      </w:r>
    </w:p>
    <w:p>
      <w:pPr>
        <w:spacing w:after="0" w:line="7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79"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In the short term, we do not anticipate that the effects of the COVID-19 pandemic will have a material effect on our results of operations or financial position since we do not generate significant cash flows from recurring revenues and our revenues are generally less affected by regulatory restrictions and guidelines that have been implemented in response to the pandemic. However, if delays caused by the COVID-19 pandemic in commencing and enrolling patients in our clinical trials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those run by our partners result in a delay in completing these trials, our or our partner’s ability to file for regulatory approval and commercialize these products (if approved) and receive associated milestone payments may also be delayed.</w:t>
      </w:r>
    </w:p>
    <w:p>
      <w:pPr>
        <w:spacing w:after="0" w:line="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the COVID-19 pandemic or other conditions on the financial markets, our remaining cash and investments in marketable securities will be sufficient to meet our anticipated cash needs for at least the next twelve months.</w:t>
      </w:r>
    </w:p>
    <w:p>
      <w:pPr>
        <w:spacing w:after="0" w:line="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an effective shelf registration statement on Form S-3 (the 2021 Shelf Registration Statement) on file with the Securities and Exchange Commission, which expires in March 2024. The 2021 Shelf Registration Statement currently permits the offering, issuance and sale by us of up to an aggregate offering price of $300.0 million of common stock, preferred stock, debt securities and warrants in one or more offerings and in any combination, all of which may be offered, issued and sold in “at-the-market” sales pursuant to an equity distribution agreement with Cowen and Company, LLC (the Equity Distribution Agreement). No securities have been sold under the 2021 Shelf Registration Statement or the Equity Distribution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flows used in operating activities for the six months ended June 30, 2022 and 2021 totaled $163.4 million and $160.0 million, respectively.</w:t>
      </w:r>
    </w:p>
    <w:p>
      <w:pPr>
        <w:spacing w:after="0" w:line="117" w:lineRule="exact"/>
        <w:rPr>
          <w:sz w:val="20"/>
          <w:szCs w:val="20"/>
          <w:color w:val="auto"/>
        </w:rPr>
      </w:pPr>
    </w:p>
    <w:p>
      <w:pPr>
        <w:ind w:right="160" w:firstLine="567"/>
        <w:spacing w:after="0" w:line="282" w:lineRule="auto"/>
        <w:rPr>
          <w:sz w:val="20"/>
          <w:szCs w:val="20"/>
          <w:color w:val="auto"/>
        </w:rPr>
      </w:pPr>
      <w:r>
        <w:rPr>
          <w:rFonts w:ascii="Times New Roman" w:cs="Times New Roman" w:eastAsia="Times New Roman" w:hAnsi="Times New Roman"/>
          <w:sz w:val="18"/>
          <w:szCs w:val="18"/>
          <w:color w:val="auto"/>
        </w:rPr>
        <w:t>We expect that cash flows used in operating activities, excluding upfront, milestone and other contingent payments received, if any, will decrease for 2022 as compared to 2021 as a result of the various cost restructuring activities described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ind w:right="380" w:firstLine="567"/>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and 2021, the maturities and sales of our investments, net of purchases, totaled $219.4 million and $89.6 million, respectively, which we used to fund our operations. Our maturities and sales of investments, net of purchases was lower during the six months ended June 30, 2021 as compared to the six months ended June 30, 2022, because we purchased securities in early 2021, utilizing the $150.0 million in proceeds from the 2020 Purchase and Sale Agreement that were included in cash equivalents at December 31, 2020.</w:t>
      </w:r>
    </w:p>
    <w:p>
      <w:pPr>
        <w:spacing w:after="0" w:line="72" w:lineRule="exact"/>
        <w:rPr>
          <w:sz w:val="20"/>
          <w:szCs w:val="20"/>
          <w:color w:val="auto"/>
        </w:rPr>
      </w:pPr>
    </w:p>
    <w:p>
      <w:pPr>
        <w:ind w:right="40" w:firstLine="567"/>
        <w:spacing w:after="0" w:line="282" w:lineRule="auto"/>
        <w:rPr>
          <w:sz w:val="20"/>
          <w:szCs w:val="20"/>
          <w:color w:val="auto"/>
        </w:rPr>
      </w:pPr>
      <w:r>
        <w:rPr>
          <w:rFonts w:ascii="Times New Roman" w:cs="Times New Roman" w:eastAsia="Times New Roman" w:hAnsi="Times New Roman"/>
          <w:sz w:val="18"/>
          <w:szCs w:val="18"/>
          <w:color w:val="auto"/>
        </w:rPr>
        <w:t>We paid $5.0 million and $6.2 million for the purchase or construction of property, plant and equipment in the six months ended June 30,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firstLine="567"/>
        <w:spacing w:after="0" w:line="266" w:lineRule="auto"/>
        <w:rPr>
          <w:sz w:val="20"/>
          <w:szCs w:val="20"/>
          <w:color w:val="auto"/>
        </w:rPr>
      </w:pPr>
      <w:r>
        <w:rPr>
          <w:rFonts w:ascii="Times New Roman" w:cs="Times New Roman" w:eastAsia="Times New Roman" w:hAnsi="Times New Roman"/>
          <w:sz w:val="18"/>
          <w:szCs w:val="18"/>
          <w:color w:val="auto"/>
        </w:rPr>
        <w:t>We received proceeds from issuance of common stock related to our employee option and stock purchase plans of $0.7 million and $28.5 million in the six months ended June 30, 2022 and 2021, respectively. Additionally, during the six months ended June 30, 2022 and 2021, we received $0.8 million and $1.5 million, respectively, from SFJ pursuant to our co-development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68"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See Note 1 and Note 8 to our Condensed Consolidated Financial Statements for our accounting policies and estimates related to the severance and benefits and the impairment of right-of-use assets and property, plant and equipment. Other than these accounting policies and estimates, there have been no material changes to our critical accounting policies and estimates discussed in our Annual Report on Form 10-K for the fiscal year ended December 31, 2021.</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Our market risks at June 30, 2022 have not changed materially from those discussed in Item 7A of our Annual Report on Form 10-K for the year ended December 31, 2021 on file with the SEC.</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72"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However, there was no change in our internal control over financial reporting that occurred in the three months ended June 30, 2022 that has materially affected, or is reasonably likely to materially affect, our internal control over financial reporting. Specifically, despite the fact that most of our office-based employees are working remotely due to the COVID-19 pandemic, we do not believe that our adjustments to how we work have materially impacted our internal controls over financial reporting. We continue to monitor and assess the potential impact of the COVID-19 pandemic, and the related regulatory and government guidance that have been issued in response to the pandemic, on our internal controls and strive to minimize the impact on our internal control design and operating effectiveness.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75"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Reference is hereby made to our disclosures in “Legal Matters” under Note 6 to our Condensed Consolidated Financial Statements in this Quarterly Report on Form 10-Q and the information under the heading “Legal Matters” is incorporated by reference herein.</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w:t>
      </w:r>
    </w:p>
    <w:p>
      <w:pPr>
        <w:spacing w:after="0" w:line="72"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 This description includes any material changes to and supersedes the description of the risk factors associated with our business previously disclosed in Item 1A of our Annual Report on Form 10-K for the year ended December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left="34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drug candidates, including NKTR-358 and NKTR-255. If these drug candidates fail in clinical development our business will be significantly harmed.</w:t>
      </w:r>
    </w:p>
    <w:p>
      <w:pPr>
        <w:spacing w:after="0" w:line="10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the clinical success of our drug candidates, including NKTR-358 and NKTR-255. In general, most investigational drugs, including immunology and I-O drug candidates such as NKTR-358 and NKTR-255, respectively, do not become approved drugs. Accordingly, there is a very meaningful risk that our drug candidates will not succeed in one or more clinical trials sufficient to support one or more regulatory approvals. Further, if Lilly, our collaboration partner for NKTR-358, delays the initiation or completion of one or more clinical trials for reasons outside of our control, or is not successful, it would materially harm our market valuation, prospects, financial condition and results of operations. For example, under our collaboration agreement with Lilly, we are eligible for up to $250.0 million in additional development and regulatory milestones, and a royalty rate up to the low twenties based upon our Phase 3 development cost contribution and the level of annual global product sales. One or more clinical failures of our drug candidates would jeopardize and could result in reduced, delayed or eliminated revenue.</w:t>
      </w:r>
    </w:p>
    <w:p>
      <w:pPr>
        <w:spacing w:after="0" w:line="84"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Additionally, promising results from earlier trials may not predict similarly favorable outcomes in subsequent trials. For example, several of our past, planned and ongoing clinical trials utilize an “open-label” trial design. An “open-label” clinical trial is one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w:t>
      </w:r>
    </w:p>
    <w:p>
      <w:pPr>
        <w:spacing w:after="0" w:line="136"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10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or our partners may experience delays in clinical trials of drug candidates. Our partner Lilly is conducting a Phase 2 study of NKTR-358 in patients with SLE as well as two Phase 1b studies in patients with psoriasis and atopic dermatitis. In addition, we have initiated a Phase 1 clinical study of NKTR-255 in adults with relapsed or refractory non-Hodgkin lymphoma or multiple myeloma, as well as a Phase 1/2 clinical study of NKTR-255 in patients with relapsed or refractory head and neck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squamous cell carcinoma or colorectal cancer. These and other clinical studies may not begin on time, enroll a sufficient number of patients or be completed on schedule, if at all. Clinical trials for any of our drug candidates could be delayed for a variety of reasons, including:</w:t>
      </w:r>
    </w:p>
    <w:p>
      <w:pPr>
        <w:spacing w:after="0" w:line="108"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study;</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applicable regulatory authorities on a clinical study design;</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drug candidates (such as NKTR-358) partnered with other companies, delays caused by our partner;</w:t>
      </w:r>
    </w:p>
    <w:p>
      <w:pPr>
        <w:spacing w:after="0" w:line="169" w:lineRule="exact"/>
        <w:rPr>
          <w:rFonts w:ascii="Times New Roman" w:cs="Times New Roman" w:eastAsia="Times New Roman" w:hAnsi="Times New Roman"/>
          <w:sz w:val="18"/>
          <w:szCs w:val="18"/>
          <w:color w:val="auto"/>
        </w:rPr>
      </w:pPr>
    </w:p>
    <w:p>
      <w:pPr>
        <w:ind w:left="1300" w:right="40" w:hanging="644"/>
        <w:spacing w:after="0" w:line="284" w:lineRule="auto"/>
        <w:tabs>
          <w:tab w:leader="none" w:pos="129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delays caused by the COVID-19 pandemic (see also the risk factor in this Item 1A titled “</w:t>
      </w:r>
      <w:r>
        <w:rPr>
          <w:rFonts w:ascii="Times New Roman" w:cs="Times New Roman" w:eastAsia="Times New Roman" w:hAnsi="Times New Roman"/>
          <w:sz w:val="18"/>
          <w:szCs w:val="18"/>
          <w:i w:val="1"/>
          <w:iCs w:val="1"/>
          <w:color w:val="auto"/>
        </w:rPr>
        <w:t>Our business could be adversely affected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health epidemics, including the recent COVID-19 pandemic</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b w:val="1"/>
          <w:bCs w:val="1"/>
          <w:i w:val="1"/>
          <w:iCs w:val="1"/>
          <w:color w:val="auto"/>
        </w:rPr>
      </w:pPr>
    </w:p>
    <w:p>
      <w:pPr>
        <w:ind w:left="1300" w:right="56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health authorities, which may occur at any time including after any inspection of clinical trial operations or trial sites;</w:t>
      </w:r>
    </w:p>
    <w:p>
      <w:pPr>
        <w:spacing w:after="0" w:line="10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study by us, our partners, the FDA or foreign regulatory authorities due to adverse side effects of a drug on subjects in the trial;</w:t>
      </w:r>
    </w:p>
    <w:p>
      <w:pPr>
        <w:spacing w:after="0" w:line="1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due to the detriment of enrollment rates;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and delivery of sufficient supply of clinical trial materials;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authorities policies or guidance applicable to our drug candidates; and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changing standards of care or new treatment options.</w:t>
      </w:r>
    </w:p>
    <w:p>
      <w:pPr>
        <w:spacing w:after="0" w:line="11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our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125" w:lineRule="exact"/>
        <w:rPr>
          <w:sz w:val="20"/>
          <w:szCs w:val="20"/>
          <w:color w:val="auto"/>
        </w:rPr>
      </w:pPr>
    </w:p>
    <w:p>
      <w:pPr>
        <w:ind w:left="34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outcomes from competitive I-O and combination therapy clinical trials, and the discovery and development of new potential oncology therapies, could have a material and adverse impact on the value of our I-O research and development pipeline.</w:t>
      </w:r>
    </w:p>
    <w:p>
      <w:pPr>
        <w:spacing w:after="0" w:line="1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research and development of I-O therapies is a very competitive global segment in the biopharmaceutical industry attracting tens of billions of dollars of investment each year. Our clinical trial plans for NKTR-255 and other I-O therapy drug candidates face substantial competition from other I-O combination regimens already approved, and many more combination therapies that are either ahead of or in parallel development in patient populations where we are studying our drug candidates. As I-O combination therapies are relatively new approaches in cancer treatment and few have successfully completed late stage development, I-O drug development entails substantial risks and uncertainties that include rapidly changing standards of care, identifying contribution of component therapies, patient enrollment competition, evolving regulatory frameworks to evaluate combination regimens, and varying risk-benefit profiles of competing therapies, any or all of which could have a material and adverse impact on the probability of success of I-O drug candidates.</w:t>
      </w:r>
    </w:p>
    <w:p>
      <w:pPr>
        <w:spacing w:after="0" w:line="134" w:lineRule="exact"/>
        <w:rPr>
          <w:sz w:val="20"/>
          <w:szCs w:val="20"/>
          <w:color w:val="auto"/>
        </w:rPr>
      </w:pPr>
    </w:p>
    <w:p>
      <w:pPr>
        <w:ind w:left="34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clinical failure for any drug candidate remains high prior to regulatory approval and there can be no assurance that our product candidates will obtain regulatory approval.</w:t>
      </w:r>
    </w:p>
    <w:p>
      <w:pPr>
        <w:spacing w:after="0" w:line="10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04"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competition for our polymer conjugate chemistry technology platforms and our partnered and proprietary drugs and drug candidates could make our technologies, drugs or drug candidates obsolete or uncompetitive, which would negatively impact our business, results of operations and financial condition.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advanced polymer conjugate chemistry platforms and our partnered and proprietary products and drug candidates compete with various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and biotechnology companies. Competitors of our polymer conjugate chemistry technologies include Biogen Inc., Horizon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Reddy’s Laboratories Ltd., SunBio Corporation, Laysan Bio, Inc., Mountain View Pharmaceuticals, Inc., Novo Nordisk A/S (formerly assets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Neose Technologies, Inc.), and NOF Corporation. Several other chemical, biotechnology and pharmaceutical companies may also be developing polymer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conjugation technologies or technologies that have similar impact on target drug molecules. Some of these companies license or provide the technology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companies, while others are developing the technology for internal use.</w:t>
      </w:r>
    </w:p>
    <w:p>
      <w:pPr>
        <w:spacing w:after="0" w:line="9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are many competitors for our drug candidates currently in development. For NKTR-358,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therapies (Symbiotix, LLC, Janssen, AstraZeneca, and Tizona Therapeutics), regulatory T cell therapies (Targazyme, Inc., Caladrius BioSciences, Inc., and Tract Therapeutics, Inc.), or IL-2-based-therapies (Amgen Inc., Celgene Corporation, GentiBio, Inc., ILTOO Pharma, Kyverna Therapeutics, Merck &amp; Co, through its acquisition of Pandion Therapeutics, and Roche).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uncompetitive or obsolete.</w:t>
      </w:r>
    </w:p>
    <w:p>
      <w:pPr>
        <w:spacing w:after="0" w:line="138" w:lineRule="exact"/>
        <w:rPr>
          <w:sz w:val="20"/>
          <w:szCs w:val="20"/>
          <w:color w:val="auto"/>
        </w:rPr>
      </w:pPr>
    </w:p>
    <w:p>
      <w:pPr>
        <w:ind w:left="34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0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Collaboration Partners</w:t>
      </w:r>
    </w:p>
    <w:p>
      <w:pPr>
        <w:spacing w:after="0" w:line="171" w:lineRule="exact"/>
        <w:rPr>
          <w:sz w:val="20"/>
          <w:szCs w:val="20"/>
          <w:color w:val="auto"/>
        </w:rPr>
      </w:pPr>
    </w:p>
    <w:p>
      <w:pPr>
        <w:ind w:left="34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collaboration partner to initiate, properly conduct and prioritize clinical trials for NKTR-358 and to perform important additional development and commercialization activities, and our business will be significantly harmed if their actions deprioritize or otherwise harm the prospects of our drug candidates.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rely on Lilly (through the Lilly Agreement) to initiate, properly conduct, and prioritize clinical trials and other development-related activities for NKTR-358. Furthermore, we will rely on Lilly to perform specified commercialization activities for NKTR-358, pursuant to our collaboration agreement. In the event Lilly fails to initiate, properly conduct and prioritize their obligations under their applicable agreement with us, our business will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to fully address the harm.</w:t>
      </w:r>
    </w:p>
    <w:p>
      <w:pPr>
        <w:spacing w:after="0" w:line="13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for reasons outside of our control, the operations of our collaboration partners may be affected by the COVID-19 pandemic more than our operations, or our collaboration partners may adopt more restrictive procedures for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addressing the COVID-19 pandemic, either of which could delay initiating or completing one or more clinical trials involving our drug candidates.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reorganization plan and cost restructuring plan may not be successful.</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April 25, 2022, we announced strategic reorganization and cost restructuring plans (together, the Restructuring Plan) to prioritize key research and development efforts that will impact the Company’s future business activities, including activities involving NKTR-358, NKTR-255 and several core research programs. In connection with the Restructuring Plan, we also announced cost restructuring measures aimed at ensuring we will have significant capital to fund key programs over a multi-year time horizon. There is no guarantee that the Restructuring Plan will achieve its intended benefits or that our post-restructuring focus will be sufficient for us to achieve success. For example, our cost restructuring efforts may not result in the anticipated savings or other economic benefits, or could result in total costs and expenses that are greater than expected, which would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and prospects.</w:t>
      </w:r>
    </w:p>
    <w:p>
      <w:pPr>
        <w:spacing w:after="0" w:line="134"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0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agreements with various pharmaceutical or biotechnology companies, our collaboration partner is generally solely responsible for:</w:t>
      </w:r>
    </w:p>
    <w:p>
      <w:pPr>
        <w:spacing w:after="0" w:line="5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large scale clinical studies;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documents necessary to obtain government approvals to sell a given drug candidate; and/or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the drugs when and if they are approved.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collaboration partners poses a number of significant risks to our business, including risks that:</w:t>
      </w:r>
    </w:p>
    <w:p>
      <w:pPr>
        <w:spacing w:after="0" w:line="117" w:lineRule="exact"/>
        <w:rPr>
          <w:sz w:val="20"/>
          <w:szCs w:val="20"/>
          <w:color w:val="auto"/>
        </w:rPr>
      </w:pPr>
    </w:p>
    <w:p>
      <w:pPr>
        <w:ind w:left="1300" w:right="40" w:hanging="644"/>
        <w:spacing w:after="0" w:line="258"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7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with commercial rights may choose to devote fewer resources to the development or marketing of our partnered drugs than they devote to their own drugs or other drugs that they have in-licensed;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amount of resources our partners devote to development programs in one or more major markets;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could lead to delays in, or termination of, the research, development or commercialization of drug candidates or to litigation or arbitration proceedings;</w:t>
      </w:r>
    </w:p>
    <w:p>
      <w:pPr>
        <w:spacing w:after="0" w:line="53"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or escalate in the future with respect to the ownership of rights to technology or intellectual property developed with partners;</w:t>
      </w:r>
    </w:p>
    <w:p>
      <w:pPr>
        <w:spacing w:after="0" w:line="53"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 unable to pay us as expected;</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terminate their agreements with us unilaterally for any or no reason, in some cases with the payment of a termination fee penalty and in other cases with no termination fee penalty; and</w:t>
      </w:r>
    </w:p>
    <w:p>
      <w:pPr>
        <w:spacing w:after="0" w:line="53" w:lineRule="exact"/>
        <w:rPr>
          <w:rFonts w:ascii="Times New Roman" w:cs="Times New Roman" w:eastAsia="Times New Roman" w:hAnsi="Times New Roman"/>
          <w:sz w:val="18"/>
          <w:szCs w:val="18"/>
          <w:color w:val="auto"/>
        </w:rPr>
      </w:pPr>
    </w:p>
    <w:p>
      <w:pPr>
        <w:ind w:left="1300" w:right="78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respond to natural disasters or health epidemics, such as the COVID-19 pandemic, by ceasing all or some of their development responsibilities (including the responsibility to clinical develop our drug candidates).</w:t>
      </w:r>
    </w:p>
    <w:p>
      <w:pPr>
        <w:spacing w:after="0" w:line="5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Given these risks, the success of our current and future collaboration partnerships is highly unpredictable and can have a substantial negative impact on our business. If the approved drugs fail to achieve commercial success or the drugs in development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fail to have positive late stage clinical outcomes sufficient to support regulatory approval in major markets, it could significantly impair our access to capital necessary to fund our research and development efforts for our drug candidates. If we are unable to obtain sufficient capital resources to advance our drug candidate pipeline, it would negatively impact the value of our business, results of operations and financial condition.</w:t>
      </w:r>
    </w:p>
    <w:p>
      <w:pPr>
        <w:spacing w:after="0" w:line="118" w:lineRule="exact"/>
        <w:rPr>
          <w:sz w:val="20"/>
          <w:szCs w:val="20"/>
          <w:color w:val="auto"/>
        </w:rPr>
      </w:pPr>
    </w:p>
    <w:p>
      <w:pPr>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future capital requirements and there is a risk that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we had cash and investments in marketable securities valued at approximately $628.2 million. While we believe that our cash position will be sufficient to meet our liquidity requirements through at least the next 12 months, our future capital requirements will depend upon numerous unpredictable factors, including:</w:t>
      </w:r>
    </w:p>
    <w:p>
      <w:pPr>
        <w:spacing w:after="0" w:line="68"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clinical studies and regulatory reviews of our drug candidates, particularly NKTR-358;</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receive potential milestone payments and royalties from our existing collaborations if the drug candidates subject to those collaborations achieve clinical, regulatory or commercial success;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 and results of our clinical development programs;</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67"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and administrative expenses, capital expenditures and other uses of cash; and</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6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130"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04"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0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in the U.S., managed care providers, private health insurers and other organizations. However, eligibility for coverage does not necessarily signify that a biologic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Further, due to the COVID-19 pandemic, millions of individuals have lost or will be losing employer-based insurance coverage, which may adversely affect our ability to commercialize our biologic candidates even if there is adequate coverage and reimbursement from third-party payers. It is unclear what effect, if any, the American Rescue Plan Act will have on the number of covered individuals.</w:t>
      </w:r>
    </w:p>
    <w:p>
      <w:pPr>
        <w:spacing w:after="0" w:line="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7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5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Increasingly, third-party payers are requiring that drug companies provide them with predetermined discounts from list prices and are challenging the prices charged for medical products. We cannot be sure that reimbursement will be available for any of our drug product candidates that are commercialized and, if reimbursement is available, the level of reimbursement.</w:t>
      </w:r>
    </w:p>
    <w:p>
      <w:pPr>
        <w:spacing w:after="0" w:line="6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6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22" w:lineRule="exact"/>
        <w:rPr>
          <w:sz w:val="20"/>
          <w:szCs w:val="20"/>
          <w:color w:val="auto"/>
        </w:rPr>
      </w:pPr>
    </w:p>
    <w:p>
      <w:pPr>
        <w:ind w:left="3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2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U.S. Secretary of Health and Human Services (HHS) certifies that the changes will pose no additional risk to the public’s health and safety and will result in a significant reduction in the cost of products to consumers. On September 23, 2020, the U.S. Secretary of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 challenging multiple aspects of the final rule, and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34" w:lineRule="exact"/>
        <w:rPr>
          <w:sz w:val="20"/>
          <w:szCs w:val="20"/>
          <w:color w:val="auto"/>
        </w:rPr>
      </w:pPr>
    </w:p>
    <w:p>
      <w:pPr>
        <w:ind w:left="3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10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biologic candidates or the licensing of our intellectual property, or if any arrangements we negotiate, or have negotiated, are terminated, it could have a material adverse effect on our business, financial condition and results of operations.</w:t>
      </w:r>
    </w:p>
    <w:p>
      <w:pPr>
        <w:spacing w:after="0" w:line="131"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exclusively derived from our collaboration agreements, which can result in significant fluctuation in our revenue from period to period, and our past revenue is therefore not necessarily indicative of our future revenue.</w:t>
      </w:r>
    </w:p>
    <w:p>
      <w:pPr>
        <w:spacing w:after="0" w:line="1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revenue is exclusively derived from our collaboration agreements,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biologic candidate under our collaboration agreement, our business, financial condition, and results of operations could be materially and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incur substantial losses and negative cash flow from operations and may not achieve or sustain profitability in the future.</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we reported a net loss of $249.5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biologic candidates and the regulatory approval and market success of our biologic candidates. We may not be able to achieve and sustain profitability.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factors that will affect whether we achieve and sustain profitability include our ability, alone or together with our partners, to:</w:t>
      </w:r>
    </w:p>
    <w:p>
      <w:pPr>
        <w:spacing w:after="0" w:line="117" w:lineRule="exact"/>
        <w:rPr>
          <w:sz w:val="20"/>
          <w:szCs w:val="20"/>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drugs utilizing our technologies, either independently or in collaboration with other pharmaceutical or biotechnology companies;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estimate and manage clinical development costs, particularly the cost of the clinical studies for NKTR-358 and NKTR-255;</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necessary regulatory and marketing approvals;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manufacturing at necessary levels;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partnered products;</w:t>
      </w:r>
    </w:p>
    <w:p>
      <w:pPr>
        <w:spacing w:after="0" w:line="117"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revenue or royalties on products that have been approved, marketed or submitted for marketing approval with regulatory authorities; and</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funds to finance our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including the recent COVID-19 pandemic.</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directly or indirectly, by health epidemics in regions where we have concentrations of clinical trial sites or other business operations, including both our own manufacturing operations as well as the manufacturing operations of third parties upon whom we rely. With respect to the ongoing COVID-19 pandemic, national, state and local governments in regions affected by the COVID-19 pandemic have implemented, and may continue to implement or reinstate safety precautions, including quarantines, border closures, increased border controls, travel restrictions, business closures and other measures. These measures may disrupt normal business operations both in and outside areas affected by COVID-19 and may have significant negative impacts on our business. Even as these safety precautions are eased or reduced over time, there may be long lasting effects of these precautions on our business that may only be fully realized in the future.</w:t>
      </w:r>
    </w:p>
    <w:p>
      <w:pPr>
        <w:spacing w:after="0" w:line="8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continue to monitor our operations and applicable government recommendations, and we have made modifications to our normal operations because of the COVID-19 pandemic. Throughout the pandemic we have modified our office policies to maintain productivity and safety of our employees. Although we believe these and the other safety measures we have taken in response to the COVID-19 pandemic have not substantially impacted our productivity, it is not certain that this will continue to be the case. Operating requirements may continually change due to the COVID-19 pandemic and we may experience unpredictability in our expenses, employee productivity and availability and employee work culture.</w:t>
      </w:r>
    </w:p>
    <w:p>
      <w:pPr>
        <w:spacing w:after="0" w:line="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of our clinical trials have been and may continue to be affected by the COVID-19 pandemic. Investigator recruitment, clinical site initiation, patient screening and patient enrollment may be delayed due to, for example, prioritization of hospital resources toward the COVID-19 pandemic. Some patients who are successfully enrolled in clinical trials involving our biologic candidates may not be able to comply with clinical trial protocols due to, for example, disrupted healthcare services, or health issues for suspected or confirmed COVID-19 status. Similarly, our ability to recruit and retain patients and principal investigators and site staff, all of whom may have heightened risk for COVID-19, could adversely impact our clinical trial operations.</w:t>
      </w:r>
    </w:p>
    <w:p>
      <w:pPr>
        <w:spacing w:after="0" w:line="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Delays and disruptions experienced by our collaborators or other third parties due to the COVID-19 pandemic could adversely impact the ability of such parties to fulfill their obligations, which could affect clinical development or regulatory approvals of our biologic candidates. For example, due to recent supply chain disruptions, we have been monitoring our supply chains for any disruptions or constraints caused by the COVID-19 pandemic. To date, we have not experienced any supply impact. However, if we, our collaborators or any third parties which we rely on are adversely effected by any supply disruptions or shortages in raw materials and equipment caused by the COVID-19 pandemic, our ability to manufacture our products and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supply drug candidates for our clinical trials could be negatively impacted, which could harm our business prospects, results of operations and financial condition.</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Although we are implementing measures to maintain the integrity of our clinical trials, there is no guarantee that we will prevent all study protocol violations, missed study treatment visits, and other influences that jeopardize reliability and validity of our clinical trial data. If a regulatory authority determines our clinical trial data lacks integrity, there is no guarantee that we will have a remedy to correct or otherwise address the deficiency. Even if such a remedy is identified, the cost for implementing the remedy could be prohibitively expensive, time consuming, or both. As a consequence, a clinical study of our biologic candidate in which the integrity of the clinical study is questioned or doubted may require lengthy and costly remediation measures (such as, for example, over-enrolling patients into the study or repeating the study), thereby causing substantial harm to our business.</w:t>
      </w:r>
    </w:p>
    <w:p>
      <w:pPr>
        <w:spacing w:after="0" w:line="7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Also, the COVID-19 pandemic could postpone necessary interactions with regulators regarding our drug candidates in development and could delay review or approval of our regulatory submissions.</w:t>
      </w:r>
    </w:p>
    <w:p>
      <w:pPr>
        <w:spacing w:after="0" w:line="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the COVID-19 pandemic is difficult to assess or predict, the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rapid development and fluidity of the COVID-19 pandemic results in a substantial number of individual variables that could cause a significant negative impact on our operations and our business, thereby precluding useful predictions as to how this pandemic will ultimately affect us. In particular, it is unclear how our business may be affected by the emergence of new variants of the coronavirus, such as the Delta and Omicron variants, and recent resurgences in number and rates of COVID-19 infections. Thus, any current assessment of the effects of the COVID-19 pandemic, including the impact of this disease on our clinical trial timelines, is subject to change. We do not yet know the full extent of potential impacts on our business, our clinical trials, healthcare systems or the global economy as a whole. However, these effects could have a material negative impact on our operations and our business. Furthermore, to the extent the ongoing COVID-19 pandemic adversely affects our operations and business, it may also heighten the other risks described in this “Risk Factors” section.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and Manufacturing</w:t>
      </w:r>
    </w:p>
    <w:p>
      <w:pPr>
        <w:spacing w:after="0" w:line="171" w:lineRule="exact"/>
        <w:rPr>
          <w:sz w:val="20"/>
          <w:szCs w:val="20"/>
          <w:color w:val="auto"/>
        </w:rPr>
      </w:pPr>
    </w:p>
    <w:p>
      <w:pPr>
        <w:ind w:left="34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are not able to manufacture biologic substance or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spacing w:after="0" w:line="121"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If we or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CMOs to manufacture and supply drug product for our clinical studies and those of our collaboration partners.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These risks and uncertainties are compounded by the COVID-19 pandemic wherein the facilities and employees responsible for manufacturing biologics for use in clinical trials may be negatively impacted such that there is an insufficient supply of study biologic drugs.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March 27, 2020, the President of the United States signed into law the Coronavirus Aid, Relief, and Economic Security Act (CARES Act) in response to the COVID-19 pandemic. Throughout the COVID-19 outbreak, there has been public concern over the availability and accessibility of critical medical products, and the CARES Act enhances FDA’s existing authority with respect to drug shortage measures. Under the CARES Act, we must have in place a risk management plan that identifies and evaluates the risks to the supply of approved drugs for certain serious diseases or conditions for each establishment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where the drug or API is manufactured. The risk management plan will be subject to FDA review during an inspection. If we experience shortages in the supply of our marketed products, our results could be materially impacted.</w:t>
      </w:r>
    </w:p>
    <w:p>
      <w:pPr>
        <w:spacing w:after="0" w:line="5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biologic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biologic candidates or commercialize our products in a timely manner or within budget. Furthermore, a CMO may possess technology related to the manufacture of our biologic candidate that such CMO owns independently. This would increase our reliance on such a CMO or require us to obtain a license from such CMO in order to have another CMO manufacture our products or biologic candidates. In addition, in the case of the CMOs that supply our biologic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spacing w:after="0" w:line="125" w:lineRule="exact"/>
        <w:rPr>
          <w:sz w:val="20"/>
          <w:szCs w:val="20"/>
          <w:color w:val="auto"/>
        </w:rPr>
      </w:pPr>
    </w:p>
    <w:p>
      <w:pPr>
        <w:ind w:left="34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some of the starting material for biologics and biologic candidates from a single source or a limited number of suppliers, and the partial or complete loss of one of these suppliers could cause production delays, clinical trial delays, substantial loss of revenue and contract liability to third parties.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often face very limited supply of a critical raw material that can only be obtained from a single, or a limited number of, suppliers, which could cause production delays, clinical trial delays, substantial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diminution in quality of raw materials supplied to us or failure to procure such raw materials on commercially feasible terms could harm our business by delaying our clinical trials, impeding commercialization of approved drugs or increasing our costs.</w:t>
      </w:r>
    </w:p>
    <w:p>
      <w:pPr>
        <w:spacing w:after="0" w:line="125" w:lineRule="exact"/>
        <w:rPr>
          <w:sz w:val="20"/>
          <w:szCs w:val="20"/>
          <w:color w:val="auto"/>
        </w:rPr>
      </w:pPr>
    </w:p>
    <w:p>
      <w:pPr>
        <w:ind w:left="3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and those of our contract manufacturers are subject to laws and other governmental regulatory requirements, which, if not met, would have a material adverse effect on our business, results of operations and financial condition.</w:t>
      </w:r>
    </w:p>
    <w:p>
      <w:pPr>
        <w:spacing w:after="0" w:line="1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and 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our drug manufacturing facilities and the manufacturing facilities of our CMOs for compliance with applicable regulatory requirements. Any failure to follow and document our or our CMOs’ adherence to such cGMP and other laws and governmental regulations or satisfy other manufacturing and product release regulatory requirements may disrupt our ability to meet our manufacturing obligations to our customers,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substantial compliance with cGMP. Manufacturing delays, for us or our CMOs, pending resolution of regulatory deficiencies or suspensions could have a material adverse effect on our business, results of operations and financial condition.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71"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the clinical trials for our biologic candidates and any failure of those parties to fulfill their obligations could harm our development and commercialization plans.</w:t>
      </w:r>
    </w:p>
    <w:p>
      <w:pPr>
        <w:spacing w:after="0" w:line="1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depend on independent clinical investigators, contract research organizations and other third-party service providers to conduct clinical trials for our biologic candidates. We rely heavily on these parties for the successful execution of our clinical trials. Though we are ultimately responsible for the results of their activities, many aspects of their activities are beyond our control.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biologic candidates to us in an untimely manner. Third parties may not complete activities on schedule or may not conduct our clinical trials in accordance with regulatory requirements or our stated protocols. The early termination of any of our clinical trial arrangements, the failure of third parties to comply with the regulations and requirements governing clinical trials or the failure of third parties to properly conduct our clinical trials could hinder or delay the development, approval and commercialization of our product candidates and would adversely affect our business, results of operations and financial condition.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proper management of our current and future business operations and their associated expenses.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strategy requires us to manage our business to provide for the continued development of our proprietary and partnered biologic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31" w:lineRule="exact"/>
        <w:rPr>
          <w:sz w:val="20"/>
          <w:szCs w:val="20"/>
          <w:color w:val="auto"/>
        </w:rPr>
      </w:pPr>
    </w:p>
    <w:p>
      <w:pPr>
        <w:ind w:left="34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through our collaborations, are not successful in recruiting sales and marketing personnel or in building a sales and marketing infrastructure, we will have difficulty commercializing our products, which would adversely affect our business, results of operations and financial condition.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we rely on other pharmaceutical or biotechnology companies with established sales, marketing and distribution systems to market our products, we will need to establish and maintain partnership arrangements, and we may not be able to enter into these arrangements on acceptable terms or at all. To the extent that we enter into co-promotion or other arrangements, any revenue we receive will depend upon the efforts of third parties, which may not be successful and over which we have little or no control. In the event that we market our products without a partner, we would be required to build, either internally or through third-party contracts, a sales and marketing organization and infrastructure, which would require a significant investment, and we may not be successful in building this organization and infrastructure in a timely or efficient manner. We would also incur substantial costs in building such capabilities before receiving regulatory approval of our products, which would have an adverse effect on our financial condition if our products are not ultimately approved.</w:t>
      </w:r>
    </w:p>
    <w:p>
      <w:pPr>
        <w:spacing w:after="0" w:line="134"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105"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personnel. Furthermore, as a result of our Restructuring Plan, our employees may experience distractions or decreases in employee morale and we may experience increased levels of employee attrition and turnover, which would adversely affect our business. If we fail to attract new personnel or to retain and motivate our current personnel, our business and future growth prospects could be severely harmed.</w:t>
      </w:r>
    </w:p>
    <w:p>
      <w:pPr>
        <w:spacing w:after="0" w:line="118" w:lineRule="exact"/>
        <w:rPr>
          <w:sz w:val="20"/>
          <w:szCs w:val="20"/>
          <w:color w:val="auto"/>
        </w:rPr>
      </w:pPr>
    </w:p>
    <w:p>
      <w:pP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0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Rising inflation rates have increased our operating costs and could negatively impact our operations.</w:t>
      </w:r>
    </w:p>
    <w:p>
      <w:pPr>
        <w:spacing w:after="0" w:line="24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Inflation rates, particularly in the United States, have increased recently to levels not seen in decades. Increased inflation has resulted in increased operating costs. In addition, the United States Federal Reserve has raised, and is expected to again raise, interest rates in response to concerns about inflation. Increases in interest rates, especially if coupled with reduced government spending and volatility in financial markets, may further increase economic uncertainty and heighten these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Litigation and Regulatory Concerns</w:t>
      </w:r>
    </w:p>
    <w:p>
      <w:pPr>
        <w:spacing w:after="0" w:line="171" w:lineRule="exact"/>
        <w:rPr>
          <w:sz w:val="20"/>
          <w:szCs w:val="20"/>
          <w:color w:val="auto"/>
        </w:rPr>
      </w:pPr>
    </w:p>
    <w:p>
      <w:pPr>
        <w:ind w:left="340"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or our partners do not obtain regulatory approval for our biologic candidates on a timely basis, or at all, or if the terms of any approval impose significant restrictions or limitations on use, our business, results of operations and financial condition will be negatively affected.</w:t>
      </w:r>
    </w:p>
    <w:p>
      <w:pPr>
        <w:spacing w:after="0" w:line="82"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18"/>
          <w:szCs w:val="18"/>
          <w:color w:val="auto"/>
        </w:rPr>
        <w:t>We or our partners may not obtain regulatory approval for biologic candidates on a timely basis, or at all, or the terms of any approval (which in some countries includes pricing approval) may impose significant restrictions or limitations on use. Biologic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biologic candidates could cause us or regulatory authorities to interrupt, delay or halt clinical trials and could result in a more restricted label or the delay or denial of regulatory approval by regulatory authorities. For example, AstraZeneca is conducting a post-marketing, observational epidemiological study comparing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other treatments of opioid-induced constipation in patients with chronic, non-cancer pain and the results of this study could at some point in the future negatively impact the labeling, regulatory status, and commercial potential of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could reduce our future royalties from sales of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29"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We currently derive, and expect to derive in the foreseeable future, substantially all of our revenue from collaboration agreements with biotechnology and pharmaceutical companies. These collaboration agreements contain complex commercial terms, including:</w:t>
      </w:r>
    </w:p>
    <w:p>
      <w:pPr>
        <w:spacing w:after="0" w:line="54" w:lineRule="exact"/>
        <w:rPr>
          <w:sz w:val="20"/>
          <w:szCs w:val="20"/>
          <w:color w:val="auto"/>
        </w:rPr>
      </w:pPr>
    </w:p>
    <w:p>
      <w:pPr>
        <w:ind w:left="1300" w:right="8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performance and reimbursement obligations for our personnel and other resources allocated to partnered biologic candidate development programs;</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allocation between us and our partners for improvements and new inventions developed during the course of the collaboration;</w:t>
      </w:r>
    </w:p>
    <w:p>
      <w:pPr>
        <w:spacing w:after="0" w:line="53"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on drug sales based on a number of complex variables, including net sales calculations, geography, scope of patent claim coverage, patent life, generic competitors, bundled pricing and other factors; and</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obligations for intellectual property infringement, product liability and certain other claims.</w:t>
      </w:r>
    </w:p>
    <w:p>
      <w:pPr>
        <w:spacing w:after="0" w:line="11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pacing w:after="0" w:line="6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122" w:lineRule="exact"/>
        <w:rPr>
          <w:sz w:val="20"/>
          <w:szCs w:val="20"/>
          <w:color w:val="auto"/>
        </w:rPr>
      </w:pPr>
    </w:p>
    <w:p>
      <w:pPr>
        <w:ind w:left="3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intellectual property licenses related to the development of our biologic candidates on a commercially reasonable basis, if at all.</w:t>
      </w:r>
    </w:p>
    <w:p>
      <w:pPr>
        <w:spacing w:after="0" w:line="1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biologic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36" w:lineRule="exact"/>
        <w:rPr>
          <w:sz w:val="20"/>
          <w:szCs w:val="20"/>
          <w:color w:val="auto"/>
        </w:rPr>
      </w:pPr>
    </w:p>
    <w:p>
      <w:pPr>
        <w:ind w:left="34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pending patent applications do not issue, or are deemed invalid following issuance, we may lose valuable intellectual property protection.</w:t>
      </w:r>
    </w:p>
    <w:p>
      <w:pPr>
        <w:spacing w:after="0" w:line="1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pharmaceutical and biotechnology companies, such as ours, are uncertain and involve complex legal and factual issues. We own more than 310 U.S. and 1,200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re-examinations or other proceedings that can result in the revocation of the patent or maintenance of the patent in amended form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products. In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addition, our patents may be subject to post grant proceedings, such as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re-examinations, before the U.S. Patent and Trademark Office (or equivalent proceedings in other jurisdictions), which could result in a loss of the patent and/or substantial cost to us.</w:t>
      </w:r>
    </w:p>
    <w:p>
      <w:pPr>
        <w:spacing w:after="0" w:line="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PEGylation and advanced polymer conjugate technologies and our biologic candidates.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22"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0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1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29"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0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biologic candidates, if approved,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biologic candidates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Restrictions under applicable federal and state healthcare laws and regulations, include the following:</w:t>
      </w:r>
    </w:p>
    <w:p>
      <w:pPr>
        <w:spacing w:after="0" w:line="81" w:lineRule="exact"/>
        <w:rPr>
          <w:sz w:val="20"/>
          <w:szCs w:val="20"/>
          <w:color w:val="auto"/>
        </w:rPr>
      </w:pPr>
    </w:p>
    <w:p>
      <w:pPr>
        <w:ind w:left="1140" w:hanging="484"/>
        <w:spacing w:after="0" w:line="254"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 A person or entity does not need to have actual knowledge of the federal Anti-Kickback Statute or specific intent to violate it to have committed a violation. On December 2, 2020, the Office of Inspector General, or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 Implementation of this change and new</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140" w:right="160"/>
        <w:spacing w:after="0" w:line="266" w:lineRule="auto"/>
        <w:rPr>
          <w:sz w:val="20"/>
          <w:szCs w:val="20"/>
          <w:color w:val="auto"/>
        </w:rPr>
      </w:pPr>
      <w:r>
        <w:rPr>
          <w:rFonts w:ascii="Times New Roman" w:cs="Times New Roman" w:eastAsia="Times New Roman" w:hAnsi="Times New Roman"/>
          <w:sz w:val="18"/>
          <w:szCs w:val="18"/>
          <w:color w:val="auto"/>
        </w:rPr>
        <w:t>safe harbors for point-of-sale reductions in price for prescription pharmaceutical products and pharmacy benefit manager service fees are currently under review by the Biden administration and may be amended or repealed. We continue to evaluate what effect, if any, the rule will have on our business;</w:t>
      </w:r>
    </w:p>
    <w:p>
      <w:pPr>
        <w:spacing w:after="0" w:line="68" w:lineRule="exact"/>
        <w:rPr>
          <w:sz w:val="20"/>
          <w:szCs w:val="20"/>
          <w:color w:val="auto"/>
        </w:rPr>
      </w:pPr>
    </w:p>
    <w:p>
      <w:pPr>
        <w:ind w:left="1140" w:right="40" w:hanging="484"/>
        <w:spacing w:after="0" w:line="254"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such as the U.S. federal False Claims Act (FCA),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 Manufacturers can be held liable under the federal False Claims Act even when they do not submit claims directly to government payers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federal Health Insurance Portability and Accountability Act of 1996 (HIPAA), which created new federal criminal statutes, referred to as the “HIPAA All-Payer Fraud Prohibition,” that prohibit knowingly and willfully executing a scheme to defraud any healthcare benefit program and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140" w:right="180" w:hanging="484"/>
        <w:spacing w:after="0" w:line="25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and teaching hospitals as well as physician ownership and investment interests in the manufacturer, and that such information is subsequently made publicly available in a searchable format on a CMS website, effective January 1, 2022, these reporting obligations will extend to include transfers of value made to certain non-physician assistants and nurse practitioners;</w:t>
      </w:r>
    </w:p>
    <w:p>
      <w:pPr>
        <w:spacing w:after="0" w:line="79" w:lineRule="exact"/>
        <w:rPr>
          <w:rFonts w:ascii="Times New Roman" w:cs="Times New Roman" w:eastAsia="Times New Roman" w:hAnsi="Times New Roman"/>
          <w:sz w:val="18"/>
          <w:szCs w:val="18"/>
          <w:color w:val="auto"/>
        </w:rPr>
      </w:pPr>
    </w:p>
    <w:p>
      <w:pPr>
        <w:ind w:left="1140" w:right="80" w:hanging="484"/>
        <w:spacing w:after="0" w:line="269" w:lineRule="auto"/>
        <w:tabs>
          <w:tab w:leader="none" w:pos="11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 also includes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73" w:lineRule="exact"/>
        <w:rPr>
          <w:rFonts w:ascii="Times New Roman" w:cs="Times New Roman" w:eastAsia="Times New Roman" w:hAnsi="Times New Roman"/>
          <w:sz w:val="17"/>
          <w:szCs w:val="17"/>
          <w:color w:val="auto"/>
        </w:rPr>
      </w:pPr>
    </w:p>
    <w:p>
      <w:pPr>
        <w:ind w:left="1140" w:hanging="484"/>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140" w:hanging="484"/>
        <w:spacing w:after="0" w:line="254"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 These state-equivalent laws may also apply to our business practices, including, but not limited to, research, distribution, and sales or marketing arrangements.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4"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10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For example, the current five-year authorization of the Prescription Drug User Fee Act (PDUFA) and other user free programs from which the FDA receives significant funding is set to expire on September 30, 2022, and a failure by Congress to reauthorize PDUFA and other user fee programs by this date may cause a reduction in the responsiveness of the FDA generally. In the past, average review times at the agency have fluctuated, and this may continue in the future. In addition, government funding of other agencies on which our operations may rely is subject to the political process, which is inherently fluid and unpredictable. Since March 2020 when foreign and domestic inspections of facilities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In April 2021, the FDA issued guidance for industry formally announcing plans to employ remote interactive evaluations, suing risk management methods, to meet user fee commitments and goal dates. Should FDA determine that an inspection is necessary for approval and an inspection cannot be completed during the review cycle due to restrictions on travel, and the FDA does not determine a remote interactive evaluation to be appropriate, FDA has stated that it generally intends to issue a complete response letter. Further, if there is inadequate information to make a determination on the acceptability of a facility, FDA may defer action on the application until an inspection can be completed. Regulatory authorities outside the U.S. may adopt similar restrictions or other policy measures in response to the COVID-19 pandemic and may experience delays in their regulatory activities.</w:t>
      </w:r>
    </w:p>
    <w:p>
      <w:pPr>
        <w:spacing w:after="0" w:line="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Additionally, as of June 23, 2020, the FDA noted it is continuing to ensure timely reviews of applications for medical products during the COVID-19 pandemic in line with its user fee performance goals. On July 16, 2020, the FDA noted that it is continuing to expedite oncology product development with its staff teleworking full-time. However, the FDA may not be able to continue its current pace and review timelines could be extended, including where a pre-approval inspection or an inspection of clinical sites is required and due to the COVID-19 pandemic and travel restrictions the FDA is unable to complete such required inspections during the review period.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136" w:lineRule="exact"/>
        <w:rPr>
          <w:sz w:val="20"/>
          <w:szCs w:val="20"/>
          <w:color w:val="auto"/>
        </w:rPr>
      </w:pPr>
    </w:p>
    <w:p>
      <w:pPr>
        <w:ind w:left="3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1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our technology platform or biologic candidates or that we have misappropriated its confidential or proprietary information. Similar assertions of infringement could be based on future patents that may issue to third parties. For example, we are involved in ongoing litigation with Aether Therapeutics Inc., who in March 2020 filed a complaint against AstraZeneca, Nektar and Daiichi-Sanko, Inc. alleging that MOVANTIK® infringes U.S. Patent Nos. 6,713,488, 8,748,448, 8,883,817 and 9,061,024.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partners against any claims. We are also regularly involved in opposition proceedings at the European Patent Office and in inter partes review and re-examination proceedings at the U.S. Patent and Trademark Office where third parties seek to invalidate or limit the scope of our allowed patent applications or issued patents covering (among other things) our biologic candidates and platform technologies. If a third party obtains injunctive or other equitable relief against us or our partners, they could effectively prevent us, or our partners, from developing or commercializing, or deriving revenue from, certain biologics or biologic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4"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8"/>
          <w:szCs w:val="18"/>
          <w:color w:val="auto"/>
        </w:rPr>
        <w:t>From time to time, we are involved in legal proceedings other than those related to intellectual property. In October 2018, we and certain of our executives were named in a putative securities class action complaint filed in the U.S. District Court for the Northern District of California (Case No. 18-cv-06607, which we refer to as the Mulquin action). The Mulquin plaintiffs have challenged public statements Nektar made, between January 2017 and June 2018, about the clinical trials of bempegaldesleukin. The Mulquin complaint was amended in May 2019. The defendants moved to dismiss and the court granted the motion without prejudice in July 2020. The Mulquin plaintiffs again amended their complaint and the defendants again moved to dismiss. In December 2020, the court dismissed the action with prejudice. The plaintiffs filed a notice of appeal in January 2021 and appellate briefing in the U.S. Court of Appeals for the Ninth Circuit was completed in September 2021. Oral argument occurred on December 10, 2021. On May 19, 2022, the Ninth Circuit affirmed the district court's dismissal of all claims against the defendants.</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 derivative action was also filed against certain of the Company’s current and former officers and directors, purportedly on the Company’s behalf. This derivative action is based on the allegations in the Mulquin action and on the premise that the Company’s officers and directors breached their fiduciary duties to the Company. The complaint for this derivative action was filed in February 2021 in the Court of Chancery of the State of Delaware (C.A. No. 2021-0118-PAF). Following a stay in the proceedings during the pendency of the appeal in the Mulquin action, the Company received an amended complaint on July 29, 2022, and the defendants will have until September 12, 2022 to respond to the amended complaint.</w:t>
      </w:r>
    </w:p>
    <w:p>
      <w:pPr>
        <w:spacing w:after="0" w:line="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 litigation or the settlement thereof (including the Mulquin action and related shareholder derivative lawsuit) is sufficient, thereby resulting in substantial financial risk to the Company.</w:t>
      </w:r>
    </w:p>
    <w:p>
      <w:pPr>
        <w:spacing w:after="0" w:line="7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Given the nature of lawsuits and complaints, we cannot reasonably estimate a potential future loss or a range of potential future losses for any of the legal proceedings we are currently involved in. However, an unfavorable resolution could potentially have a material adverse effect on our business, financial condition, and results of operations or prospects, and potentially result in paying monetary damages. We have recorded no liability for these matters in our Consolidated Balance Sheets at June 30, 2022.</w:t>
      </w:r>
    </w:p>
    <w:p>
      <w:pPr>
        <w:spacing w:after="0" w:line="122" w:lineRule="exact"/>
        <w:rPr>
          <w:sz w:val="20"/>
          <w:szCs w:val="20"/>
          <w:color w:val="auto"/>
        </w:rPr>
      </w:pPr>
    </w:p>
    <w:p>
      <w:pPr>
        <w:ind w:left="34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privacy and data protection laws, we may be required to pay penalties, be subjected to scrutiny by regulators or governmental entities, or be suspended from participation in government healthcare programs, which may adversely affect our business, financial condition and results of operations.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many laws and regulations intended to protect the privacy and data of individuals participating in our clinical trials and our employees, among others. For example, with regard to individuals participating in our clinical trials, these laws and regulations govern the safeguarding the privacy, integrity, availability, security and transmission of individually identifiable health information. In addition to federal laws and regulations in the United States, such as the HIPAA requirements relating to the privacy, security and transmission of individually identifiable health information, many state and foreign laws also govern the privacy and security of health information. These laws often differ from each other in significant ways, thus complicating compliance efforts. The global data protection landscape is rapidly evolving, and implementation standards and enforcement practices are likely to remain uncertain for the foreseeable future.</w:t>
      </w:r>
    </w:p>
    <w:p>
      <w:pPr>
        <w:spacing w:after="0" w:line="8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California recently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has increased our compliance costs and may increase our potential liability. The CCPA has prompted a number of proposals for new federal and state privacy legislation. If passed, these proposals could increase our potential liability, increase our compliance costs and adversely affect our business.</w:t>
      </w:r>
    </w:p>
    <w:p>
      <w:pPr>
        <w:spacing w:after="0" w:line="7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European Regulation 2016/679, known as the General Data Protection Regulation (GDPR), and the implementing legislation of EU Member States, which became effective on May 25, 2018, apply to the collection and processing of personal data, including health-related information, by companies located in the EU, or in certain circumstances, by companies located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of the EU and processing personal information of individuals located in the EU. The GDPR is wide-ranging in scope and imposes strict obligations on the ability to process personal data, including health-related information, in particular in relation to their collection, use, disclosure and transfer. These include several requirements relating to, for example, (i) obtaining, in some situations, the consent of the individuals to whom the personal data relates, (ii) the information provided to the individuals about how their personal information is used, and (iii) ensuring the security and confidentiality of the personal data. The GDPR prohibits the transfer of personal data to countries outside of the European Economic Area (EEA), such as the United States, which are not considered by the European Commission to provide an adequate level of data protection. Potential pecuniary fines for noncompliant companies may be up to the greater of €20 million or 4% of annual global revenue.</w:t>
      </w:r>
    </w:p>
    <w:p>
      <w:pPr>
        <w:spacing w:after="0" w:line="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are found liable for the inappropriate collection, storage, use or disclosure of protected information of individuals (such as employees and or clinical patients protected by any privacy or data protection law), we could be subject to reputational harm, monetary fines (such as those imposed by the GDPR and CCPA), civil suits, civil penalties or criminal sanctions and requirements to disclose the breach, and the development of our biologic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29"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research-based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radioactive compounds, and other hazardous materials. The cost of compliance with environmental, health, and safety regulations (including, but not limited to, the handling and disposal of both our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Investment and Securities</w:t>
      </w:r>
    </w:p>
    <w:p>
      <w:pPr>
        <w:spacing w:after="0" w:line="171" w:lineRule="exact"/>
        <w:rPr>
          <w:sz w:val="20"/>
          <w:szCs w:val="20"/>
          <w:color w:val="auto"/>
        </w:rPr>
      </w:pPr>
    </w:p>
    <w:p>
      <w:pPr>
        <w:ind w:left="34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0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stock price is volatile. During the three months ended June 30, 2022, based on closing prices on the NASDAQ Global Select Market, the closing price of our common stock ranged from $3.17 to $6.17 per share.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spacing w:after="0" w:line="81" w:lineRule="exact"/>
        <w:rPr>
          <w:sz w:val="20"/>
          <w:szCs w:val="20"/>
          <w:color w:val="auto"/>
        </w:rPr>
      </w:pPr>
    </w:p>
    <w:p>
      <w:pPr>
        <w:ind w:left="660" w:right="3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data from clinical studies of bempegaldesleukin has had a significant impact on our stock price;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outcomes from our clinical trials which can be difficult to predict particularly for clinical studies that have event-driven end points such as progression-free survival and overall survival;</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collaboration partners as to their plans or expectations related to biologic candidates and approved biologics in which we have a substantial economic interest;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terminations or disputes under our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w:t>
      </w:r>
    </w:p>
    <w:p>
      <w:pPr>
        <w:spacing w:after="0" w:line="11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therapeutic products that may compete with our approved partnered products or products under development;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governmental regulation affecting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brought against us or third parties to whom we have indemnification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 formulations developed by us or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needs and activities;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104"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10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such that not all members of the board may be elected at one time;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provision for cumulative voting in the election of directors, which would otherwise allow less than a majority of stockholders to elect director candidates;</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“blank check” preferred stock to increase the number of outstanding shares and thwart a takeover attempt;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stockholder action by written consent, thereby requiring all stockholder actions to be taken at a meeting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nominations for election to the board of directors or for proposing matters that can be acted upon by stockholders at stockholder meetings;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a special meeting of stockholders.</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information technology systems, and any failure, inadequacy, interruption, breach, or security lapse of that technology within our internal computer systems, or those of our partners, vendors, CROs, CMOs or other contractors or consultants, may result in a material disruption of our development programs and our operations.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data, intellectual property and personal data. Despite the implementation of security measures, our internal computer systems and those of our partners, vendors, contract research organizations (CROs), contract manufacturing organizations (CMOs) and other contractors and consultants are vulnerable to loss, damage, denial-of-service, unauthorized access, or misappropriation. Such cybersecurity breaches may be the result of unauthorized activity by our employees and contractors, as well as by third parties who use cyberattack techniques involving malware, hacking and phishing, among others. Additionally, the risk of cyber-attacks or other privacy or data security incidents may be heightened as a result of an increase in the number of employees adopting a remote working environment during the COVID-19 pandemic, which may be less secure and more susceptible to hacking attacks. Our information technology systems, and those of our partners, vendors, CROs, CMOs or other contractors or consultants are also vulnerable to natural disasters, terrorism, war and telecommunication and electrical failures. Any such compromise or disruption, no matter the origin, may cause an interruption of our operations. For instance, the loss of preclinical data or data from any clinical trial involving our biologic candidates could result in delays in our development and regulatory filing efforts and significantly increase our costs. In addition, the loss, corruption or unauthorized disclosure of our trade secrets, personal data or other proprietary or sensitive information could compromise the commercial viability of one or more of our programs, which would negatively affect our business. Also, the costs to us to investigate and mitigate cybersecurity incidents could be significant.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For example, on March 27, 2020, the CARES Act was signed into law and included certain changes in tax law intended to stimulate the U.S. economy in light of the COVID-19 pandemic, including temporary changes to the treatment of net operating losses, interest deductibility limitations and payroll tax matters. Future changes in tax laws could have a material adverse effect on our business, cash flow, financial condition or results of operations.</w:t>
      </w:r>
    </w:p>
    <w:p>
      <w:pPr>
        <w:spacing w:after="0" w:line="130" w:lineRule="exact"/>
        <w:rPr>
          <w:sz w:val="20"/>
          <w:szCs w:val="20"/>
          <w:color w:val="auto"/>
        </w:rPr>
      </w:pPr>
    </w:p>
    <w:p>
      <w:pPr>
        <w:ind w:left="34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access to patient markets, and regulatory certainty, which could adversely affect our operations.</w:t>
      </w:r>
    </w:p>
    <w:p>
      <w:pPr>
        <w:spacing w:after="0" w:line="10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Effective January 31, 2020, the U.K. ceased to be a member state of the EU, a process known as Brexit, and began a transition period, which expired on December 31, 2020.</w:t>
      </w:r>
    </w:p>
    <w:p>
      <w:pPr>
        <w:spacing w:after="0" w:line="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Under the trade and cooperation agreement, U.K. service suppliers no longer benefit from automatic access to the entire EU single market, U.K. goods no longer benefit from the free movement of goods and there is no longer the free movement of people between the U.K. and the EU. Depending on the application of the terms of the trade and cooperation agreement, we, our collaboration partners and others could face new regulatory costs and challenges.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may negatively affect us and may magnify certain risks that affect our business.</w:t>
      </w:r>
    </w:p>
    <w:p>
      <w:pPr>
        <w:spacing w:after="0" w:line="17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affected by global economic conditions, including, for example, adverse global economic conditions resulting from the COVID-19 pandemic. See also the risk factor in this Item 1A titled “</w:t>
      </w:r>
      <w:r>
        <w:rPr>
          <w:rFonts w:ascii="Times New Roman" w:cs="Times New Roman" w:eastAsia="Times New Roman" w:hAnsi="Times New Roman"/>
          <w:sz w:val="18"/>
          <w:szCs w:val="18"/>
          <w:i w:val="1"/>
          <w:iCs w:val="1"/>
          <w:color w:val="auto"/>
        </w:rPr>
        <w:t>Our business could be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affected by the effects of health epidemics, including the recent COVID-19 pandemic.</w:t>
      </w:r>
      <w:r>
        <w:rPr>
          <w:rFonts w:ascii="Times New Roman" w:cs="Times New Roman" w:eastAsia="Times New Roman" w:hAnsi="Times New Roman"/>
          <w:sz w:val="18"/>
          <w:szCs w:val="18"/>
          <w:color w:val="auto"/>
        </w:rPr>
        <w:t>” In addition, our operations and performance may be affected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political or civil unrest or military action, terrorist activity, and unstable governments and legal systems. For example, in late February 2022, Russia commenced a military invasion of Ukraine, and the sustained conflict in Ukraine, including the potential effects of sanctions and retaliatory cyber-attacks on the world economy and markets, has contributed to increased market volatility and uncertainty. In particular, sanctions imposed by the U.S., EU and other countries in response to the conflict between Russia and Ukraine and the potential response to such sanctions may have an adverse impact on our business, including our clinical trials, the financial markets and the global economy. As the conflict in Ukraine continues, there can be no certainty regarding whether the U.S., EU or other governments will impose additional sanctions, or other economic or military measured relating to Russia.</w:t>
      </w:r>
    </w:p>
    <w:p>
      <w:pPr>
        <w:spacing w:after="0" w:line="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global economic and political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7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w:t>
      </w:r>
    </w:p>
    <w:p>
      <w:pPr>
        <w:spacing w:after="0" w:line="17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is an increased focus from certain investors, employees, and other stakeholders concerning corporate citizenship and sustainability matters, which include environmental concerns and social investments. We could fail to meet, or be perceived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fail to meet, the expectations of these certain investors, employees and other stakeholders concerning corporate citizenship and sustainability matters, thereby resulting in a negative impact to our business.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earthquakes or other catastrophic events strike, our business may be harmed.</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headquarters, including a substantial portion of our research and development operations, are located in the San Francisco Bay Area, a region known for seismic activity and a potential terrorist target. In addition, we own facilities for the manufacture of products using our advanced polymer conjugate technologies in Huntsville, Alabama and own and lease offices in Hyderabad, India. There are no backup facilities for our manufacturing operations located in Huntsville, Alabama. In the event of an earthquake or other natural disaster, political instability, or terrorist event in any of these locations, our ability to manufacture and supply materials for biologic candidates in development and our ability to meet our manufacturing obligations to our customers would be significantly disrupted and our business, results of operations and financial condition would be harmed. Our collaboration partners and important vendors and suppliers to us or our collaboration partners may also be subject to catastrophic events, such as earthquakes, floods,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200" w:lineRule="exact"/>
        <w:rPr>
          <w:sz w:val="20"/>
          <w:szCs w:val="20"/>
          <w:color w:val="auto"/>
        </w:rPr>
      </w:pPr>
    </w:p>
    <w:p>
      <w:pPr>
        <w:spacing w:after="0" w:line="3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right="40" w:firstLine="567"/>
        <w:spacing w:after="0" w:line="282" w:lineRule="auto"/>
        <w:rPr>
          <w:sz w:val="20"/>
          <w:szCs w:val="20"/>
          <w:color w:val="auto"/>
        </w:rPr>
      </w:pPr>
      <w:r>
        <w:rPr>
          <w:rFonts w:ascii="Times New Roman" w:cs="Times New Roman" w:eastAsia="Times New Roman" w:hAnsi="Times New Roman"/>
          <w:sz w:val="18"/>
          <w:szCs w:val="18"/>
          <w:color w:val="auto"/>
        </w:rPr>
        <w:t>None, including no purchases of any class of our equity securities by us or any affiliate pursuant to any publicly announced repurchase plan in the three months ended June 30, 2022.</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as so indicated in Exhibit 32.1, the following exhibits are filed as part of, or incorporated by reference into, this Quarterly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960" w:type="dxa"/>
            <w:vAlign w:val="bottom"/>
            <w:gridSpan w:val="10"/>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 of Documents</w:t>
            </w:r>
          </w:p>
        </w:tc>
        <w:tc>
          <w:tcPr>
            <w:tcW w:w="0" w:type="dxa"/>
            <w:vAlign w:val="bottom"/>
          </w:tcPr>
          <w:p>
            <w:pPr>
              <w:spacing w:after="0"/>
              <w:rPr>
                <w:sz w:val="1"/>
                <w:szCs w:val="1"/>
                <w:color w:val="auto"/>
              </w:rPr>
            </w:pPr>
          </w:p>
        </w:tc>
      </w:tr>
      <w:tr>
        <w:trPr>
          <w:trHeight w:val="458"/>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560" w:type="dxa"/>
            <w:vAlign w:val="bottom"/>
            <w:tcBorders>
              <w:top w:val="single" w:sz="8" w:color="auto"/>
            </w:tcBorders>
            <w:gridSpan w:val="12"/>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Certificate of Incorporation of Inhale Therapeutic Systems (Delaware),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Certificate of Amendment of the Amended Certificate of Incorporation of Inhale Therapeutic Systems, Inc.</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1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Ownership and Merger of Nektar Therapeutics.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12"/>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Certificate of Ownership and Merger of Nektar Therapeutics AL, Corporation with and into Nektar Therapeutics.</w:t>
              </w:r>
            </w:hyperlink>
          </w:p>
        </w:tc>
        <w:tc>
          <w:tcPr>
            <w:tcW w:w="0" w:type="dxa"/>
            <w:vAlign w:val="bottom"/>
          </w:tcPr>
          <w:p>
            <w:pPr>
              <w:spacing w:after="0"/>
              <w:rPr>
                <w:sz w:val="1"/>
                <w:szCs w:val="1"/>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Amended and Restated Bylaws of Nektar Therapeutics.</w:t>
              </w:r>
            </w:hyperlink>
          </w:p>
        </w:tc>
        <w:tc>
          <w:tcPr>
            <w:tcW w:w="2760" w:type="dxa"/>
            <w:vAlign w:val="bottom"/>
            <w:tcBorders>
              <w:top w:val="single" w:sz="8" w:color="0000FF"/>
            </w:tcBorders>
            <w:gridSpan w:val="3"/>
          </w:tcPr>
          <w:p>
            <w:pPr>
              <w:spacing w:after="0"/>
              <w:rPr>
                <w:sz w:val="24"/>
                <w:szCs w:val="24"/>
                <w:color w:val="auto"/>
              </w:rPr>
            </w:pPr>
          </w:p>
        </w:tc>
        <w:tc>
          <w:tcPr>
            <w:tcW w:w="1160" w:type="dxa"/>
            <w:vAlign w:val="bottom"/>
            <w:tcBorders>
              <w:top w:val="single" w:sz="8" w:color="0000FF"/>
            </w:tcBorders>
            <w:gridSpan w:val="2"/>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Nektar Therapeutics Amended and Restated 2017 Performance Incentive Plan, as amended++</w:t>
            </w:r>
          </w:p>
        </w:tc>
        <w:tc>
          <w:tcPr>
            <w:tcW w:w="1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Employment Transition, Separation and Consultation Agreement, dated as of June 29, 2022, by and between Nektar</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Therapeutics and John Northcott.++</w:t>
            </w:r>
          </w:p>
        </w:tc>
        <w:tc>
          <w:tcPr>
            <w:tcW w:w="5340" w:type="dxa"/>
            <w:vAlign w:val="bottom"/>
            <w:tcBorders>
              <w:top w:val="single" w:sz="8" w:color="0000FF"/>
            </w:tcBorders>
            <w:gridSpan w:val="6"/>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Nektar Therapeutics’ principal executive officer required by Rule 13a-14(a) or Rule 15d-14(a).</w:t>
            </w:r>
          </w:p>
        </w:tc>
        <w:tc>
          <w:tcPr>
            <w:tcW w:w="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Nektar Therapeutics’ principal financial officer required by Rule 13a-14(a) or Rule 15d-14(a).</w:t>
            </w: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101.SCH(6)</w:t>
            </w: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101.CAL(6)</w:t>
            </w: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101.LAB(6)</w:t>
            </w: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101.PRE(6)</w:t>
            </w: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101.DEF(6)</w:t>
            </w: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contained in Exhibits 101).</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2" w:lineRule="exact"/>
        <w:rPr>
          <w:sz w:val="20"/>
          <w:szCs w:val="20"/>
          <w:color w:val="auto"/>
        </w:rPr>
      </w:pPr>
    </w:p>
    <w:p>
      <w:pPr>
        <w:ind w:right="2280" w:firstLine="8"/>
        <w:spacing w:after="0" w:line="230"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Quarterly Report on Form 10-Q, for the quarter ended June 30, 1998.</w:t>
      </w:r>
    </w:p>
    <w:p>
      <w:pPr>
        <w:spacing w:after="0" w:line="1" w:lineRule="exact"/>
        <w:rPr>
          <w:rFonts w:ascii="Times New Roman" w:cs="Times New Roman" w:eastAsia="Times New Roman" w:hAnsi="Times New Roman"/>
          <w:sz w:val="18"/>
          <w:szCs w:val="18"/>
          <w:color w:val="auto"/>
        </w:rPr>
      </w:pPr>
    </w:p>
    <w:p>
      <w:pPr>
        <w:ind w:right="2280" w:firstLine="8"/>
        <w:spacing w:after="0" w:line="211"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Nektar Therapeutics’ Quarterly Report on Form 10-Q, for the quarter ended June 30, 2000.</w:t>
      </w:r>
    </w:p>
    <w:p>
      <w:pPr>
        <w:ind w:right="2620" w:firstLine="8"/>
        <w:spacing w:after="0" w:line="219"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January 23, 2003.</w:t>
      </w:r>
    </w:p>
    <w:p>
      <w:pPr>
        <w:ind w:right="2640" w:firstLine="8"/>
        <w:spacing w:after="0" w:line="211"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3.6 to Nektar Therapeutics’ Annual Report on Form 10-K, for the year ended December 31, 2009.</w:t>
      </w:r>
    </w:p>
    <w:p>
      <w:pPr>
        <w:ind w:right="2440" w:firstLine="8"/>
        <w:spacing w:after="0" w:line="219"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December 21, 2020.</w:t>
      </w: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5" w:lineRule="exact"/>
        <w:rPr>
          <w:sz w:val="20"/>
          <w:szCs w:val="20"/>
          <w:color w:val="auto"/>
        </w:rPr>
      </w:pPr>
    </w:p>
    <w:p>
      <w:pPr>
        <w:ind w:left="660" w:hanging="652"/>
        <w:spacing w:after="0" w:line="266" w:lineRule="auto"/>
        <w:tabs>
          <w:tab w:leader="none" w:pos="2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900"/>
        <w:spacing w:after="0"/>
        <w:tabs>
          <w:tab w:leader="none" w:pos="5420" w:val="left"/>
        </w:tabs>
        <w:rPr>
          <w:sz w:val="20"/>
          <w:szCs w:val="20"/>
          <w:color w:val="auto"/>
        </w:rPr>
      </w:pPr>
      <w:r>
        <w:rPr>
          <w:rFonts w:ascii="Times New Roman" w:cs="Times New Roman" w:eastAsia="Times New Roman" w:hAnsi="Times New Roman"/>
          <w:sz w:val="18"/>
          <w:szCs w:val="18"/>
          <w:color w:val="auto"/>
        </w:rPr>
        <w:t>By:</w:t>
        <w:tab/>
        <w:t>/s/ JILLIAN B.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36944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Jillian B. Thomsen</w:t>
      </w:r>
    </w:p>
    <w:p>
      <w:pPr>
        <w:ind w:left="544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320" w:top="121" w:right="599" w:bottom="1440" w:gutter="0" w:footer="0" w:header="0"/>
        </w:sectPr>
      </w:pPr>
    </w:p>
    <w:bookmarkStart w:id="57" w:name="page58"/>
    <w:bookmarkEnd w:id="57"/>
    <w:p>
      <w:pPr>
        <w:spacing w:after="0" w:line="122"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2017 PERFORMANCE INCENTIVE PLAN</w:t>
      </w:r>
    </w:p>
    <w:p>
      <w:pPr>
        <w:spacing w:after="0" w:line="374"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PLAN</w:t>
      </w:r>
    </w:p>
    <w:p>
      <w:pPr>
        <w:spacing w:after="0" w:line="211" w:lineRule="exact"/>
        <w:rPr>
          <w:rFonts w:ascii="Times New Roman" w:cs="Times New Roman" w:eastAsia="Times New Roman" w:hAnsi="Times New Roman"/>
          <w:sz w:val="18"/>
          <w:szCs w:val="18"/>
          <w:b w:val="1"/>
          <w:bCs w:val="1"/>
          <w:color w:val="auto"/>
        </w:rPr>
      </w:pPr>
    </w:p>
    <w:p>
      <w:pPr>
        <w:jc w:val="both"/>
        <w:ind w:left="340"/>
        <w:spacing w:after="0" w:line="2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purpose of this Nektar Therapeutics Amended and Restated 2017 Performance Incentive Plan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Nektar Therapeutics,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is to promote the success of the Corporation and to increase stockholder value by providing an additional means through the grant of awards to attract, motivate, retain and reward selected employees and other eligible persons.</w:t>
      </w:r>
    </w:p>
    <w:p>
      <w:pPr>
        <w:spacing w:after="0" w:line="18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Administrator (as such term is defined in Section 3.1) may grant awards under this Plan only to those persons that the Administrator determines to be Eligible Persons. An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a majority of whose outstanding voting stock or voting power is beneficially owned directly or indirectly by the Corporation; and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9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ADMINISTRATION</w:t>
      </w:r>
    </w:p>
    <w:p>
      <w:pPr>
        <w:spacing w:after="0" w:line="211" w:lineRule="exact"/>
        <w:rPr>
          <w:rFonts w:ascii="Times New Roman" w:cs="Times New Roman" w:eastAsia="Times New Roman" w:hAnsi="Times New Roman"/>
          <w:sz w:val="18"/>
          <w:szCs w:val="18"/>
          <w:b w:val="1"/>
          <w:bCs w:val="1"/>
          <w:color w:val="auto"/>
        </w:rPr>
      </w:pPr>
    </w:p>
    <w:p>
      <w:pPr>
        <w:ind w:left="720" w:hanging="389"/>
        <w:spacing w:after="0" w:line="21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shall be administered by and all awards under this Plan shall be authorized by the Administrator.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means the Board or one 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Section 157(c) of the Delaware General Corporation Law and any other applicable law, to one or more officers of the Corporation, its powers under this Plan (a) to designate the officers and employees of the Corporation and its Subsidiaries who will receive grants of awards under this Plan, and (b) to determine the number of shares subject to, and the other terms and conditions of, such awards. The Board may delegate different levels of authority to different committees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192" w:lineRule="exact"/>
        <w:rPr>
          <w:sz w:val="20"/>
          <w:szCs w:val="20"/>
          <w:color w:val="auto"/>
        </w:rPr>
      </w:pPr>
    </w:p>
    <w:p>
      <w:pPr>
        <w:jc w:val="both"/>
        <w:ind w:left="720"/>
        <w:spacing w:after="0" w:line="216" w:lineRule="auto"/>
        <w:rPr>
          <w:sz w:val="20"/>
          <w:szCs w:val="20"/>
          <w:color w:val="auto"/>
        </w:rPr>
      </w:pPr>
      <w:r>
        <w:rPr>
          <w:rFonts w:ascii="Times New Roman" w:cs="Times New Roman" w:eastAsia="Times New Roman" w:hAnsi="Times New Roman"/>
          <w:sz w:val="18"/>
          <w:szCs w:val="18"/>
          <w:color w:val="auto"/>
        </w:rPr>
        <w:t>With respect to awards previously intended to satisfy the requirements for performance-based compensation under Section 162(m)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this Plan shall be administered by a committee consisting solely of two or more outside directors (as this requirement is applied under Section 162(m) of the Code); provided, however, that the failure to satisfy such requirement shall</w:t>
      </w:r>
    </w:p>
    <w:p>
      <w:pPr>
        <w:spacing w:after="0" w:line="1"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not affect the validity of the action of any committee otherwise duly authorized and acting in the matter. Award grants, and transactions in or involving awards, intended to be exempt under Rule 16b-3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must be duly and timely authorized by the Board or a committee consisting solely of two or more non-employee directors (as this requirement is</w:t>
      </w:r>
    </w:p>
    <w:p>
      <w:pPr>
        <w:spacing w:after="0" w:line="2" w:lineRule="exact"/>
        <w:rPr>
          <w:sz w:val="20"/>
          <w:szCs w:val="20"/>
          <w:color w:val="auto"/>
        </w:rPr>
      </w:pPr>
    </w:p>
    <w:p>
      <w:pPr>
        <w:jc w:val="both"/>
        <w:ind w:left="720"/>
        <w:spacing w:after="0" w:line="226" w:lineRule="auto"/>
        <w:rPr>
          <w:sz w:val="20"/>
          <w:szCs w:val="20"/>
          <w:color w:val="auto"/>
        </w:rPr>
      </w:pPr>
      <w:r>
        <w:rPr>
          <w:rFonts w:ascii="Times New Roman" w:cs="Times New Roman" w:eastAsia="Times New Roman" w:hAnsi="Times New Roman"/>
          <w:sz w:val="18"/>
          <w:szCs w:val="18"/>
          <w:color w:val="auto"/>
        </w:rPr>
        <w:t>applied under Rule 16b-3 promulgated under the Exchange Act). To the extent required by any applicable listing agency, this Plan shall be administered by a committee composed entirely of independent directors (within the meaning of the applicable listing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Powers of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express provisions of this Plan, the Administrator is authorized and empowered to do all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desirable in connection with the authorization of awards and the administration of this Plan (in the case of a committee or delegation</w:t>
      </w:r>
    </w:p>
    <w:p>
      <w:pPr>
        <w:ind w:left="380"/>
        <w:spacing w:after="0"/>
        <w:rPr>
          <w:sz w:val="20"/>
          <w:szCs w:val="20"/>
          <w:color w:val="auto"/>
        </w:rPr>
      </w:pPr>
      <w:r>
        <w:rPr>
          <w:rFonts w:ascii="Times New Roman" w:cs="Times New Roman" w:eastAsia="Times New Roman" w:hAnsi="Times New Roman"/>
          <w:sz w:val="18"/>
          <w:szCs w:val="18"/>
          <w:color w:val="auto"/>
        </w:rPr>
        <w:t>to one or more officers, within the authority delegated to that committee or person(s)), including, without limitation, the authority to:</w:t>
      </w:r>
    </w:p>
    <w:p>
      <w:pPr>
        <w:spacing w:after="0" w:line="192" w:lineRule="exact"/>
        <w:rPr>
          <w:sz w:val="20"/>
          <w:szCs w:val="20"/>
          <w:color w:val="auto"/>
        </w:rPr>
      </w:pPr>
    </w:p>
    <w:p>
      <w:pPr>
        <w:ind w:left="960" w:right="20" w:hanging="579"/>
        <w:spacing w:after="0" w:line="23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 and, from among those persons determined to be eligible, the particular Eligible Persons who will receive an award under this Plan;</w:t>
      </w:r>
    </w:p>
    <w:p>
      <w:pPr>
        <w:spacing w:after="0" w:line="198" w:lineRule="exact"/>
        <w:rPr>
          <w:rFonts w:ascii="Times New Roman" w:cs="Times New Roman" w:eastAsia="Times New Roman" w:hAnsi="Times New Roman"/>
          <w:sz w:val="18"/>
          <w:szCs w:val="18"/>
          <w:color w:val="auto"/>
        </w:rPr>
      </w:pPr>
    </w:p>
    <w:p>
      <w:pPr>
        <w:jc w:val="both"/>
        <w:ind w:left="960" w:hanging="579"/>
        <w:spacing w:after="0" w:line="220"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 to Eligible Persons, determine the price at which securities will be offered or awarded and the number of securities to be offered or awarded to any of such persons,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 targets, and establish the events of termination or reversion of such awards;</w:t>
      </w:r>
    </w:p>
    <w:p>
      <w:pPr>
        <w:spacing w:after="0" w:line="185" w:lineRule="exact"/>
        <w:rPr>
          <w:rFonts w:ascii="Times New Roman" w:cs="Times New Roman" w:eastAsia="Times New Roman" w:hAnsi="Times New Roman"/>
          <w:sz w:val="18"/>
          <w:szCs w:val="18"/>
          <w:color w:val="auto"/>
        </w:rPr>
      </w:pPr>
    </w:p>
    <w:p>
      <w:pPr>
        <w:ind w:left="960" w:hanging="579"/>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forms of award agreements (which need not be identical either as to type of award or among participants);</w:t>
      </w:r>
    </w:p>
    <w:p>
      <w:pPr>
        <w:spacing w:after="0" w:line="225" w:lineRule="exact"/>
        <w:rPr>
          <w:rFonts w:ascii="Times New Roman" w:cs="Times New Roman" w:eastAsia="Times New Roman" w:hAnsi="Times New Roman"/>
          <w:sz w:val="18"/>
          <w:szCs w:val="18"/>
          <w:color w:val="auto"/>
        </w:rPr>
      </w:pPr>
    </w:p>
    <w:p>
      <w:pPr>
        <w:jc w:val="both"/>
        <w:ind w:left="960" w:hanging="579"/>
        <w:spacing w:after="0" w:line="226"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and any agreements defining the rights and obligations of the Corporation, its Subsidiaries, and participants under this Plan, further define the terms used in this Plan, and prescribe, amend and rescind rules and regulations relating to the administration of this Plan or the awards granted under this Plan;</w:t>
      </w:r>
    </w:p>
    <w:p>
      <w:pPr>
        <w:spacing w:after="0" w:line="198" w:lineRule="exact"/>
        <w:rPr>
          <w:rFonts w:ascii="Times New Roman" w:cs="Times New Roman" w:eastAsia="Times New Roman" w:hAnsi="Times New Roman"/>
          <w:sz w:val="18"/>
          <w:szCs w:val="18"/>
          <w:color w:val="auto"/>
        </w:rPr>
      </w:pPr>
    </w:p>
    <w:p>
      <w:pPr>
        <w:ind w:left="960" w:hanging="579"/>
        <w:spacing w:after="0" w:line="237" w:lineRule="auto"/>
        <w:tabs>
          <w:tab w:leader="none" w:pos="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the Corporation’s rights with respect to, or modify, discontinue, suspend, or terminate any or all outstanding awards, subject to any required consent under Section 8.6.5;</w:t>
      </w:r>
    </w:p>
    <w:p>
      <w:pPr>
        <w:spacing w:after="0" w:line="185" w:lineRule="exact"/>
        <w:rPr>
          <w:rFonts w:ascii="Times New Roman" w:cs="Times New Roman" w:eastAsia="Times New Roman" w:hAnsi="Times New Roman"/>
          <w:sz w:val="18"/>
          <w:szCs w:val="18"/>
          <w:color w:val="auto"/>
        </w:rPr>
      </w:pPr>
    </w:p>
    <w:p>
      <w:pPr>
        <w:jc w:val="both"/>
        <w:ind w:left="960" w:hanging="579"/>
        <w:spacing w:after="0" w:line="224" w:lineRule="auto"/>
        <w:tabs>
          <w:tab w:leader="none" w:pos="9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99" w:lineRule="exact"/>
        <w:rPr>
          <w:rFonts w:ascii="Times New Roman" w:cs="Times New Roman" w:eastAsia="Times New Roman" w:hAnsi="Times New Roman"/>
          <w:sz w:val="18"/>
          <w:szCs w:val="18"/>
          <w:color w:val="auto"/>
        </w:rPr>
      </w:pPr>
    </w:p>
    <w:p>
      <w:pPr>
        <w:jc w:val="both"/>
        <w:ind w:left="960" w:hanging="579"/>
        <w:spacing w:after="0" w:line="226"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number of shares of Common Stock subject to any award, adjust the price of any or all outstanding awards or otherwise change previously imposed terms and conditions, in such circumstances as the Administrator may deem appropriate, in each case subject to Sections 4 and 8.6 (and subject to the no repricing provision below);</w:t>
      </w:r>
    </w:p>
    <w:p>
      <w:pPr>
        <w:spacing w:after="0" w:line="198" w:lineRule="exact"/>
        <w:rPr>
          <w:rFonts w:ascii="Times New Roman" w:cs="Times New Roman" w:eastAsia="Times New Roman" w:hAnsi="Times New Roman"/>
          <w:sz w:val="18"/>
          <w:szCs w:val="18"/>
          <w:color w:val="auto"/>
        </w:rPr>
      </w:pPr>
    </w:p>
    <w:p>
      <w:pPr>
        <w:jc w:val="both"/>
        <w:ind w:left="960" w:hanging="579"/>
        <w:spacing w:after="0" w:line="226"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w:t>
      </w:r>
    </w:p>
    <w:p>
      <w:pPr>
        <w:spacing w:after="0" w:line="198" w:lineRule="exact"/>
        <w:rPr>
          <w:rFonts w:ascii="Times New Roman" w:cs="Times New Roman" w:eastAsia="Times New Roman" w:hAnsi="Times New Roman"/>
          <w:sz w:val="18"/>
          <w:szCs w:val="18"/>
          <w:color w:val="auto"/>
        </w:rPr>
      </w:pPr>
    </w:p>
    <w:p>
      <w:pPr>
        <w:ind w:left="960" w:hanging="579"/>
        <w:spacing w:after="0" w:line="237" w:lineRule="auto"/>
        <w:tabs>
          <w:tab w:leader="none" w:pos="9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the extent to which, adjustments are required pursuant to Section 7 hereof and authorize the termination, conversion, substitution or succession of awards upon the occurrence of an event of the type described in Section 7;</w:t>
      </w:r>
    </w:p>
    <w:p>
      <w:pPr>
        <w:spacing w:after="0" w:line="185" w:lineRule="exact"/>
        <w:rPr>
          <w:rFonts w:ascii="Times New Roman" w:cs="Times New Roman" w:eastAsia="Times New Roman" w:hAnsi="Times New Roman"/>
          <w:sz w:val="18"/>
          <w:szCs w:val="18"/>
          <w:color w:val="auto"/>
        </w:rPr>
      </w:pPr>
    </w:p>
    <w:p>
      <w:pPr>
        <w:ind w:left="960" w:hanging="579"/>
        <w:spacing w:after="0" w:line="250" w:lineRule="auto"/>
        <w:tabs>
          <w:tab w:leader="none" w:pos="9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settle (subject to Sections 7 and 8.6) rights under awards in cash, stock of equivalent value, or other consideration (subject to the no repricing provision below); and</w:t>
      </w:r>
    </w:p>
    <w:p>
      <w:pPr>
        <w:spacing w:after="0" w:line="176" w:lineRule="exact"/>
        <w:rPr>
          <w:rFonts w:ascii="Times New Roman" w:cs="Times New Roman" w:eastAsia="Times New Roman" w:hAnsi="Times New Roman"/>
          <w:sz w:val="18"/>
          <w:szCs w:val="18"/>
          <w:color w:val="auto"/>
        </w:rPr>
      </w:pPr>
    </w:p>
    <w:p>
      <w:pPr>
        <w:ind w:left="960" w:hanging="579"/>
        <w:spacing w:after="0" w:line="237" w:lineRule="auto"/>
        <w:tabs>
          <w:tab w:leader="none" w:pos="9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the Common Stock or awards under this Plan from time to time and/or the manner in which such value will be determined.</w:t>
      </w:r>
    </w:p>
    <w:p>
      <w:pPr>
        <w:spacing w:after="0" w:line="199" w:lineRule="exact"/>
        <w:rPr>
          <w:sz w:val="20"/>
          <w:szCs w:val="20"/>
          <w:color w:val="auto"/>
        </w:rPr>
      </w:pPr>
    </w:p>
    <w:p>
      <w:pPr>
        <w:jc w:val="both"/>
        <w:ind w:left="380"/>
        <w:spacing w:after="0" w:line="215" w:lineRule="auto"/>
        <w:rPr>
          <w:sz w:val="20"/>
          <w:szCs w:val="20"/>
          <w:color w:val="auto"/>
        </w:rPr>
      </w:pPr>
      <w:r>
        <w:rPr>
          <w:rFonts w:ascii="Times New Roman" w:cs="Times New Roman" w:eastAsia="Times New Roman" w:hAnsi="Times New Roman"/>
          <w:sz w:val="18"/>
          <w:szCs w:val="18"/>
          <w:color w:val="auto"/>
        </w:rPr>
        <w:t>Notwithstanding the foregoing and except for an adjustment pursuant to Section 7.1 or a repricing approved by stockholders, in no case may the Administrator (1) amend an outstanding stock option or stock appreciation right to reduce the exercise price or base price of the award,</w:t>
      </w:r>
    </w:p>
    <w:p>
      <w:pPr>
        <w:jc w:val="both"/>
        <w:ind w:left="380" w:firstLine="1"/>
        <w:spacing w:after="0" w:line="223"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82" w:lineRule="exact"/>
        <w:rPr>
          <w:sz w:val="20"/>
          <w:szCs w:val="20"/>
          <w:color w:val="auto"/>
        </w:rPr>
      </w:pPr>
    </w:p>
    <w:p>
      <w:pPr>
        <w:ind w:left="380" w:hanging="38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i w:val="1"/>
          <w:iCs w:val="1"/>
          <w:color w:val="auto"/>
        </w:rPr>
        <w:t>Binding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taken by, or inaction of, the Corporation, any Subsidiary, or the Administrator relating or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within its authority hereunder or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00"/>
          </w:cols>
          <w:pgMar w:left="660" w:top="1400" w:right="339" w:bottom="1440" w:gutter="0" w:footer="0" w:header="0"/>
        </w:sectPr>
      </w:pPr>
    </w:p>
    <w:bookmarkStart w:id="59" w:name="page60"/>
    <w:bookmarkEnd w:id="59"/>
    <w:p>
      <w:pPr>
        <w:jc w:val="both"/>
        <w:ind w:left="720"/>
        <w:spacing w:after="0" w:line="222" w:lineRule="auto"/>
        <w:rPr>
          <w:sz w:val="20"/>
          <w:szCs w:val="20"/>
          <w:color w:val="auto"/>
        </w:rPr>
      </w:pPr>
      <w:r>
        <w:rPr>
          <w:rFonts w:ascii="Times New Roman" w:cs="Times New Roman" w:eastAsia="Times New Roman" w:hAnsi="Times New Roman"/>
          <w:sz w:val="18"/>
          <w:szCs w:val="18"/>
          <w:color w:val="auto"/>
        </w:rPr>
        <w:t>shall be within the absolute discretion of that entity or body and shall be conclusive and binding upon all persons. Neither the Board nor any Board committee, nor any member thereof or person acting at the direction thereof, shall be liable for any act, omission, interpretation,</w:t>
      </w:r>
    </w:p>
    <w:p>
      <w:pPr>
        <w:spacing w:after="0" w:line="2"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coverage that may be in effect from time to time.</w:t>
      </w:r>
    </w:p>
    <w:p>
      <w:pPr>
        <w:spacing w:after="0" w:line="188" w:lineRule="exact"/>
        <w:rPr>
          <w:sz w:val="20"/>
          <w:szCs w:val="20"/>
          <w:color w:val="auto"/>
        </w:rPr>
      </w:pPr>
    </w:p>
    <w:p>
      <w:pPr>
        <w:jc w:val="right"/>
        <w:ind w:left="34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i w:val="1"/>
          <w:iCs w:val="1"/>
          <w:color w:val="auto"/>
        </w:rPr>
        <w:t>Reliance on Experts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making any determination or in taking or not taking any action under this Plan, the Administrator may obtain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 upon the advice of experts, including employees and professional advisors to the Corporation. No director, officer or agent of the</w:t>
      </w:r>
    </w:p>
    <w:p>
      <w:pPr>
        <w:ind w:left="720"/>
        <w:spacing w:after="0"/>
        <w:rPr>
          <w:sz w:val="20"/>
          <w:szCs w:val="20"/>
          <w:color w:val="auto"/>
        </w:rPr>
      </w:pPr>
      <w:r>
        <w:rPr>
          <w:rFonts w:ascii="Times New Roman" w:cs="Times New Roman" w:eastAsia="Times New Roman" w:hAnsi="Times New Roman"/>
          <w:sz w:val="18"/>
          <w:szCs w:val="18"/>
          <w:color w:val="auto"/>
        </w:rPr>
        <w:t>Corporation or any of its Subsidiaries shall be liable for any such action or determination taken or made or omitted in good faith.</w:t>
      </w:r>
    </w:p>
    <w:p>
      <w:pPr>
        <w:spacing w:after="0" w:line="188" w:lineRule="exact"/>
        <w:rPr>
          <w:sz w:val="20"/>
          <w:szCs w:val="20"/>
          <w:color w:val="auto"/>
        </w:rPr>
      </w:pPr>
    </w:p>
    <w:p>
      <w:pPr>
        <w:ind w:left="720" w:right="20" w:hanging="38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i w:val="1"/>
          <w:iCs w:val="1"/>
          <w:color w:val="auto"/>
        </w:rPr>
        <w:t>Delegation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delegate ministerial, non-discretionary functions to individuals who are officers or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any of its Subsidiaries or to third parties.</w:t>
      </w:r>
    </w:p>
    <w:p>
      <w:pPr>
        <w:spacing w:after="0" w:line="19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 SHARE LIMITS</w:t>
      </w:r>
    </w:p>
    <w:p>
      <w:pPr>
        <w:spacing w:after="0" w:line="211" w:lineRule="exact"/>
        <w:rPr>
          <w:rFonts w:ascii="Times New Roman" w:cs="Times New Roman" w:eastAsia="Times New Roman" w:hAnsi="Times New Roman"/>
          <w:sz w:val="18"/>
          <w:szCs w:val="18"/>
          <w:b w:val="1"/>
          <w:bCs w:val="1"/>
          <w:color w:val="auto"/>
        </w:rPr>
      </w:pPr>
    </w:p>
    <w:p>
      <w:pPr>
        <w:ind w:left="720" w:hanging="389"/>
        <w:spacing w:after="0" w:line="22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Shares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7.1, the capital stock that may be delivered under this Plan shall be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authorized but unissued Common Stock and any shares of its Common Stock held as treasury shares. For purposes of this Plan,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182" w:lineRule="exact"/>
        <w:rPr>
          <w:rFonts w:ascii="Times New Roman" w:cs="Times New Roman" w:eastAsia="Times New Roman" w:hAnsi="Times New Roman"/>
          <w:sz w:val="18"/>
          <w:szCs w:val="18"/>
          <w:b w:val="1"/>
          <w:bCs w:val="1"/>
          <w:color w:val="auto"/>
        </w:rPr>
      </w:pPr>
    </w:p>
    <w:p>
      <w:pPr>
        <w:ind w:left="720" w:hanging="38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Share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7.1, the maximum number of shares of Common Stock that may be delivered pursuant to awards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Persons under this Plan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is equal to:</w:t>
      </w:r>
    </w:p>
    <w:p>
      <w:pPr>
        <w:spacing w:after="0" w:line="171" w:lineRule="exact"/>
        <w:rPr>
          <w:rFonts w:ascii="Times New Roman" w:cs="Times New Roman" w:eastAsia="Times New Roman" w:hAnsi="Times New Roman"/>
          <w:sz w:val="18"/>
          <w:szCs w:val="18"/>
          <w:b w:val="1"/>
          <w:bCs w:val="1"/>
          <w:color w:val="auto"/>
        </w:rPr>
      </w:pPr>
    </w:p>
    <w:p>
      <w:pPr>
        <w:ind w:left="1040" w:hanging="319"/>
        <w:spacing w:after="0"/>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39,200,000 shares of Common Stock, less</w:t>
      </w:r>
    </w:p>
    <w:p>
      <w:pPr>
        <w:spacing w:after="0" w:line="207" w:lineRule="exact"/>
        <w:rPr>
          <w:rFonts w:ascii="Times New Roman" w:cs="Times New Roman" w:eastAsia="Times New Roman" w:hAnsi="Times New Roman"/>
          <w:sz w:val="18"/>
          <w:szCs w:val="18"/>
          <w:color w:val="auto"/>
        </w:rPr>
      </w:pPr>
    </w:p>
    <w:p>
      <w:pPr>
        <w:ind w:left="1040" w:hanging="319"/>
        <w:spacing w:after="0" w:line="255" w:lineRule="auto"/>
        <w:tabs>
          <w:tab w:leader="none" w:pos="103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awards granted under the Corporation’s 2012 Performance Incentive Plan (the “</w:t>
      </w:r>
      <w:r>
        <w:rPr>
          <w:rFonts w:ascii="Times New Roman" w:cs="Times New Roman" w:eastAsia="Times New Roman" w:hAnsi="Times New Roman"/>
          <w:sz w:val="18"/>
          <w:szCs w:val="18"/>
          <w:b w:val="1"/>
          <w:bCs w:val="1"/>
          <w:color w:val="auto"/>
        </w:rPr>
        <w:t>2012 Plan</w:t>
      </w:r>
      <w:r>
        <w:rPr>
          <w:rFonts w:ascii="Times New Roman" w:cs="Times New Roman" w:eastAsia="Times New Roman" w:hAnsi="Times New Roman"/>
          <w:sz w:val="18"/>
          <w:szCs w:val="18"/>
          <w:color w:val="auto"/>
        </w:rPr>
        <w:t>”) on or after March 31, 2017.</w:t>
      </w:r>
    </w:p>
    <w:p>
      <w:pPr>
        <w:spacing w:after="0" w:line="172" w:lineRule="exact"/>
        <w:rPr>
          <w:sz w:val="20"/>
          <w:szCs w:val="20"/>
          <w:color w:val="auto"/>
        </w:rPr>
      </w:pPr>
    </w:p>
    <w:p>
      <w:pPr>
        <w:ind w:left="560"/>
        <w:spacing w:after="0" w:line="222"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this Plan shall be counted against the foregoing Share Limit as 1.5 shares for every one share issued in connection with such award (the “</w:t>
      </w:r>
      <w:r>
        <w:rPr>
          <w:rFonts w:ascii="Times New Roman" w:cs="Times New Roman" w:eastAsia="Times New Roman" w:hAnsi="Times New Roman"/>
          <w:sz w:val="18"/>
          <w:szCs w:val="18"/>
          <w:b w:val="1"/>
          <w:bCs w:val="1"/>
          <w:color w:val="auto"/>
        </w:rPr>
        <w:t>Full-Value Award Ratio</w:t>
      </w:r>
      <w:r>
        <w:rPr>
          <w:rFonts w:ascii="Times New Roman" w:cs="Times New Roman" w:eastAsia="Times New Roman" w:hAnsi="Times New Roman"/>
          <w:sz w:val="18"/>
          <w:szCs w:val="18"/>
          <w:color w:val="auto"/>
        </w:rPr>
        <w:t>”). (For example, if a stock bonus of 100 shares of Common</w:t>
      </w:r>
    </w:p>
    <w:p>
      <w:pPr>
        <w:spacing w:after="0" w:line="2" w:lineRule="exact"/>
        <w:rPr>
          <w:sz w:val="20"/>
          <w:szCs w:val="20"/>
          <w:color w:val="auto"/>
        </w:rPr>
      </w:pPr>
    </w:p>
    <w:p>
      <w:pPr>
        <w:ind w:left="560"/>
        <w:spacing w:after="0" w:line="226" w:lineRule="auto"/>
        <w:rPr>
          <w:sz w:val="20"/>
          <w:szCs w:val="20"/>
          <w:color w:val="auto"/>
        </w:rPr>
      </w:pPr>
      <w:r>
        <w:rPr>
          <w:rFonts w:ascii="Times New Roman" w:cs="Times New Roman" w:eastAsia="Times New Roman" w:hAnsi="Times New Roman"/>
          <w:sz w:val="18"/>
          <w:szCs w:val="18"/>
          <w:color w:val="auto"/>
        </w:rPr>
        <w:t>Stock is granted under this Plan, 150 shares shall be charged against the Share Limit in connection with that award.) For this purpose, a “Full-Value Award” means any award under this Plan that is not a stock option grant or a stock appreciation right grant.</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limits also apply with respect to awards granted under this Plan:</w:t>
      </w:r>
    </w:p>
    <w:p>
      <w:pPr>
        <w:spacing w:after="0" w:line="225" w:lineRule="exact"/>
        <w:rPr>
          <w:sz w:val="20"/>
          <w:szCs w:val="20"/>
          <w:color w:val="auto"/>
        </w:rPr>
      </w:pPr>
    </w:p>
    <w:p>
      <w:pPr>
        <w:ind w:left="1300" w:hanging="579"/>
        <w:spacing w:after="0" w:line="237" w:lineRule="auto"/>
        <w:tabs>
          <w:tab w:leader="none" w:pos="13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that may be delivered pursuant to options qualified as incentive stock options granted under this Plan is 39,200,000 shares.</w:t>
      </w:r>
    </w:p>
    <w:p>
      <w:pPr>
        <w:spacing w:after="0" w:line="185" w:lineRule="exact"/>
        <w:rPr>
          <w:rFonts w:ascii="Times New Roman" w:cs="Times New Roman" w:eastAsia="Times New Roman" w:hAnsi="Times New Roman"/>
          <w:sz w:val="18"/>
          <w:szCs w:val="18"/>
          <w:color w:val="auto"/>
        </w:rPr>
      </w:pPr>
    </w:p>
    <w:p>
      <w:pPr>
        <w:ind w:left="1300" w:hanging="579"/>
        <w:spacing w:after="0" w:line="250" w:lineRule="auto"/>
        <w:tabs>
          <w:tab w:leader="none" w:pos="12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subject to options and stock appreciation rights that are granted during any calendar year to any individual under this Plan is 3,000,000 shares.</w:t>
      </w:r>
    </w:p>
    <w:p>
      <w:pPr>
        <w:spacing w:after="0" w:line="176" w:lineRule="exact"/>
        <w:rPr>
          <w:rFonts w:ascii="Times New Roman" w:cs="Times New Roman" w:eastAsia="Times New Roman" w:hAnsi="Times New Roman"/>
          <w:sz w:val="18"/>
          <w:szCs w:val="18"/>
          <w:color w:val="auto"/>
        </w:rPr>
      </w:pPr>
    </w:p>
    <w:p>
      <w:pPr>
        <w:ind w:left="1300" w:hanging="579"/>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limits with respect to performance-based awards are set forth in Section 5.2.2.</w:t>
      </w:r>
    </w:p>
    <w:p>
      <w:pPr>
        <w:spacing w:after="0" w:line="211" w:lineRule="exact"/>
        <w:rPr>
          <w:rFonts w:ascii="Times New Roman" w:cs="Times New Roman" w:eastAsia="Times New Roman" w:hAnsi="Times New Roman"/>
          <w:sz w:val="18"/>
          <w:szCs w:val="18"/>
          <w:color w:val="auto"/>
        </w:rPr>
      </w:pPr>
    </w:p>
    <w:p>
      <w:pPr>
        <w:jc w:val="both"/>
        <w:ind w:left="1300" w:hanging="579"/>
        <w:spacing w:after="0" w:line="231" w:lineRule="auto"/>
        <w:tabs>
          <w:tab w:leader="none" w:pos="12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cash compensation and the grant date fair value (computed in accordance with generally accepted accounting principles) of shares of Common Stock that may be paid or granted during any calendar year to any non-employee director shall not exceed $1,200,000 for existing non-employee directors and $2,200,000 for new non-employee directors.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foregoing numerical limits is subject to adjustment as contemplated by Section 4.3, Section 7.1, and Section 8.10.</w:t>
      </w:r>
    </w:p>
    <w:p>
      <w:pPr>
        <w:spacing w:after="0" w:line="383" w:lineRule="exact"/>
        <w:rPr>
          <w:sz w:val="20"/>
          <w:szCs w:val="20"/>
          <w:color w:val="auto"/>
        </w:rPr>
      </w:pPr>
    </w:p>
    <w:p>
      <w:pPr>
        <w:jc w:val="both"/>
        <w:ind w:left="720" w:hanging="38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Awards Settled in Cash, Reissue of Awards and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 the next sentence, shares that are subject to or underlie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this Plan or the 2012 Plan, the Corporation’s 2008 Equity Incentive Plan, the Corporation’s 2000 Non-Officer Equity Incentive Plan, or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04" w:right="339" w:bottom="1440" w:gutter="0" w:footer="0" w:header="0"/>
        </w:sectPr>
      </w:pPr>
    </w:p>
    <w:bookmarkStart w:id="60" w:name="page61"/>
    <w:bookmarkEnd w:id="60"/>
    <w:p>
      <w:pPr>
        <w:jc w:val="both"/>
        <w:ind w:left="720"/>
        <w:spacing w:after="0" w:line="238" w:lineRule="auto"/>
        <w:rPr>
          <w:sz w:val="20"/>
          <w:szCs w:val="20"/>
          <w:color w:val="auto"/>
        </w:rPr>
      </w:pPr>
      <w:r>
        <w:rPr>
          <w:rFonts w:ascii="Times New Roman" w:cs="Times New Roman" w:eastAsia="Times New Roman" w:hAnsi="Times New Roman"/>
          <w:sz w:val="17"/>
          <w:szCs w:val="17"/>
          <w:color w:val="auto"/>
        </w:rPr>
        <w:t xml:space="preserve">2000 Equity Incentive Plan (collectively, the </w:t>
      </w:r>
      <w:r>
        <w:rPr>
          <w:rFonts w:ascii="Times New Roman" w:cs="Times New Roman" w:eastAsia="Times New Roman" w:hAnsi="Times New Roman"/>
          <w:sz w:val="17"/>
          <w:szCs w:val="17"/>
          <w:b w:val="1"/>
          <w:bCs w:val="1"/>
          <w:color w:val="auto"/>
        </w:rPr>
        <w:t>“Prior Plans</w:t>
      </w:r>
      <w:r>
        <w:rPr>
          <w:rFonts w:ascii="Times New Roman" w:cs="Times New Roman" w:eastAsia="Times New Roman" w:hAnsi="Times New Roman"/>
          <w:sz w:val="17"/>
          <w:szCs w:val="17"/>
          <w:color w:val="auto"/>
        </w:rPr>
        <w:t>”), which expire or for any reason are cancelled or terminated, are forfeited, fail to vest, or for any other reason are not paid or delivered under this Plan or a Prior Plan shall again be available for subsequent awards under this Plan</w:t>
      </w:r>
    </w:p>
    <w:p>
      <w:pPr>
        <w:spacing w:after="0" w:line="1"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(with any such shares increasing the Share Limit based on the Full-Value Award Ratio specified in Section 4.2 or, with respect to awards granted under a Prior Plan, the Full-Value Award Ratio as specified in such Prior Plan). Shares that are exchanged by a participant or withheld by the Corporation as full or partial payment in connection with any award under this Plan, as well as any shares exchanged by a participant or withheld</w:t>
      </w:r>
    </w:p>
    <w:p>
      <w:pPr>
        <w:spacing w:after="0" w:line="2"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by the Corporation or one of its Subsidiaries to satisfy the tax withholding obligations related to any award, shall not be available for subsequent awards under this Plan. To the extent that an award granted under this Plan or a Prior Plan is settled in cash or a form other than shares of Common Stock, the shares that would have been delivered had there been no such cash or other settlement shall again be available for subsequent</w:t>
      </w:r>
    </w:p>
    <w:p>
      <w:pPr>
        <w:spacing w:after="0" w:line="2"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awards under this Plan (with any such shares increasing the Share Limit based on the Full-Value Award Ratio specified in Section 4.2 or, with respect to awards granted under a Prior Plan, the Full-Value Award Ratio as specified in such Prior Plan). In the event that shares of Common Stock are delivered in respect of a dividend equivalent right granted under this Plan, the number of shares delivered with respect to the award</w:t>
      </w:r>
    </w:p>
    <w:p>
      <w:pPr>
        <w:spacing w:after="0" w:line="2"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shall be counted against the share limits of this Plan (including, for purposes of clarity, the limits of Section 4.2 of this Plan). (For purposes of clarity, if 1,000 dividend equivalent rights are granted and outstanding when the Corporation pays a dividend, and 50 shares are delivered in payment of those rights with respect to that dividend, 75 shares (after giving effect to the Full-Value Award premium counting rules) shall be</w:t>
      </w:r>
    </w:p>
    <w:p>
      <w:pPr>
        <w:spacing w:after="0" w:line="2"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counted against the share limits of this Plan). To the extent that shares of Common Stock are delivered pursuant to the exercise of a stock appreciation right or stock option granted under this Plan, the number of underlying shares as to which the exercise related shall be counted against the applicable share limits under Section 4.2, as opposed to only counting the shares issued. (For purposes of clarity, if a stock</w:t>
      </w:r>
    </w:p>
    <w:p>
      <w:pPr>
        <w:spacing w:after="0" w:line="2" w:lineRule="exact"/>
        <w:rPr>
          <w:sz w:val="20"/>
          <w:szCs w:val="20"/>
          <w:color w:val="auto"/>
        </w:rPr>
      </w:pPr>
    </w:p>
    <w:p>
      <w:pPr>
        <w:jc w:val="both"/>
        <w:ind w:left="720"/>
        <w:spacing w:after="0" w:line="218" w:lineRule="auto"/>
        <w:rPr>
          <w:sz w:val="20"/>
          <w:szCs w:val="20"/>
          <w:color w:val="auto"/>
        </w:rPr>
      </w:pPr>
      <w:r>
        <w:rPr>
          <w:rFonts w:ascii="Times New Roman" w:cs="Times New Roman" w:eastAsia="Times New Roman" w:hAnsi="Times New Roman"/>
          <w:sz w:val="18"/>
          <w:szCs w:val="18"/>
          <w:color w:val="auto"/>
        </w:rPr>
        <w:t>appreciation right relates to 100,000 shares and is exercised at a time when the payment due to the participant is 15,000 shares, 100,000 shares shall be charged against the applicable share limits under Section 4.2 with respect to such exercise.) Refer to Section 8.10 for application of the foregoing share limits with respect to assumed awards.</w:t>
      </w:r>
    </w:p>
    <w:p>
      <w:pPr>
        <w:spacing w:after="0" w:line="195" w:lineRule="exact"/>
        <w:rPr>
          <w:sz w:val="20"/>
          <w:szCs w:val="20"/>
          <w:color w:val="auto"/>
        </w:rPr>
      </w:pPr>
    </w:p>
    <w:p>
      <w:pPr>
        <w:jc w:val="both"/>
        <w:ind w:left="720" w:hanging="38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Reservation of Shares; No Fractional Shares; Minimum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at all times reserve a number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to cover the Corporation’s obligations and contingent obligations to deliver shares with respect to awards then outstanding under this Plan (exclusive of any dividend equivalent obligations to the extent the Corporation has the right to settle such rights in cash). No fractional</w:t>
      </w:r>
    </w:p>
    <w:p>
      <w:pPr>
        <w:spacing w:after="0" w:line="3" w:lineRule="exact"/>
        <w:rPr>
          <w:sz w:val="20"/>
          <w:szCs w:val="20"/>
          <w:color w:val="auto"/>
        </w:rPr>
      </w:pPr>
    </w:p>
    <w:p>
      <w:pPr>
        <w:jc w:val="both"/>
        <w:ind w:left="720"/>
        <w:spacing w:after="0" w:line="208" w:lineRule="auto"/>
        <w:rPr>
          <w:sz w:val="20"/>
          <w:szCs w:val="20"/>
          <w:color w:val="auto"/>
        </w:rPr>
      </w:pPr>
      <w:r>
        <w:rPr>
          <w:rFonts w:ascii="Times New Roman" w:cs="Times New Roman" w:eastAsia="Times New Roman" w:hAnsi="Times New Roman"/>
          <w:sz w:val="18"/>
          <w:szCs w:val="18"/>
          <w:color w:val="auto"/>
        </w:rPr>
        <w:t>shares shall be delivered 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granted under this Plan unless (as to any particular award) the total number purchased or exercised is the</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number at the time available for purchase or exercise under the award.</w:t>
      </w:r>
    </w:p>
    <w:p>
      <w:pPr>
        <w:spacing w:after="0" w:line="18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p>
    <w:p>
      <w:pPr>
        <w:spacing w:after="0" w:line="211" w:lineRule="exact"/>
        <w:rPr>
          <w:rFonts w:ascii="Times New Roman" w:cs="Times New Roman" w:eastAsia="Times New Roman" w:hAnsi="Times New Roman"/>
          <w:sz w:val="18"/>
          <w:szCs w:val="18"/>
          <w:b w:val="1"/>
          <w:bCs w:val="1"/>
          <w:color w:val="auto"/>
        </w:rPr>
      </w:pPr>
    </w:p>
    <w:p>
      <w:pPr>
        <w:ind w:left="720" w:hanging="389"/>
        <w:spacing w:after="0" w:line="22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i w:val="1"/>
          <w:iCs w:val="1"/>
          <w:color w:val="auto"/>
        </w:rPr>
        <w:t>Type and Form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shall determine the type or types of award(s) to be made to each selected Eligible Person.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 (subject, in each case, to the no repricing provisions of Section 3.2):</w:t>
      </w:r>
    </w:p>
    <w:p>
      <w:pPr>
        <w:spacing w:after="0" w:line="196" w:lineRule="exact"/>
        <w:rPr>
          <w:sz w:val="20"/>
          <w:szCs w:val="20"/>
          <w:color w:val="auto"/>
        </w:rPr>
      </w:pPr>
    </w:p>
    <w:p>
      <w:pPr>
        <w:jc w:val="both"/>
        <w:ind w:left="1100" w:hanging="453"/>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stock option is the grant of a right to purchase a specified number of shares of Common Stock during a specified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Administrator. An option may be intended as an incentive stock option within the meaning of Section 422 of the Code (an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or a nonqualified stock option (an option not intended to be an ISO). The award agreement for an option will indicate if the option is</w:t>
      </w:r>
    </w:p>
    <w:p>
      <w:pPr>
        <w:spacing w:after="0" w:line="3" w:lineRule="exact"/>
        <w:rPr>
          <w:sz w:val="20"/>
          <w:szCs w:val="20"/>
          <w:color w:val="auto"/>
        </w:rPr>
      </w:pPr>
    </w:p>
    <w:p>
      <w:pPr>
        <w:jc w:val="both"/>
        <w:ind w:left="1100"/>
        <w:spacing w:after="0" w:line="208" w:lineRule="auto"/>
        <w:rPr>
          <w:sz w:val="20"/>
          <w:szCs w:val="20"/>
          <w:color w:val="auto"/>
        </w:rPr>
      </w:pPr>
      <w:r>
        <w:rPr>
          <w:rFonts w:ascii="Times New Roman" w:cs="Times New Roman" w:eastAsia="Times New Roman" w:hAnsi="Times New Roman"/>
          <w:sz w:val="18"/>
          <w:szCs w:val="18"/>
          <w:color w:val="auto"/>
        </w:rPr>
        <w:t>intended as an ISO. Each option, or portion thereof, that is not an ISO, shall be a nonqualified stock option. The maximum term of each option (ISO or nonqualified) shall be eight (8) years. The per share exercise price for each option shall be not less than 100% of the fair market value of a share of Common Stock on the date of grant of the option. When an option is exercised, the exercise price for the shares to</w:t>
      </w:r>
    </w:p>
    <w:p>
      <w:pPr>
        <w:spacing w:after="0" w:line="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be purchased shall be paid in full in cash or such other method permitted by the Administrator consistent with Section 5.5.</w:t>
      </w:r>
    </w:p>
    <w:p>
      <w:pPr>
        <w:spacing w:after="0" w:line="188" w:lineRule="exact"/>
        <w:rPr>
          <w:sz w:val="20"/>
          <w:szCs w:val="20"/>
          <w:color w:val="auto"/>
        </w:rPr>
      </w:pPr>
    </w:p>
    <w:p>
      <w:pPr>
        <w:jc w:val="right"/>
        <w:ind w:left="66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i w:val="1"/>
          <w:iCs w:val="1"/>
          <w:color w:val="auto"/>
        </w:rPr>
        <w:t>Additional Rules Applicable to ISOs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the aggregate fair market value (determined at the time of grant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of stock with respect to which ISOs first become exercisable by a participant in any calendar year exceeds $100,000, taking into</w:t>
      </w:r>
    </w:p>
    <w:p>
      <w:pPr>
        <w:jc w:val="both"/>
        <w:ind w:left="1100"/>
        <w:spacing w:after="0" w:line="218" w:lineRule="auto"/>
        <w:rPr>
          <w:sz w:val="20"/>
          <w:szCs w:val="20"/>
          <w:color w:val="auto"/>
        </w:rPr>
      </w:pPr>
      <w:r>
        <w:rPr>
          <w:rFonts w:ascii="Times New Roman" w:cs="Times New Roman" w:eastAsia="Times New Roman" w:hAnsi="Times New Roman"/>
          <w:sz w:val="18"/>
          <w:szCs w:val="18"/>
          <w:color w:val="auto"/>
        </w:rPr>
        <w:t>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00" w:right="339" w:bottom="1440" w:gutter="0" w:footer="0" w:header="0"/>
        </w:sectPr>
      </w:pPr>
    </w:p>
    <w:bookmarkStart w:id="61" w:name="page62"/>
    <w:bookmarkEnd w:id="61"/>
    <w:p>
      <w:pPr>
        <w:jc w:val="both"/>
        <w:ind w:left="760"/>
        <w:spacing w:after="0" w:line="222" w:lineRule="auto"/>
        <w:rPr>
          <w:sz w:val="20"/>
          <w:szCs w:val="20"/>
          <w:color w:val="auto"/>
        </w:rPr>
      </w:pPr>
      <w:r>
        <w:rPr>
          <w:rFonts w:ascii="Times New Roman" w:cs="Times New Roman" w:eastAsia="Times New Roman" w:hAnsi="Times New Roman"/>
          <w:sz w:val="18"/>
          <w:szCs w:val="18"/>
          <w:color w:val="auto"/>
        </w:rPr>
        <w:t>such options shall be treated as nonqualified stock options. In reducing the number of options treated as ISOs to meet the $100,000 limit, the most recently granted options shall be reduced first. To the extent a reduction of simultaneously granted options is necessary to meet the</w:t>
      </w:r>
    </w:p>
    <w:p>
      <w:pPr>
        <w:spacing w:after="0" w:line="2"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w:t>
      </w:r>
    </w:p>
    <w:p>
      <w:pPr>
        <w:spacing w:after="0" w:line="2"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chain of ownership of at least 50% of the total combined voting power of all classes of stock of each subsidiary in the chain beginning with the Corporation and ending with the subsidiary in question). There shall be imposed in any award agreement relating to ISOs such other terms and conditions as from time to time are required in order that the option be an “incentive stock option” as that term is defined in</w:t>
      </w:r>
    </w:p>
    <w:p>
      <w:pPr>
        <w:spacing w:after="0" w:line="2"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Section 422 of the Code.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option and such option by its terms is not exercisable after the expiration of five years from the date such option is granted.</w:t>
      </w:r>
    </w:p>
    <w:p>
      <w:pPr>
        <w:spacing w:after="0" w:line="188" w:lineRule="exact"/>
        <w:rPr>
          <w:sz w:val="20"/>
          <w:szCs w:val="20"/>
          <w:color w:val="auto"/>
        </w:rPr>
      </w:pPr>
    </w:p>
    <w:p>
      <w:pPr>
        <w:jc w:val="right"/>
        <w:ind w:left="3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stock appreciation right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is a right to receive a payment, in cash and/or Common Stock (as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applicable award agreement), equal to the excess of the fair market value of a specified number of shares of Common Stock on the</w:t>
      </w:r>
    </w:p>
    <w:p>
      <w:pPr>
        <w:jc w:val="both"/>
        <w:ind w:left="760"/>
        <w:spacing w:after="0" w:line="218" w:lineRule="auto"/>
        <w:rPr>
          <w:sz w:val="20"/>
          <w:szCs w:val="20"/>
          <w:color w:val="auto"/>
        </w:rPr>
      </w:pPr>
      <w:r>
        <w:rPr>
          <w:rFonts w:ascii="Times New Roman" w:cs="Times New Roman" w:eastAsia="Times New Roman" w:hAnsi="Times New Roman"/>
          <w:sz w:val="18"/>
          <w:szCs w:val="18"/>
          <w:color w:val="auto"/>
        </w:rPr>
        <w:t>date the SAR is exercised over the “</w:t>
      </w:r>
      <w:r>
        <w:rPr>
          <w:rFonts w:ascii="Times New Roman" w:cs="Times New Roman" w:eastAsia="Times New Roman" w:hAnsi="Times New Roman"/>
          <w:sz w:val="18"/>
          <w:szCs w:val="18"/>
          <w:b w:val="1"/>
          <w:bCs w:val="1"/>
          <w:color w:val="auto"/>
        </w:rPr>
        <w:t>base price</w:t>
      </w:r>
      <w:r>
        <w:rPr>
          <w:rFonts w:ascii="Times New Roman" w:cs="Times New Roman" w:eastAsia="Times New Roman" w:hAnsi="Times New Roman"/>
          <w:sz w:val="18"/>
          <w:szCs w:val="18"/>
          <w:color w:val="auto"/>
        </w:rPr>
        <w:t>” of the award, which base price shall be set forth in the applicable award agreement and shall be not less than 100% of the fair market value of a share of Common Stock on the date of grant of the SAR. The maximum term of a SAR shall be eight (8) years.</w:t>
      </w:r>
    </w:p>
    <w:p>
      <w:pPr>
        <w:spacing w:after="0" w:line="195" w:lineRule="exact"/>
        <w:rPr>
          <w:sz w:val="20"/>
          <w:szCs w:val="20"/>
          <w:color w:val="auto"/>
        </w:rPr>
      </w:pPr>
    </w:p>
    <w:p>
      <w:pPr>
        <w:jc w:val="both"/>
        <w:ind w:left="760" w:hanging="453"/>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i w:val="1"/>
          <w:iCs w:val="1"/>
          <w:color w:val="auto"/>
        </w:rPr>
        <w:t>Other Awards; Dividend Equivalent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types of awards that may be granted under this Plan include: (a) stock bonuses,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performance stock, stock units, phantom stock or similar rights to purchase or acquire shares, whether at a fixed or variable price or ratio related to the Common Stock, upon the passage of time, the occurrence of one or more events, or the satisfaction of</w:t>
      </w:r>
    </w:p>
    <w:p>
      <w:pPr>
        <w:spacing w:after="0" w:line="3"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performance criteria or other conditions, or any combination thereof; (b) any similar securities with a value derived from the value of or related to the Common Stock and/or returns thereon; or (c) cash awards. Dividend equivalent rights may be granted as a separate award or in connection with another award under this Plan; provided, however, that dividend equivalent rights may not be granted in connection with</w:t>
      </w:r>
    </w:p>
    <w:p>
      <w:pPr>
        <w:spacing w:after="0" w:line="2" w:lineRule="exact"/>
        <w:rPr>
          <w:sz w:val="20"/>
          <w:szCs w:val="20"/>
          <w:color w:val="auto"/>
        </w:rPr>
      </w:pPr>
    </w:p>
    <w:p>
      <w:pPr>
        <w:jc w:val="both"/>
        <w:ind w:left="760"/>
        <w:spacing w:after="0" w:line="218" w:lineRule="auto"/>
        <w:rPr>
          <w:sz w:val="20"/>
          <w:szCs w:val="20"/>
          <w:color w:val="auto"/>
        </w:rPr>
      </w:pPr>
      <w:r>
        <w:rPr>
          <w:rFonts w:ascii="Times New Roman" w:cs="Times New Roman" w:eastAsia="Times New Roman" w:hAnsi="Times New Roman"/>
          <w:sz w:val="18"/>
          <w:szCs w:val="18"/>
          <w:color w:val="auto"/>
        </w:rPr>
        <w:t>a stock option or SAR granted under this Plan. Notwithstanding anything in the Plan or an award agreement to the contrary, any dividends and/or dividend equivalents as to the unvested portion of an award (including, without limitation, a restricted stock award) will be subject to termination and forfeiture to the same extent as the corresponding portion of the award to which they relate.</w:t>
      </w:r>
    </w:p>
    <w:p>
      <w:pPr>
        <w:spacing w:after="0" w:line="195" w:lineRule="exact"/>
        <w:rPr>
          <w:sz w:val="20"/>
          <w:szCs w:val="20"/>
          <w:color w:val="auto"/>
        </w:rPr>
      </w:pPr>
    </w:p>
    <w:p>
      <w:pPr>
        <w:jc w:val="both"/>
        <w:ind w:left="380" w:hanging="38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i w:val="1"/>
          <w:iCs w:val="1"/>
          <w:color w:val="auto"/>
        </w:rPr>
        <w:t>Performance-Based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vesting, exercisability or payment of performance-based awards shall depend on the degree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one or more performance goals relative to a pre-established targeted level or levels using one or more of the Business Criteria set forth below (on an absolute or relative (including, without limitation, relative to the performance of other companies or upon comparisons of any</w:t>
      </w:r>
    </w:p>
    <w:p>
      <w:pPr>
        <w:spacing w:after="0" w:line="3" w:lineRule="exact"/>
        <w:rPr>
          <w:sz w:val="20"/>
          <w:szCs w:val="20"/>
          <w:color w:val="auto"/>
        </w:rPr>
      </w:pPr>
    </w:p>
    <w:p>
      <w:pPr>
        <w:ind w:left="380"/>
        <w:spacing w:after="0" w:line="226" w:lineRule="auto"/>
        <w:rPr>
          <w:sz w:val="20"/>
          <w:szCs w:val="20"/>
          <w:color w:val="auto"/>
        </w:rPr>
      </w:pPr>
      <w:r>
        <w:rPr>
          <w:rFonts w:ascii="Times New Roman" w:cs="Times New Roman" w:eastAsia="Times New Roman" w:hAnsi="Times New Roman"/>
          <w:sz w:val="18"/>
          <w:szCs w:val="18"/>
          <w:color w:val="auto"/>
        </w:rPr>
        <w:t>of the indicators of performance relative to other companies) basis) for the Corporation on a consolidated basis or for one or more of the Corporation’s subsidiaries, segments, divisions or business units, or any combination of the foregoing.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5.2.1.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specific performance goals for performance-based awards may be, on an absolute or relative basis, established</w:t>
      </w:r>
    </w:p>
    <w:p>
      <w:pPr>
        <w:spacing w:after="0" w:line="6"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based on one or more of the following business criteria (“</w:t>
      </w:r>
      <w:r>
        <w:rPr>
          <w:rFonts w:ascii="Times New Roman" w:cs="Times New Roman" w:eastAsia="Times New Roman" w:hAnsi="Times New Roman"/>
          <w:sz w:val="18"/>
          <w:szCs w:val="18"/>
          <w:b w:val="1"/>
          <w:bCs w:val="1"/>
          <w:color w:val="auto"/>
        </w:rPr>
        <w:t>Business Criteria</w:t>
      </w:r>
      <w:r>
        <w:rPr>
          <w:rFonts w:ascii="Times New Roman" w:cs="Times New Roman" w:eastAsia="Times New Roman" w:hAnsi="Times New Roman"/>
          <w:sz w:val="18"/>
          <w:szCs w:val="18"/>
          <w:color w:val="auto"/>
        </w:rPr>
        <w:t>”) as selected by the Administrator in its sole discretion: earnings per share; cash flow (which means cash and cash equivalents derived from either net cash flow from operations or net cash flow from operations, financing and investing activities); working capital; stock price; total stockholder return; revenue; gross profit; operating</w:t>
      </w:r>
    </w:p>
    <w:p>
      <w:pPr>
        <w:spacing w:after="0" w:line="2"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income; net earnings (before or after interest, taxes, depreciation and/or amortization); gross margin; operating margin; net margin; return on equity or on assets or on net investment; cost containment or reduction; regulatory submissions or approvals; manufacturing production; completion of strategic partnerships; research milestones; any other measure selected by the Administrator or any combination thereof. As</w:t>
      </w:r>
    </w:p>
    <w:p>
      <w:pPr>
        <w:spacing w:after="0" w:line="2"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applicable, these terms are used as applied under generally accepted accounting principles or in the financial reporting of the Corporation or of its Subsidiaries. The applicable performance goals may be applied on a pre- or post-tax basis and may be adjusted to include or exclude determinable components of any performance goal, including, without limitation, foreign exchange gains and losses, asset write-downs,</w:t>
      </w:r>
    </w:p>
    <w:p>
      <w:pPr>
        <w:spacing w:after="0" w:line="2" w:lineRule="exact"/>
        <w:rPr>
          <w:sz w:val="20"/>
          <w:szCs w:val="20"/>
          <w:color w:val="auto"/>
        </w:rPr>
      </w:pPr>
    </w:p>
    <w:p>
      <w:pPr>
        <w:jc w:val="both"/>
        <w:ind w:left="760"/>
        <w:spacing w:after="0" w:line="218" w:lineRule="auto"/>
        <w:rPr>
          <w:sz w:val="20"/>
          <w:szCs w:val="20"/>
          <w:color w:val="auto"/>
        </w:rPr>
      </w:pPr>
      <w:r>
        <w:rPr>
          <w:rFonts w:ascii="Times New Roman" w:cs="Times New Roman" w:eastAsia="Times New Roman" w:hAnsi="Times New Roman"/>
          <w:sz w:val="18"/>
          <w:szCs w:val="18"/>
          <w:color w:val="auto"/>
        </w:rPr>
        <w:t>acquisitions and divestitures, change in fiscal year, unbudgeted capital expenditures, special charges such as restructuring or impairment charges, debt refinancing costs, extraordinary or noncash items, unusual, infrequently occurring, nonrecurring or one-time events affecting the 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00"/>
          </w:cols>
          <w:pgMar w:left="660" w:top="1404" w:right="339" w:bottom="1440" w:gutter="0" w:footer="0" w:header="0"/>
        </w:sectPr>
      </w:pPr>
    </w:p>
    <w:bookmarkStart w:id="62" w:name="page63"/>
    <w:bookmarkEnd w:id="62"/>
    <w:p>
      <w:pPr>
        <w:ind w:left="760"/>
        <w:spacing w:after="0" w:line="238" w:lineRule="auto"/>
        <w:rPr>
          <w:sz w:val="20"/>
          <w:szCs w:val="20"/>
          <w:color w:val="auto"/>
        </w:rPr>
      </w:pPr>
      <w:r>
        <w:rPr>
          <w:rFonts w:ascii="Times New Roman" w:cs="Times New Roman" w:eastAsia="Times New Roman" w:hAnsi="Times New Roman"/>
          <w:sz w:val="18"/>
          <w:szCs w:val="18"/>
          <w:color w:val="auto"/>
        </w:rPr>
        <w:t>its financial statements or changes in law or accounting principles (</w:t>
      </w:r>
      <w:r>
        <w:rPr>
          <w:rFonts w:ascii="Times New Roman" w:cs="Times New Roman" w:eastAsia="Times New Roman" w:hAnsi="Times New Roman"/>
          <w:sz w:val="18"/>
          <w:szCs w:val="18"/>
          <w:i w:val="1"/>
          <w:iCs w:val="1"/>
          <w:color w:val="auto"/>
        </w:rPr>
        <w:t>“Adjustment Events”</w:t>
      </w:r>
      <w:r>
        <w:rPr>
          <w:rFonts w:ascii="Times New Roman" w:cs="Times New Roman" w:eastAsia="Times New Roman" w:hAnsi="Times New Roman"/>
          <w:sz w:val="18"/>
          <w:szCs w:val="18"/>
          <w:color w:val="auto"/>
        </w:rPr>
        <w:t>). The applicable performance measurement period may not be less than three months nor more than 10 years.</w:t>
      </w:r>
    </w:p>
    <w:p>
      <w:pPr>
        <w:spacing w:after="0" w:line="195" w:lineRule="exact"/>
        <w:rPr>
          <w:sz w:val="20"/>
          <w:szCs w:val="20"/>
          <w:color w:val="auto"/>
        </w:rPr>
      </w:pPr>
    </w:p>
    <w:p>
      <w:pPr>
        <w:jc w:val="both"/>
        <w:ind w:left="760" w:hanging="453"/>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5.2.2. </w:t>
      </w:r>
      <w:r>
        <w:rPr>
          <w:rFonts w:ascii="Times New Roman" w:cs="Times New Roman" w:eastAsia="Times New Roman" w:hAnsi="Times New Roman"/>
          <w:sz w:val="18"/>
          <w:szCs w:val="18"/>
          <w:b w:val="1"/>
          <w:bCs w:val="1"/>
          <w:i w:val="1"/>
          <w:iCs w:val="1"/>
          <w:color w:val="auto"/>
        </w:rPr>
        <w:t>Form of Payment; Maximum Performance-Based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or awards under this Section 5.2 may be paid in cash or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any combination thereof. The maximum number of shares of Common Stock which may be subject to performance-based awards (including performance-based awards payable in shares of Common Stock and performance-based awards payable in cash</w:t>
      </w:r>
    </w:p>
    <w:p>
      <w:pPr>
        <w:spacing w:after="0" w:line="3"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where the amount of cash payable upon or following vesting of the award is determined with reference to the fair market value of a share of Common Stock at such time) that are granted to any one participant in any one calendar year shall not exceed 3,000,000 shares, either individually or in the aggregate, subject to adjustment as provided in Section 7.1; provided that this limit shall not apply to Options and</w:t>
      </w:r>
    </w:p>
    <w:p>
      <w:pPr>
        <w:spacing w:after="0" w:line="2" w:lineRule="exact"/>
        <w:rPr>
          <w:sz w:val="20"/>
          <w:szCs w:val="20"/>
          <w:color w:val="auto"/>
        </w:rPr>
      </w:pP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SARs (which are covered by the limit of Section 4.2(b)). The aggregate amount of compensation to be paid to any one participant in respect of all performance-based awards payable only in cash (excluding cash awards covered by the preceding sentence where the cash payment is determined with reference to the fair market value of a share of Common Stock upon or following the vesting of the award) and granted to</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that participant in any one calendar year shall not exceed $5,000,000.</w:t>
      </w:r>
    </w:p>
    <w:p>
      <w:pPr>
        <w:spacing w:after="0" w:line="188" w:lineRule="exact"/>
        <w:rPr>
          <w:sz w:val="20"/>
          <w:szCs w:val="20"/>
          <w:color w:val="auto"/>
        </w:rPr>
      </w:pPr>
    </w:p>
    <w:p>
      <w:pPr>
        <w:jc w:val="both"/>
        <w:ind w:left="760" w:hanging="45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5.2.3. </w:t>
      </w:r>
      <w:r>
        <w:rPr>
          <w:rFonts w:ascii="Times New Roman" w:cs="Times New Roman" w:eastAsia="Times New Roman" w:hAnsi="Times New Roman"/>
          <w:sz w:val="18"/>
          <w:szCs w:val="18"/>
          <w:b w:val="1"/>
          <w:bCs w:val="1"/>
          <w:i w:val="1"/>
          <w:iCs w:val="1"/>
          <w:color w:val="auto"/>
        </w:rPr>
        <w:t>Certification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any performance-based award is paid under this Section 5.2, the Administrator must certify in writing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target(s) and any other material terms of the Performance-Based Award were in fact timely satisfied.</w:t>
      </w:r>
    </w:p>
    <w:p>
      <w:pPr>
        <w:spacing w:after="0" w:line="195" w:lineRule="exact"/>
        <w:rPr>
          <w:sz w:val="20"/>
          <w:szCs w:val="20"/>
          <w:color w:val="auto"/>
        </w:rPr>
      </w:pPr>
    </w:p>
    <w:p>
      <w:pPr>
        <w:jc w:val="both"/>
        <w:ind w:left="760" w:hanging="453"/>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5.2.4. </w:t>
      </w:r>
      <w:r>
        <w:rPr>
          <w:rFonts w:ascii="Times New Roman" w:cs="Times New Roman" w:eastAsia="Times New Roman" w:hAnsi="Times New Roman"/>
          <w:sz w:val="18"/>
          <w:szCs w:val="18"/>
          <w:b w:val="1"/>
          <w:bCs w:val="1"/>
          <w:i w:val="1"/>
          <w:iCs w:val="1"/>
          <w:color w:val="auto"/>
        </w:rPr>
        <w:t>Reservation of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will have the discretion to determine the restrictions or other limitations of the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this Section 5.2 including the authority to reduce awards, payouts or vesting or to pay no awards, in its sole discretion, if the Administrator preserves such authority at the time of grant by language to this effect in its authorizing resolutions or otherwise.</w:t>
      </w:r>
    </w:p>
    <w:p>
      <w:pPr>
        <w:spacing w:after="0" w:line="196" w:lineRule="exact"/>
        <w:rPr>
          <w:sz w:val="20"/>
          <w:szCs w:val="20"/>
          <w:color w:val="auto"/>
        </w:rPr>
      </w:pPr>
    </w:p>
    <w:p>
      <w:pPr>
        <w:jc w:val="both"/>
        <w:ind w:left="380" w:hanging="38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award shall be evidenced by either (1) a written award agreement in a form approved by the Administrator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the Corporation by an officer duly authorized to act on its behalf, or (2) an electronic notice of award grant in a form approved by the Administrator and recorded by the Corporation (or its designee) in an electronic recordkeeping system used for the purpose of tracking award</w:t>
      </w:r>
    </w:p>
    <w:p>
      <w:pPr>
        <w:spacing w:after="0" w:line="3"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grants under this Plan generally (in each case, an “award agreement”), as the Administrator may provide and, in each case and if required by the Administrator, executed or otherwise electronically accepted by the recipient of the award in such form and manner as the Administrator may require. The Administrator may authorize any officer of the Corporation (other than the particular award recipient) to execute any or all award</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agreements on behalf of the Corporation. The award agreement shall set forth the material terms and conditions of the award as established by the Administrator consistent with the express limitations of this Plan. Notwithstanding anything contained herein to the contrary, the Administrator may approve an award agreement that, upon the termination of a participant’s employment or service, provides that, or may, in its sole discretion</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based on a review of all relevant facts and circumstances, otherwise take action regarding an award agreement such that (i) any or all outstanding stock options and SARs shall become exercisable in part or in full, (ii) all or a portion of the restriction or vesting period applicable to any outstanding award shall lapse, (iii) all or a portion of the performance measurement period applicable to any outstanding award shall lapse and</w:t>
      </w:r>
    </w:p>
    <w:p>
      <w:pPr>
        <w:spacing w:after="0" w:line="2" w:lineRule="exact"/>
        <w:rPr>
          <w:sz w:val="20"/>
          <w:szCs w:val="20"/>
          <w:color w:val="auto"/>
        </w:rPr>
      </w:pPr>
    </w:p>
    <w:p>
      <w:pPr>
        <w:ind w:left="380" w:firstLine="1"/>
        <w:spacing w:after="0" w:line="226" w:lineRule="auto"/>
        <w:tabs>
          <w:tab w:leader="none" w:pos="7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goals applicable to any outstanding award (if any) shall be deemed to be satisfied at the target, maximum or any other interim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i w:val="1"/>
          <w:iCs w:val="1"/>
          <w:color w:val="auto"/>
        </w:rPr>
        <w:t>Deferrals and Settlements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awards may be in the form of cash, Common Stock, other awards or combinations thereof as the</w:t>
      </w:r>
    </w:p>
    <w:p>
      <w:pPr>
        <w:spacing w:after="0" w:line="6"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Administrator shall determine, and with such restrictions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payment or crediting of dividend equivalents where the deferred amounts are denominated in shares.</w:t>
      </w:r>
    </w:p>
    <w:p>
      <w:pPr>
        <w:spacing w:after="0" w:line="188"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i w:val="1"/>
          <w:iCs w:val="1"/>
          <w:color w:val="auto"/>
        </w:rPr>
        <w:t>Consideration for Common Stock or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any award granted under this Plan or the Common Stock to be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 award, as applicable, may be paid by means of any lawful consideration as determined by the Administrator, including, without</w:t>
      </w:r>
    </w:p>
    <w:p>
      <w:pPr>
        <w:ind w:left="380"/>
        <w:spacing w:after="0"/>
        <w:rPr>
          <w:sz w:val="20"/>
          <w:szCs w:val="20"/>
          <w:color w:val="auto"/>
        </w:rPr>
      </w:pPr>
      <w:r>
        <w:rPr>
          <w:rFonts w:ascii="Times New Roman" w:cs="Times New Roman" w:eastAsia="Times New Roman" w:hAnsi="Times New Roman"/>
          <w:sz w:val="18"/>
          <w:szCs w:val="18"/>
          <w:color w:val="auto"/>
        </w:rPr>
        <w:t>limitation, one or a combination of the following methods:</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services rendered by the recipient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660" w:top="1402" w:right="339" w:bottom="1440" w:gutter="0" w:footer="0" w:header="0"/>
        </w:sectPr>
      </w:pPr>
    </w:p>
    <w:bookmarkStart w:id="63" w:name="page64"/>
    <w:bookmarkEnd w:id="63"/>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check payable to the order of the Corporation, or electronic funds transfer;</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 and third party payment in such manner as may be authorized by the Administrator;</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delivery of previously owned shares of Common Stock;</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by a reduction in the number of shares otherwise deliverable pursuant to the award; or</w:t>
      </w:r>
    </w:p>
    <w:p>
      <w:pPr>
        <w:spacing w:after="0" w:line="104" w:lineRule="exact"/>
        <w:rPr>
          <w:sz w:val="20"/>
          <w:szCs w:val="20"/>
          <w:color w:val="auto"/>
        </w:rPr>
      </w:pPr>
    </w:p>
    <w:p>
      <w:pPr>
        <w:ind w:left="640" w:hanging="188"/>
        <w:spacing w:after="0" w:line="237" w:lineRule="auto"/>
        <w:rPr>
          <w:sz w:val="20"/>
          <w:szCs w:val="20"/>
          <w:color w:val="auto"/>
        </w:rPr>
      </w:pPr>
      <w:r>
        <w:rPr>
          <w:rFonts w:ascii="Times New Roman" w:cs="Times New Roman" w:eastAsia="Times New Roman" w:hAnsi="Times New Roman"/>
          <w:sz w:val="18"/>
          <w:szCs w:val="18"/>
          <w:color w:val="auto"/>
        </w:rPr>
        <w:t>subject to such procedures as the Administrator may adopt, pursuant to a “cashless exercise” with a third party who provides financing for the purposes of (or who otherwise facilitates) the purchase or exercise of awards.</w:t>
      </w:r>
    </w:p>
    <w:p>
      <w:pPr>
        <w:spacing w:after="0" w:line="37" w:lineRule="exact"/>
        <w:rPr>
          <w:sz w:val="20"/>
          <w:szCs w:val="20"/>
          <w:color w:val="auto"/>
        </w:rPr>
      </w:pPr>
    </w:p>
    <w:p>
      <w:pPr>
        <w:jc w:val="both"/>
        <w:ind w:left="320"/>
        <w:spacing w:after="0" w:line="222" w:lineRule="auto"/>
        <w:rPr>
          <w:sz w:val="20"/>
          <w:szCs w:val="20"/>
          <w:color w:val="auto"/>
        </w:rPr>
      </w:pPr>
      <w:r>
        <w:rPr>
          <w:rFonts w:ascii="Times New Roman" w:cs="Times New Roman" w:eastAsia="Times New Roman" w:hAnsi="Times New Roman"/>
          <w:sz w:val="18"/>
          <w:szCs w:val="18"/>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w:t>
      </w:r>
    </w:p>
    <w:p>
      <w:pPr>
        <w:spacing w:after="0" w:line="2" w:lineRule="exact"/>
        <w:rPr>
          <w:sz w:val="20"/>
          <w:szCs w:val="20"/>
          <w:color w:val="auto"/>
        </w:rPr>
      </w:pPr>
    </w:p>
    <w:p>
      <w:pPr>
        <w:jc w:val="both"/>
        <w:ind w:left="320"/>
        <w:spacing w:after="0" w:line="218" w:lineRule="auto"/>
        <w:rPr>
          <w:sz w:val="20"/>
          <w:szCs w:val="20"/>
          <w:color w:val="auto"/>
        </w:rPr>
      </w:pPr>
      <w:r>
        <w:rPr>
          <w:rFonts w:ascii="Times New Roman" w:cs="Times New Roman" w:eastAsia="Times New Roman" w:hAnsi="Times New Roman"/>
          <w:sz w:val="18"/>
          <w:szCs w:val="18"/>
          <w:color w:val="auto"/>
        </w:rPr>
        <w:t>shall be valued at their fair market value on the date of exercise. The Corporation will not be obligated to deliver any shares unless and until it receives full payment of the exercise or purchase price therefor and any related withholding obligations under Section 8.5 and any other conditions to exercise or purchase have been satisfied.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i w:val="1"/>
          <w:iCs w:val="1"/>
          <w:color w:val="auto"/>
        </w:rPr>
        <w:t>Definition of 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Plan, “fair market value” shall mean the closing price (in regular trading) for a share of</w:t>
      </w:r>
    </w:p>
    <w:p>
      <w:pPr>
        <w:spacing w:after="0" w:line="6"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Common Stock on the NASDAQ Stock Market (the “</w:t>
      </w:r>
      <w:r>
        <w:rPr>
          <w:rFonts w:ascii="Times New Roman" w:cs="Times New Roman" w:eastAsia="Times New Roman" w:hAnsi="Times New Roman"/>
          <w:sz w:val="18"/>
          <w:szCs w:val="18"/>
          <w:b w:val="1"/>
          <w:bCs w:val="1"/>
          <w:color w:val="auto"/>
        </w:rPr>
        <w:t>Market</w:t>
      </w:r>
      <w:r>
        <w:rPr>
          <w:rFonts w:ascii="Times New Roman" w:cs="Times New Roman" w:eastAsia="Times New Roman" w:hAnsi="Times New Roman"/>
          <w:sz w:val="18"/>
          <w:szCs w:val="18"/>
          <w:color w:val="auto"/>
        </w:rPr>
        <w:t xml:space="preserve">”) for the date in question or, if no sales of Common Stock were reported on the Market on that date, the closing price (in regular trading) for a share of Common Stock on the Market for the next preceding day on which sales of Common Stock were reported on the Market. The Administrator may, however, provide with respect to one or </w:t>
      </w:r>
      <w:r>
        <w:rPr>
          <w:rFonts w:ascii="Times New Roman" w:cs="Times New Roman" w:eastAsia="Times New Roman" w:hAnsi="Times New Roman"/>
          <w:sz w:val="18"/>
          <w:szCs w:val="18"/>
          <w:b w:val="1"/>
          <w:bCs w:val="1"/>
          <w:i w:val="1"/>
          <w:iCs w:val="1"/>
          <w:color w:val="auto"/>
        </w:rPr>
        <w:t>more</w:t>
      </w:r>
      <w:r>
        <w:rPr>
          <w:rFonts w:ascii="Times New Roman" w:cs="Times New Roman" w:eastAsia="Times New Roman" w:hAnsi="Times New Roman"/>
          <w:sz w:val="18"/>
          <w:szCs w:val="18"/>
          <w:color w:val="auto"/>
        </w:rPr>
        <w:t xml:space="preserve"> awards that the fair</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market value shall equal the closing price (in regular trading) for a share of Common Stock on the Market on the last trading day preceding the date in question or the average of the high and low trading prices of a share of Common Stock on the Market for the date in question or the most recent trading day. If the Common Stock is no longer listed or is no longer actively traded on the Market as of the applicable date, the fair market</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w:t>
      </w:r>
    </w:p>
    <w:p>
      <w:pPr>
        <w:spacing w:after="0" w:line="2" w:lineRule="exact"/>
        <w:rPr>
          <w:sz w:val="20"/>
          <w:szCs w:val="20"/>
          <w:color w:val="auto"/>
        </w:rPr>
      </w:pPr>
    </w:p>
    <w:p>
      <w:pPr>
        <w:jc w:val="both"/>
        <w:ind w:left="380"/>
        <w:spacing w:after="0" w:line="226" w:lineRule="auto"/>
        <w:rPr>
          <w:sz w:val="20"/>
          <w:szCs w:val="20"/>
          <w:color w:val="auto"/>
        </w:rPr>
      </w:pPr>
      <w:r>
        <w:rPr>
          <w:rFonts w:ascii="Times New Roman" w:cs="Times New Roman" w:eastAsia="Times New Roman" w:hAnsi="Times New Roman"/>
          <w:sz w:val="18"/>
          <w:szCs w:val="18"/>
          <w:color w:val="auto"/>
        </w:rPr>
        <w:t>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5.6. Transfer Restrictions.</w:t>
      </w:r>
    </w:p>
    <w:p>
      <w:pPr>
        <w:spacing w:after="0" w:line="225" w:lineRule="exact"/>
        <w:rPr>
          <w:sz w:val="20"/>
          <w:szCs w:val="20"/>
          <w:color w:val="auto"/>
        </w:rPr>
      </w:pPr>
    </w:p>
    <w:p>
      <w:pPr>
        <w:jc w:val="both"/>
        <w:ind w:left="760" w:hanging="453"/>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5.7.1. </w:t>
      </w:r>
      <w:r>
        <w:rPr>
          <w:rFonts w:ascii="Times New Roman" w:cs="Times New Roman" w:eastAsia="Times New Roman" w:hAnsi="Times New Roman"/>
          <w:sz w:val="18"/>
          <w:szCs w:val="18"/>
          <w:b w:val="1"/>
          <w:bCs w:val="1"/>
          <w:i w:val="1"/>
          <w:iCs w:val="1"/>
          <w:color w:val="auto"/>
        </w:rPr>
        <w:t>Limitations on Exercise and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expressly provided in (or pursuant to) this Section 5.7 or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 all awards are non-transferable and shall not be subject in any manner to sale, transfer, anticipation, alienation, assignment, pledge, encumbrance or charge; (b) awards shall be exercised only by the participant; and (c) amounts payable or shares issuable pursuant to any</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award shall be delivered only to (or for the account of) the participant.</w:t>
      </w:r>
    </w:p>
    <w:p>
      <w:pPr>
        <w:spacing w:after="0" w:line="188" w:lineRule="exact"/>
        <w:rPr>
          <w:sz w:val="20"/>
          <w:szCs w:val="20"/>
          <w:color w:val="auto"/>
        </w:rPr>
      </w:pPr>
    </w:p>
    <w:p>
      <w:pPr>
        <w:jc w:val="both"/>
        <w:ind w:left="760" w:hanging="45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5.7.2. </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permit awards to be exercised by and paid to, or otherwise transferred to, other persons or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such conditions and procedures, including limitations on subsequent transfers, as the Administrator may, in its sole discretion,</w:t>
      </w:r>
    </w:p>
    <w:p>
      <w:pPr>
        <w:jc w:val="both"/>
        <w:ind w:left="760"/>
        <w:spacing w:after="0" w:line="218" w:lineRule="auto"/>
        <w:rPr>
          <w:sz w:val="20"/>
          <w:szCs w:val="20"/>
          <w:color w:val="auto"/>
        </w:rPr>
      </w:pPr>
      <w:r>
        <w:rPr>
          <w:rFonts w:ascii="Times New Roman" w:cs="Times New Roman" w:eastAsia="Times New Roman" w:hAnsi="Times New Roman"/>
          <w:sz w:val="18"/>
          <w:szCs w:val="18"/>
          <w:color w:val="auto"/>
        </w:rPr>
        <w:t>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5.7.3. </w:t>
      </w:r>
      <w:r>
        <w:rPr>
          <w:rFonts w:ascii="Times New Roman" w:cs="Times New Roman" w:eastAsia="Times New Roman" w:hAnsi="Times New Roman"/>
          <w:sz w:val="18"/>
          <w:szCs w:val="18"/>
          <w:b w:val="1"/>
          <w:bCs w:val="1"/>
          <w:i w:val="1"/>
          <w:iCs w:val="1"/>
          <w:color w:val="auto"/>
        </w:rPr>
        <w:t>Further Exceptions to Limits 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and transfer restrictions in Section 5.7.1 shall not apply to:</w:t>
      </w:r>
    </w:p>
    <w:p>
      <w:pPr>
        <w:spacing w:after="0" w:line="216" w:lineRule="exact"/>
        <w:rPr>
          <w:sz w:val="20"/>
          <w:szCs w:val="20"/>
          <w:color w:val="auto"/>
        </w:rPr>
      </w:pPr>
    </w:p>
    <w:p>
      <w:pPr>
        <w:ind w:left="960" w:hanging="579"/>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Corporation (for example, in connection with the expiration or termination of the award);</w:t>
      </w:r>
    </w:p>
    <w:p>
      <w:pPr>
        <w:spacing w:after="0" w:line="211" w:lineRule="exact"/>
        <w:rPr>
          <w:rFonts w:ascii="Times New Roman" w:cs="Times New Roman" w:eastAsia="Times New Roman" w:hAnsi="Times New Roman"/>
          <w:sz w:val="18"/>
          <w:szCs w:val="18"/>
          <w:color w:val="auto"/>
        </w:rPr>
      </w:pPr>
    </w:p>
    <w:p>
      <w:pPr>
        <w:jc w:val="both"/>
        <w:ind w:left="960" w:right="20" w:hanging="579"/>
        <w:spacing w:after="0" w:line="231" w:lineRule="auto"/>
        <w:tabs>
          <w:tab w:leader="none" w:pos="9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00"/>
          </w:cols>
          <w:pgMar w:left="660" w:top="1440" w:right="339" w:bottom="1440" w:gutter="0" w:footer="0" w:header="0"/>
        </w:sectPr>
      </w:pPr>
    </w:p>
    <w:bookmarkStart w:id="64" w:name="page65"/>
    <w:bookmarkEnd w:id="64"/>
    <w:p>
      <w:pPr>
        <w:ind w:left="1300" w:right="20" w:hanging="579"/>
        <w:spacing w:after="0" w:line="237"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limitations on ISOs, transfers to a family member (or former family member) pursuant to a domestic relations order if approved or ratified by the Administrator;</w:t>
      </w:r>
    </w:p>
    <w:p>
      <w:pPr>
        <w:spacing w:after="0" w:line="198" w:lineRule="exact"/>
        <w:rPr>
          <w:rFonts w:ascii="Times New Roman" w:cs="Times New Roman" w:eastAsia="Times New Roman" w:hAnsi="Times New Roman"/>
          <w:sz w:val="18"/>
          <w:szCs w:val="18"/>
          <w:color w:val="auto"/>
        </w:rPr>
      </w:pPr>
    </w:p>
    <w:p>
      <w:pPr>
        <w:ind w:left="1300" w:hanging="579"/>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suffered a disability, permitted transfers or exercises on behalf of the participant by his or her legal representative; or</w:t>
      </w:r>
    </w:p>
    <w:p>
      <w:pPr>
        <w:spacing w:after="0" w:line="211" w:lineRule="exact"/>
        <w:rPr>
          <w:rFonts w:ascii="Times New Roman" w:cs="Times New Roman" w:eastAsia="Times New Roman" w:hAnsi="Times New Roman"/>
          <w:sz w:val="18"/>
          <w:szCs w:val="18"/>
          <w:color w:val="auto"/>
        </w:rPr>
      </w:pPr>
    </w:p>
    <w:p>
      <w:pPr>
        <w:ind w:left="1300" w:hanging="579"/>
        <w:spacing w:after="0" w:line="237"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p>
      <w:pPr>
        <w:spacing w:after="0" w:line="195" w:lineRule="exact"/>
        <w:rPr>
          <w:sz w:val="20"/>
          <w:szCs w:val="20"/>
          <w:color w:val="auto"/>
        </w:rPr>
      </w:pPr>
    </w:p>
    <w:p>
      <w:pPr>
        <w:jc w:val="both"/>
        <w:ind w:left="720" w:hanging="38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i w:val="1"/>
          <w:iCs w:val="1"/>
          <w:color w:val="auto"/>
        </w:rPr>
        <w:t>International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awards may be granted to Eligible Persons who provide services to the Corporation or one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the United States. Any awards granted to such persons may be granted pursuant to the terms and conditions of any applicable sub-plans, if any, appended to this Plan and approved by the Administrator.</w:t>
      </w:r>
    </w:p>
    <w:p>
      <w:pPr>
        <w:spacing w:after="0" w:line="196"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EMPLOYMENT OR SERVICE ON AWARDS</w:t>
      </w:r>
    </w:p>
    <w:p>
      <w:pPr>
        <w:spacing w:after="0" w:line="211" w:lineRule="exact"/>
        <w:rPr>
          <w:rFonts w:ascii="Times New Roman" w:cs="Times New Roman" w:eastAsia="Times New Roman" w:hAnsi="Times New Roman"/>
          <w:sz w:val="18"/>
          <w:szCs w:val="18"/>
          <w:b w:val="1"/>
          <w:bCs w:val="1"/>
          <w:color w:val="auto"/>
        </w:rPr>
      </w:pPr>
    </w:p>
    <w:p>
      <w:pPr>
        <w:ind w:left="720" w:hanging="389"/>
        <w:spacing w:after="0" w:line="22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shall establish the effect of a termination of employment or service on the rights and benefits under each award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in so doing 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94" w:lineRule="exact"/>
        <w:rPr>
          <w:rFonts w:ascii="Times New Roman" w:cs="Times New Roman" w:eastAsia="Times New Roman" w:hAnsi="Times New Roman"/>
          <w:sz w:val="18"/>
          <w:szCs w:val="18"/>
          <w:b w:val="1"/>
          <w:bCs w:val="1"/>
          <w:color w:val="auto"/>
        </w:rPr>
      </w:pPr>
    </w:p>
    <w:p>
      <w:pPr>
        <w:ind w:left="720" w:hanging="389"/>
        <w:spacing w:after="0" w:line="21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Events Not Deemed Terminations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express policy of the Corporation or one of its Subsidiaries, or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provides,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(or such other period of time as required by applicable law).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(including Section 409A of the Code) otherwise requires. In no event shall an award be exercised after the expiration of the term set forth in the applicable award agreement.</w:t>
      </w:r>
    </w:p>
    <w:p>
      <w:pPr>
        <w:spacing w:after="0" w:line="194" w:lineRule="exact"/>
        <w:rPr>
          <w:rFonts w:ascii="Times New Roman" w:cs="Times New Roman" w:eastAsia="Times New Roman" w:hAnsi="Times New Roman"/>
          <w:sz w:val="18"/>
          <w:szCs w:val="18"/>
          <w:b w:val="1"/>
          <w:bCs w:val="1"/>
          <w:color w:val="auto"/>
        </w:rPr>
      </w:pPr>
    </w:p>
    <w:p>
      <w:pPr>
        <w:ind w:left="720" w:hanging="389"/>
        <w:spacing w:after="0" w:line="22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Effect of Change of Subsidiary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Plan and any award, if an entity ceases to be a Subsidiary of the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8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ACCELERATION</w:t>
      </w:r>
    </w:p>
    <w:p>
      <w:pPr>
        <w:spacing w:after="0" w:line="225" w:lineRule="exact"/>
        <w:rPr>
          <w:rFonts w:ascii="Times New Roman" w:cs="Times New Roman" w:eastAsia="Times New Roman" w:hAnsi="Times New Roman"/>
          <w:sz w:val="18"/>
          <w:szCs w:val="18"/>
          <w:b w:val="1"/>
          <w:bCs w:val="1"/>
          <w:color w:val="auto"/>
        </w:rPr>
      </w:pPr>
    </w:p>
    <w:p>
      <w:pPr>
        <w:jc w:val="right"/>
        <w:ind w:left="720" w:hanging="389"/>
        <w:spacing w:after="0" w:line="21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7.2, upon (or, as may be necessary to effect the adjustment, immediately prior to): any reclassification,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w:t>
      </w:r>
    </w:p>
    <w:p>
      <w:pPr>
        <w:spacing w:after="0" w:line="5" w:lineRule="exact"/>
        <w:rPr>
          <w:rFonts w:ascii="Times New Roman" w:cs="Times New Roman" w:eastAsia="Times New Roman" w:hAnsi="Times New Roman"/>
          <w:sz w:val="18"/>
          <w:szCs w:val="18"/>
          <w:b w:val="1"/>
          <w:bCs w:val="1"/>
          <w:color w:val="auto"/>
        </w:rPr>
      </w:pPr>
    </w:p>
    <w:p>
      <w:pPr>
        <w:ind w:left="1000" w:hanging="279"/>
        <w:spacing w:after="0" w:line="203"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purchase, or exercise price (which term includes the base price of any SAR or similar right) of any outstanding awards, and/or</w:t>
      </w:r>
    </w:p>
    <w:p>
      <w:pPr>
        <w:ind w:left="980" w:hanging="259"/>
        <w:spacing w:after="0" w:line="219"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cash or other property deliverable upon exercise or payment of any outstanding awards, in each case to the extent necessary to</w:t>
      </w:r>
    </w:p>
    <w:p>
      <w:pPr>
        <w:ind w:left="720"/>
        <w:spacing w:after="0"/>
        <w:rPr>
          <w:sz w:val="20"/>
          <w:szCs w:val="20"/>
          <w:color w:val="auto"/>
        </w:rPr>
      </w:pPr>
      <w:r>
        <w:rPr>
          <w:rFonts w:ascii="Times New Roman" w:cs="Times New Roman" w:eastAsia="Times New Roman" w:hAnsi="Times New Roman"/>
          <w:sz w:val="18"/>
          <w:szCs w:val="18"/>
          <w:color w:val="auto"/>
        </w:rPr>
        <w:t>preserve (but not increase) the level of incentives intended by this Plan and the then-outstanding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04" w:right="339" w:bottom="1440" w:gutter="0" w:footer="0" w:header="0"/>
        </w:sectPr>
      </w:pPr>
    </w:p>
    <w:bookmarkStart w:id="65" w:name="page66"/>
    <w:bookmarkEnd w:id="65"/>
    <w:p>
      <w:pPr>
        <w:jc w:val="both"/>
        <w:ind w:left="380"/>
        <w:spacing w:after="0" w:line="222" w:lineRule="auto"/>
        <w:rPr>
          <w:sz w:val="20"/>
          <w:szCs w:val="20"/>
          <w:color w:val="auto"/>
        </w:rPr>
      </w:pPr>
      <w:r>
        <w:rPr>
          <w:rFonts w:ascii="Times New Roman" w:cs="Times New Roman" w:eastAsia="Times New Roman" w:hAnsi="Times New Roman"/>
          <w:sz w:val="18"/>
          <w:szCs w:val="18"/>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w:t>
      </w:r>
    </w:p>
    <w:p>
      <w:pPr>
        <w:spacing w:after="0" w:line="2" w:lineRule="exact"/>
        <w:rPr>
          <w:sz w:val="20"/>
          <w:szCs w:val="20"/>
          <w:color w:val="auto"/>
        </w:rPr>
      </w:pPr>
    </w:p>
    <w:p>
      <w:pPr>
        <w:jc w:val="both"/>
        <w:ind w:left="380"/>
        <w:spacing w:after="0" w:line="218" w:lineRule="auto"/>
        <w:rPr>
          <w:sz w:val="20"/>
          <w:szCs w:val="20"/>
          <w:color w:val="auto"/>
        </w:rPr>
      </w:pPr>
      <w:r>
        <w:rPr>
          <w:rFonts w:ascii="Times New Roman" w:cs="Times New Roman" w:eastAsia="Times New Roman" w:hAnsi="Times New Roman"/>
          <w:sz w:val="18"/>
          <w:szCs w:val="18"/>
          <w:color w:val="auto"/>
        </w:rPr>
        <w:t>Corporation as an entirety, the Administrator shall equitably and proportionately adjust the performance standards applicable to any then-outstanding performance-based awards to the extent necessary to preserve (but not increase) the level of incentives intended by this Plan and the then-outstanding performance-based awards.</w:t>
      </w:r>
    </w:p>
    <w:p>
      <w:pPr>
        <w:spacing w:after="0" w:line="199" w:lineRule="exact"/>
        <w:rPr>
          <w:sz w:val="20"/>
          <w:szCs w:val="20"/>
          <w:color w:val="auto"/>
        </w:rPr>
      </w:pPr>
    </w:p>
    <w:p>
      <w:pPr>
        <w:jc w:val="both"/>
        <w:ind w:left="380"/>
        <w:spacing w:after="0" w:line="226" w:lineRule="auto"/>
        <w:rPr>
          <w:sz w:val="20"/>
          <w:szCs w:val="20"/>
          <w:color w:val="auto"/>
        </w:rPr>
      </w:pPr>
      <w:r>
        <w:rPr>
          <w:rFonts w:ascii="Times New Roman" w:cs="Times New Roman" w:eastAsia="Times New Roman" w:hAnsi="Times New Roman"/>
          <w:sz w:val="18"/>
          <w:szCs w:val="18"/>
          <w:color w:val="auto"/>
        </w:rPr>
        <w:t>It is intended that, if possible, any adjustments contemplated by the preceding two paragraphs be made in a manner that satisfies applicable U.S. legal, tax (including, without limitation and as applicable in the circumstances, Section 424 of the Code and Section 409A of the Code) and accounting (so as to not trigger any charge to earnings with respect to such adjustment) requirements.</w:t>
      </w:r>
    </w:p>
    <w:p>
      <w:pPr>
        <w:spacing w:after="0" w:line="198" w:lineRule="exact"/>
        <w:rPr>
          <w:sz w:val="20"/>
          <w:szCs w:val="20"/>
          <w:color w:val="auto"/>
        </w:rPr>
      </w:pPr>
    </w:p>
    <w:p>
      <w:pPr>
        <w:jc w:val="both"/>
        <w:ind w:left="380" w:right="20"/>
        <w:spacing w:after="0" w:line="237" w:lineRule="auto"/>
        <w:rPr>
          <w:sz w:val="20"/>
          <w:szCs w:val="20"/>
          <w:color w:val="auto"/>
        </w:rPr>
      </w:pPr>
      <w:r>
        <w:rPr>
          <w:rFonts w:ascii="Times New Roman" w:cs="Times New Roman" w:eastAsia="Times New Roman" w:hAnsi="Times New Roman"/>
          <w:sz w:val="18"/>
          <w:szCs w:val="18"/>
          <w:color w:val="auto"/>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Change in Control—Assumption and Termination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occurrence of a Change in Control, then the Administrator may make</w:t>
      </w:r>
    </w:p>
    <w:p>
      <w:pPr>
        <w:spacing w:after="0" w:line="6"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Change in Control.</w:t>
      </w:r>
    </w:p>
    <w:p>
      <w:pPr>
        <w:spacing w:after="0" w:line="2" w:lineRule="exact"/>
        <w:rPr>
          <w:sz w:val="20"/>
          <w:szCs w:val="20"/>
          <w:color w:val="auto"/>
        </w:rPr>
      </w:pPr>
    </w:p>
    <w:p>
      <w:pPr>
        <w:jc w:val="both"/>
        <w:ind w:left="380"/>
        <w:spacing w:after="0" w:line="220" w:lineRule="auto"/>
        <w:rPr>
          <w:sz w:val="20"/>
          <w:szCs w:val="20"/>
          <w:color w:val="auto"/>
        </w:rPr>
      </w:pPr>
      <w:r>
        <w:rPr>
          <w:rFonts w:ascii="Times New Roman" w:cs="Times New Roman" w:eastAsia="Times New Roman" w:hAnsi="Times New Roman"/>
          <w:sz w:val="17"/>
          <w:szCs w:val="17"/>
          <w:color w:val="auto"/>
        </w:rPr>
        <w:t>Upon the occurrence of a Change in Control, then, unless the Administrator has made a provision for the substitution, assumption, exchange or other continuation or settlement of the award or (unless the Administrator has provided for the termination of the award) the award would otherwise continue in accordance with its terms in the circumstances: (1) unless otherwise provided in the applicable award agreement, each then-</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outstanding option and SAR shall become fully vested, all shares of restricted stock then outstanding shall fully vest free of restrictions, and each other award granted under this Plan that is then outstanding shall become payable to the holder of such award; and (2) each award shall terminate upon the Change in Control; provided that the holder of an option or SAR shall be given reasonable advance notice of the impending termination</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 made contingent upon the actual occurrence of the Change in Control).</w:t>
      </w:r>
    </w:p>
    <w:p>
      <w:pPr>
        <w:spacing w:after="0" w:line="192" w:lineRule="exact"/>
        <w:rPr>
          <w:sz w:val="20"/>
          <w:szCs w:val="20"/>
          <w:color w:val="auto"/>
        </w:rPr>
      </w:pPr>
    </w:p>
    <w:p>
      <w:pPr>
        <w:jc w:val="both"/>
        <w:ind w:left="380"/>
        <w:spacing w:after="0" w:line="222" w:lineRule="auto"/>
        <w:rPr>
          <w:sz w:val="20"/>
          <w:szCs w:val="20"/>
          <w:color w:val="auto"/>
        </w:rPr>
      </w:pPr>
      <w:r>
        <w:rPr>
          <w:rFonts w:ascii="Times New Roman" w:cs="Times New Roman" w:eastAsia="Times New Roman" w:hAnsi="Times New Roman"/>
          <w:sz w:val="18"/>
          <w:szCs w:val="18"/>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w:t>
      </w:r>
    </w:p>
    <w:p>
      <w:pPr>
        <w:spacing w:after="0" w:line="2" w:lineRule="exact"/>
        <w:rPr>
          <w:sz w:val="20"/>
          <w:szCs w:val="20"/>
          <w:color w:val="auto"/>
        </w:rPr>
      </w:pPr>
    </w:p>
    <w:p>
      <w:pPr>
        <w:jc w:val="both"/>
        <w:ind w:left="380"/>
        <w:spacing w:after="0" w:line="226" w:lineRule="auto"/>
        <w:rPr>
          <w:sz w:val="20"/>
          <w:szCs w:val="20"/>
          <w:color w:val="auto"/>
        </w:rPr>
      </w:pPr>
      <w:r>
        <w:rPr>
          <w:rFonts w:ascii="Times New Roman" w:cs="Times New Roman" w:eastAsia="Times New Roman" w:hAnsi="Times New Roman"/>
          <w:sz w:val="18"/>
          <w:szCs w:val="18"/>
          <w:color w:val="auto"/>
        </w:rPr>
        <w:t>upon the excess (if any) of the per share amount payable upon or in respect of such Change in Control over the exercise or base price of the award.</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Subject to applicable law, in the event of a Change in Control, the Administrator may take such action contemplated by this Section 7.2 prior to</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such Change in Control (as opposed to on the occurrence of such Change in Control) to the extent that the Administrator deems the action necessary to permit the participant to realize the benefits intended to be conveyed with respect to the underlying shares. Without limiting the generality of the foregoing, the Administrator may deem an acceleration to occur immediately prior to the Change in Control and, in such</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circumstances, will reinstate the original terms of the award if an event giving rise to an acceleration does not occur.</w:t>
      </w:r>
    </w:p>
    <w:p>
      <w:pPr>
        <w:spacing w:after="0" w:line="192" w:lineRule="exact"/>
        <w:rPr>
          <w:sz w:val="20"/>
          <w:szCs w:val="20"/>
          <w:color w:val="auto"/>
        </w:rPr>
      </w:pPr>
    </w:p>
    <w:p>
      <w:pPr>
        <w:jc w:val="both"/>
        <w:ind w:left="380"/>
        <w:spacing w:after="0" w:line="237" w:lineRule="auto"/>
        <w:rPr>
          <w:sz w:val="20"/>
          <w:szCs w:val="20"/>
          <w:color w:val="auto"/>
        </w:rPr>
      </w:pPr>
      <w:r>
        <w:rPr>
          <w:rFonts w:ascii="Times New Roman" w:cs="Times New Roman" w:eastAsia="Times New Roman" w:hAnsi="Times New Roman"/>
          <w:sz w:val="18"/>
          <w:szCs w:val="18"/>
          <w:color w:val="auto"/>
        </w:rPr>
        <w:t>Without limiting the generality of Section 3.3, any good faith determination by the Administrator pursuant to its authority under this Section 7.2 shall be conclusive and binding on all persons.</w:t>
      </w:r>
    </w:p>
    <w:p>
      <w:pPr>
        <w:spacing w:after="0" w:line="195" w:lineRule="exact"/>
        <w:rPr>
          <w:sz w:val="20"/>
          <w:szCs w:val="20"/>
          <w:color w:val="auto"/>
        </w:rPr>
      </w:pPr>
    </w:p>
    <w:p>
      <w:pPr>
        <w:jc w:val="both"/>
        <w:ind w:left="380" w:hanging="38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Other Acceleration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override the provisions of Section 7.2 by express provision in the award agreement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 any Eligible Person a right, subject to Section 409A of the Code, to refuse any acceleration, whether pursuant to the award agreement or otherwise, in such circumstances as the Administrator may approve. The portion of any ISO accelerated in connection with an event referred to in</w:t>
      </w:r>
    </w:p>
    <w:p>
      <w:pPr>
        <w:spacing w:after="0" w:line="3" w:lineRule="exact"/>
        <w:rPr>
          <w:sz w:val="20"/>
          <w:szCs w:val="20"/>
          <w:color w:val="auto"/>
        </w:rPr>
      </w:pPr>
    </w:p>
    <w:p>
      <w:pPr>
        <w:jc w:val="both"/>
        <w:ind w:left="380"/>
        <w:spacing w:after="0" w:line="218" w:lineRule="auto"/>
        <w:rPr>
          <w:sz w:val="20"/>
          <w:szCs w:val="20"/>
          <w:color w:val="auto"/>
        </w:rPr>
      </w:pPr>
      <w:r>
        <w:rPr>
          <w:rFonts w:ascii="Times New Roman" w:cs="Times New Roman" w:eastAsia="Times New Roman" w:hAnsi="Times New Roman"/>
          <w:sz w:val="18"/>
          <w:szCs w:val="18"/>
          <w:color w:val="auto"/>
        </w:rPr>
        <w:t>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900"/>
          </w:cols>
          <w:pgMar w:left="660" w:top="1404" w:right="339" w:bottom="1440" w:gutter="0" w:footer="0" w:header="0"/>
        </w:sectPr>
      </w:pPr>
    </w:p>
    <w:bookmarkStart w:id="66" w:name="page67"/>
    <w:bookmarkEnd w:id="66"/>
    <w:p>
      <w:pPr>
        <w:jc w:val="right"/>
        <w:ind w:left="34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Definition of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 particular award granted under this Plan, a “Change in Control”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as of the first day, after the date of grant of the particular award, that any one or more of the following conditions shall have been</w:t>
      </w:r>
    </w:p>
    <w:p>
      <w:pPr>
        <w:ind w:left="720"/>
        <w:spacing w:after="0"/>
        <w:rPr>
          <w:sz w:val="20"/>
          <w:szCs w:val="20"/>
          <w:color w:val="auto"/>
        </w:rPr>
      </w:pPr>
      <w:r>
        <w:rPr>
          <w:rFonts w:ascii="Times New Roman" w:cs="Times New Roman" w:eastAsia="Times New Roman" w:hAnsi="Times New Roman"/>
          <w:sz w:val="18"/>
          <w:szCs w:val="18"/>
          <w:color w:val="auto"/>
        </w:rPr>
        <w:t>satisfied:</w:t>
      </w:r>
    </w:p>
    <w:p>
      <w:pPr>
        <w:spacing w:after="0" w:line="188" w:lineRule="exact"/>
        <w:rPr>
          <w:sz w:val="20"/>
          <w:szCs w:val="20"/>
          <w:color w:val="auto"/>
        </w:rPr>
      </w:pPr>
    </w:p>
    <w:p>
      <w:pPr>
        <w:jc w:val="both"/>
        <w:ind w:left="1300" w:hanging="579"/>
        <w:spacing w:after="0" w:line="213" w:lineRule="auto"/>
        <w:tabs>
          <w:tab w:leader="none" w:pos="12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Exchange Act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of beneficial ownership (within the meaning of Rule 13d-3 promulgated under the Exchange Act) of more than 30% of either (1) the then-outstanding shares of common stock of the Corporation (the “</w:t>
      </w:r>
      <w:r>
        <w:rPr>
          <w:rFonts w:ascii="Times New Roman" w:cs="Times New Roman" w:eastAsia="Times New Roman" w:hAnsi="Times New Roman"/>
          <w:sz w:val="18"/>
          <w:szCs w:val="18"/>
          <w:b w:val="1"/>
          <w:bCs w:val="1"/>
          <w:color w:val="auto"/>
        </w:rPr>
        <w:t>Outstanding Company Common Stock</w:t>
      </w:r>
      <w:r>
        <w:rPr>
          <w:rFonts w:ascii="Times New Roman" w:cs="Times New Roman" w:eastAsia="Times New Roman" w:hAnsi="Times New Roman"/>
          <w:sz w:val="18"/>
          <w:szCs w:val="18"/>
          <w:color w:val="auto"/>
        </w:rPr>
        <w:t>”) or (2) the combined voting power of the then-outstanding voting securities of the Corporation entitled to vote generally in the election of directors (the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provided, however, that, for purposes of this clause (a), the following acquisitions shall not constitute a Change in Control Event; (A) any acquisition directly from the Corporation, (B) any acquisition by the Corporation,</w:t>
      </w:r>
    </w:p>
    <w:p>
      <w:pPr>
        <w:spacing w:after="0" w:line="1" w:lineRule="exact"/>
        <w:rPr>
          <w:rFonts w:ascii="Times New Roman" w:cs="Times New Roman" w:eastAsia="Times New Roman" w:hAnsi="Times New Roman"/>
          <w:sz w:val="18"/>
          <w:szCs w:val="18"/>
          <w:color w:val="auto"/>
        </w:rPr>
      </w:pPr>
    </w:p>
    <w:p>
      <w:pPr>
        <w:jc w:val="both"/>
        <w:ind w:left="1300"/>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acquisition by any employee benefit plan (or related trust) sponsored or maintained by the Corporation or any affiliate of the Corporation or a successor, or (D) any acquisition by any entity pursuant to a transaction that complies with Sections (c)(1), (2) and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below;</w:t>
      </w:r>
    </w:p>
    <w:p>
      <w:pPr>
        <w:spacing w:after="0" w:line="187" w:lineRule="exact"/>
        <w:rPr>
          <w:rFonts w:ascii="Times New Roman" w:cs="Times New Roman" w:eastAsia="Times New Roman" w:hAnsi="Times New Roman"/>
          <w:sz w:val="18"/>
          <w:szCs w:val="18"/>
          <w:color w:val="auto"/>
        </w:rPr>
      </w:pPr>
    </w:p>
    <w:p>
      <w:pPr>
        <w:jc w:val="both"/>
        <w:ind w:left="1300" w:hanging="579"/>
        <w:spacing w:after="0" w:line="216"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Effective Date, constitute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Board; provided, however, that any individual becoming a director subsequent to the Effective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01" w:lineRule="exact"/>
        <w:rPr>
          <w:rFonts w:ascii="Times New Roman" w:cs="Times New Roman" w:eastAsia="Times New Roman" w:hAnsi="Times New Roman"/>
          <w:sz w:val="18"/>
          <w:szCs w:val="18"/>
          <w:color w:val="auto"/>
        </w:rPr>
      </w:pPr>
    </w:p>
    <w:p>
      <w:pPr>
        <w:jc w:val="both"/>
        <w:ind w:left="1300" w:hanging="579"/>
        <w:spacing w:after="0" w:line="210" w:lineRule="auto"/>
        <w:tabs>
          <w:tab w:leader="none" w:pos="12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w:t>
      </w:r>
    </w:p>
    <w:p>
      <w:pPr>
        <w:spacing w:after="0" w:line="3" w:lineRule="exact"/>
        <w:rPr>
          <w:rFonts w:ascii="Times New Roman" w:cs="Times New Roman" w:eastAsia="Times New Roman" w:hAnsi="Times New Roman"/>
          <w:sz w:val="18"/>
          <w:szCs w:val="18"/>
          <w:color w:val="auto"/>
        </w:rPr>
      </w:pPr>
    </w:p>
    <w:p>
      <w:pPr>
        <w:jc w:val="both"/>
        <w:ind w:left="130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98" w:lineRule="exact"/>
        <w:rPr>
          <w:rFonts w:ascii="Times New Roman" w:cs="Times New Roman" w:eastAsia="Times New Roman" w:hAnsi="Times New Roman"/>
          <w:sz w:val="18"/>
          <w:szCs w:val="18"/>
          <w:color w:val="auto"/>
        </w:rPr>
      </w:pPr>
    </w:p>
    <w:p>
      <w:pPr>
        <w:ind w:left="1300" w:hanging="579"/>
        <w:spacing w:after="0" w:line="237" w:lineRule="auto"/>
        <w:tabs>
          <w:tab w:leader="none" w:pos="12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Corporation of a complete liquidation or dissolution of the Corporation other than in the context of a transaction that does not constitute a Change in Control under clause (c) above.</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25" w:lineRule="exact"/>
        <w:rPr>
          <w:rFonts w:ascii="Times New Roman" w:cs="Times New Roman" w:eastAsia="Times New Roman" w:hAnsi="Times New Roman"/>
          <w:sz w:val="18"/>
          <w:szCs w:val="18"/>
          <w:b w:val="1"/>
          <w:bCs w:val="1"/>
          <w:color w:val="auto"/>
        </w:rPr>
      </w:pPr>
    </w:p>
    <w:p>
      <w:pPr>
        <w:ind w:left="720" w:hanging="389"/>
        <w:spacing w:after="0" w:line="22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i w:val="1"/>
          <w:iCs w:val="1"/>
          <w:color w:val="auto"/>
        </w:rPr>
        <w:t>Compliance with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the granting and vesting of awards under this Plan, the offer, issuance and delivery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and/or the payment of money under this Plan or under awards are subject to compliance with all applicable federal and state laws, rules and regulations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00" w:right="339" w:bottom="1440" w:gutter="0" w:footer="0" w:header="0"/>
        </w:sectPr>
      </w:pPr>
    </w:p>
    <w:bookmarkStart w:id="67" w:name="page68"/>
    <w:bookmarkEnd w:id="67"/>
    <w:p>
      <w:pPr>
        <w:jc w:val="both"/>
        <w:ind w:left="380"/>
        <w:spacing w:after="0" w:line="222" w:lineRule="auto"/>
        <w:rPr>
          <w:sz w:val="20"/>
          <w:szCs w:val="20"/>
          <w:color w:val="auto"/>
        </w:rPr>
      </w:pPr>
      <w:r>
        <w:rPr>
          <w:rFonts w:ascii="Times New Roman" w:cs="Times New Roman" w:eastAsia="Times New Roman" w:hAnsi="Times New Roman"/>
          <w:sz w:val="18"/>
          <w:szCs w:val="18"/>
          <w:color w:val="auto"/>
        </w:rPr>
        <w:t>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w:t>
      </w:r>
    </w:p>
    <w:p>
      <w:pPr>
        <w:spacing w:after="0" w:line="2" w:lineRule="exact"/>
        <w:rPr>
          <w:sz w:val="20"/>
          <w:szCs w:val="20"/>
          <w:color w:val="auto"/>
        </w:rPr>
      </w:pPr>
    </w:p>
    <w:p>
      <w:pPr>
        <w:jc w:val="both"/>
        <w:ind w:left="380"/>
        <w:spacing w:after="0" w:line="218" w:lineRule="auto"/>
        <w:rPr>
          <w:sz w:val="20"/>
          <w:szCs w:val="20"/>
          <w:color w:val="auto"/>
        </w:rPr>
      </w:pPr>
      <w:r>
        <w:rPr>
          <w:rFonts w:ascii="Times New Roman" w:cs="Times New Roman" w:eastAsia="Times New Roman" w:hAnsi="Times New Roman"/>
          <w:sz w:val="18"/>
          <w:szCs w:val="18"/>
          <w:color w:val="auto"/>
        </w:rPr>
        <w:t>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95" w:lineRule="exact"/>
        <w:rPr>
          <w:sz w:val="20"/>
          <w:szCs w:val="20"/>
          <w:color w:val="auto"/>
        </w:rPr>
      </w:pPr>
    </w:p>
    <w:p>
      <w:pPr>
        <w:ind w:left="380" w:right="20" w:hanging="38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i w:val="1"/>
          <w:iCs w:val="1"/>
          <w:color w:val="auto"/>
        </w:rPr>
        <w:t>No Rights to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shall have any claim or rights to be granted an award (or additional awards, as the case may be) under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any express contractual rights (set forth in a document other than this Plan) to the contrary.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i w:val="1"/>
          <w:iCs w:val="1"/>
          <w:color w:val="auto"/>
        </w:rPr>
        <w:t>No Employment/Service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Plan (or in any other documents under this Plan or in any award) shall confer upon</w:t>
      </w:r>
    </w:p>
    <w:p>
      <w:pPr>
        <w:spacing w:after="0" w:line="6"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w:t>
      </w:r>
    </w:p>
    <w:p>
      <w:pPr>
        <w:spacing w:after="0" w:line="2" w:lineRule="exact"/>
        <w:rPr>
          <w:sz w:val="20"/>
          <w:szCs w:val="20"/>
          <w:color w:val="auto"/>
        </w:rPr>
      </w:pPr>
    </w:p>
    <w:p>
      <w:pPr>
        <w:jc w:val="both"/>
        <w:ind w:left="380" w:right="20"/>
        <w:spacing w:after="0" w:line="226" w:lineRule="auto"/>
        <w:rPr>
          <w:sz w:val="20"/>
          <w:szCs w:val="20"/>
          <w:color w:val="auto"/>
        </w:rPr>
      </w:pPr>
      <w:r>
        <w:rPr>
          <w:rFonts w:ascii="Times New Roman" w:cs="Times New Roman" w:eastAsia="Times New Roman" w:hAnsi="Times New Roman"/>
          <w:sz w:val="18"/>
          <w:szCs w:val="18"/>
          <w:color w:val="auto"/>
        </w:rPr>
        <w:t>employment or other service, with or without cause. Nothing in this Section 8.3, however, is intended to adversely affect any express independent right of such person under a separate employment or service contract other than an award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i w:val="1"/>
          <w:iCs w:val="1"/>
          <w:color w:val="auto"/>
        </w:rPr>
        <w:t>Plan Not 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payable under this Plan shall be payable in shares or from the general assets of the Corporation, and no special or</w:t>
      </w:r>
    </w:p>
    <w:p>
      <w:pPr>
        <w:spacing w:after="0" w:line="6"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than the right of any unsecured general creditor of the Corporation.</w:t>
      </w:r>
    </w:p>
    <w:p>
      <w:pPr>
        <w:spacing w:after="0" w:line="188"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exercise, vesting, or payment of any award, or upon the disposition of shares of Common Stock acquired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an ISO prior to satisfaction of the holding period requirements of Section 422 of the Code, or upon any other tax withholding</w:t>
      </w:r>
    </w:p>
    <w:p>
      <w:pPr>
        <w:ind w:left="380"/>
        <w:spacing w:after="0"/>
        <w:rPr>
          <w:sz w:val="20"/>
          <w:szCs w:val="20"/>
          <w:color w:val="auto"/>
        </w:rPr>
      </w:pPr>
      <w:r>
        <w:rPr>
          <w:rFonts w:ascii="Times New Roman" w:cs="Times New Roman" w:eastAsia="Times New Roman" w:hAnsi="Times New Roman"/>
          <w:sz w:val="18"/>
          <w:szCs w:val="18"/>
          <w:color w:val="auto"/>
        </w:rPr>
        <w:t>event with respect to any award, the Corporation or one of its Subsidiaries shall have the right at its option to:</w:t>
      </w:r>
    </w:p>
    <w:p>
      <w:pPr>
        <w:spacing w:after="0" w:line="124" w:lineRule="exact"/>
        <w:rPr>
          <w:sz w:val="20"/>
          <w:szCs w:val="20"/>
          <w:color w:val="auto"/>
        </w:rPr>
      </w:pPr>
    </w:p>
    <w:p>
      <w:pPr>
        <w:jc w:val="both"/>
        <w:ind w:left="960" w:hanging="579"/>
        <w:spacing w:after="0" w:line="231"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participant (or the participant’s personal representative or beneficiary, as the case may be) to pay or provide for payment of at least the minimum amount of any taxes which the Corporation or one of its Subsidiaries may be required to withhold with respect to such award event or payment; or</w:t>
      </w:r>
    </w:p>
    <w:p>
      <w:pPr>
        <w:spacing w:after="0" w:line="185" w:lineRule="exact"/>
        <w:rPr>
          <w:rFonts w:ascii="Times New Roman" w:cs="Times New Roman" w:eastAsia="Times New Roman" w:hAnsi="Times New Roman"/>
          <w:sz w:val="18"/>
          <w:szCs w:val="18"/>
          <w:color w:val="auto"/>
        </w:rPr>
      </w:pPr>
    </w:p>
    <w:p>
      <w:pPr>
        <w:jc w:val="both"/>
        <w:ind w:left="960" w:hanging="579"/>
        <w:spacing w:after="0" w:line="231" w:lineRule="auto"/>
        <w:tabs>
          <w:tab w:leader="none" w:pos="9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 from any amount otherwise payable in cash (whether related to the award or otherwise) to the participant (or the participant’s personal representative or beneficiary, as the case may be) the minimum amount of any taxes which the Corporation or one of its Subsidiaries may be required to withhold with respect to such award event or payment.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any case where a tax is required to be withheld in connection with the delivery of shares of Common Stock under this Plan, the Administrator</w:t>
      </w:r>
    </w:p>
    <w:p>
      <w:pPr>
        <w:spacing w:after="0" w:line="2" w:lineRule="exact"/>
        <w:rPr>
          <w:sz w:val="20"/>
          <w:szCs w:val="20"/>
          <w:color w:val="auto"/>
        </w:rPr>
      </w:pPr>
    </w:p>
    <w:p>
      <w:pPr>
        <w:jc w:val="both"/>
        <w:ind w:left="320"/>
        <w:spacing w:after="0" w:line="208" w:lineRule="auto"/>
        <w:rPr>
          <w:sz w:val="20"/>
          <w:szCs w:val="20"/>
          <w:color w:val="auto"/>
        </w:rPr>
      </w:pPr>
      <w:r>
        <w:rPr>
          <w:rFonts w:ascii="Times New Roman" w:cs="Times New Roman" w:eastAsia="Times New Roman" w:hAnsi="Times New Roman"/>
          <w:sz w:val="18"/>
          <w:szCs w:val="18"/>
          <w:color w:val="auto"/>
        </w:rPr>
        <w:t>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w:t>
      </w:r>
    </w:p>
    <w:p>
      <w:pPr>
        <w:spacing w:after="0" w:line="2" w:lineRule="exact"/>
        <w:rPr>
          <w:sz w:val="20"/>
          <w:szCs w:val="20"/>
          <w:color w:val="auto"/>
        </w:rPr>
      </w:pPr>
    </w:p>
    <w:p>
      <w:pPr>
        <w:jc w:val="both"/>
        <w:ind w:left="320"/>
        <w:spacing w:after="0" w:line="208" w:lineRule="auto"/>
        <w:rPr>
          <w:sz w:val="20"/>
          <w:szCs w:val="20"/>
          <w:color w:val="auto"/>
        </w:rPr>
      </w:pPr>
      <w:r>
        <w:rPr>
          <w:rFonts w:ascii="Times New Roman" w:cs="Times New Roman" w:eastAsia="Times New Roman" w:hAnsi="Times New Roman"/>
          <w:sz w:val="18"/>
          <w:szCs w:val="18"/>
          <w:color w:val="auto"/>
        </w:rPr>
        <w:t>in accordance with authorized procedures for cashless exercises, necessary to satisfy the applicable withholding obligation on exercise, vesting or payment. Shares of Common Stock to be delivered or withheld may not have an aggregate Fair Market Value in excess of the amount determined by applying the minimum statutory withholding rate (or, if permitted by the Corporation, such other rate as will not cause adverse accounting</w:t>
      </w:r>
    </w:p>
    <w:p>
      <w:pPr>
        <w:spacing w:after="0" w:line="2" w:lineRule="exact"/>
        <w:rPr>
          <w:sz w:val="20"/>
          <w:szCs w:val="20"/>
          <w:color w:val="auto"/>
        </w:rPr>
      </w:pPr>
    </w:p>
    <w:p>
      <w:pPr>
        <w:jc w:val="both"/>
        <w:ind w:left="320" w:right="20"/>
        <w:spacing w:after="0" w:line="226" w:lineRule="auto"/>
        <w:rPr>
          <w:sz w:val="20"/>
          <w:szCs w:val="20"/>
          <w:color w:val="auto"/>
        </w:rPr>
      </w:pPr>
      <w:r>
        <w:rPr>
          <w:rFonts w:ascii="Times New Roman" w:cs="Times New Roman" w:eastAsia="Times New Roman" w:hAnsi="Times New Roman"/>
          <w:sz w:val="18"/>
          <w:szCs w:val="18"/>
          <w:color w:val="auto"/>
        </w:rPr>
        <w:t>consequences under generally accepted accounting principles then in effect). Any fraction of a share of Common Stock which would be required to satisfy such an obligation shall be disregarded and the remaining amount due shall be paid in cash by the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i w:val="1"/>
          <w:iCs w:val="1"/>
          <w:color w:val="auto"/>
        </w:rPr>
        <w:t>Effective Date, Termination and Suspension,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900"/>
          </w:cols>
          <w:pgMar w:left="660" w:top="1404" w:right="339" w:bottom="1440" w:gutter="0" w:footer="0" w:header="0"/>
        </w:sectPr>
      </w:pPr>
    </w:p>
    <w:bookmarkStart w:id="68" w:name="page69"/>
    <w:bookmarkEnd w:id="68"/>
    <w:p>
      <w:pPr>
        <w:jc w:val="right"/>
        <w:ind w:left="3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8.6.1.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is effective as of March 28, 2017, the date of its approval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for and subject to stockholder approval no later than twelve months after the Effective Date. Upon such stockholder approval, no</w:t>
      </w:r>
    </w:p>
    <w:p>
      <w:pPr>
        <w:jc w:val="both"/>
        <w:ind w:left="760"/>
        <w:spacing w:after="0" w:line="208" w:lineRule="auto"/>
        <w:rPr>
          <w:sz w:val="20"/>
          <w:szCs w:val="20"/>
          <w:color w:val="auto"/>
        </w:rPr>
      </w:pPr>
      <w:r>
        <w:rPr>
          <w:rFonts w:ascii="Times New Roman" w:cs="Times New Roman" w:eastAsia="Times New Roman" w:hAnsi="Times New Roman"/>
          <w:sz w:val="18"/>
          <w:szCs w:val="18"/>
          <w:color w:val="auto"/>
        </w:rPr>
        <w:t>further awards shall be granted under any Prior Plan. Unless earlier terminated by the Board, this Plan shall terminate at the close of business on the day before the tenth anniversary of the Effective Date. After the termination of this Plan either upon such stated expiration date or its earlier termination by the Board, no additional awards may be granted under this Plan, but previously granted awards (and the</w:t>
      </w:r>
    </w:p>
    <w:p>
      <w:pPr>
        <w:spacing w:after="0" w:line="2" w:lineRule="exact"/>
        <w:rPr>
          <w:sz w:val="20"/>
          <w:szCs w:val="20"/>
          <w:color w:val="auto"/>
        </w:rPr>
      </w:pPr>
    </w:p>
    <w:p>
      <w:pPr>
        <w:jc w:val="both"/>
        <w:ind w:left="760"/>
        <w:spacing w:after="0" w:line="226" w:lineRule="auto"/>
        <w:rPr>
          <w:sz w:val="20"/>
          <w:szCs w:val="20"/>
          <w:color w:val="auto"/>
        </w:rPr>
      </w:pPr>
      <w:r>
        <w:rPr>
          <w:rFonts w:ascii="Times New Roman" w:cs="Times New Roman" w:eastAsia="Times New Roman" w:hAnsi="Times New Roman"/>
          <w:sz w:val="18"/>
          <w:szCs w:val="18"/>
          <w:color w:val="auto"/>
        </w:rPr>
        <w:t>authority of the Administrator with respect thereto, including the authority to amend such awards) shall remain outstanding in accordance with their applicable terms and conditions and the terms and conditions of this Plan.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8.6.2. </w:t>
      </w:r>
      <w:r>
        <w:rPr>
          <w:rFonts w:ascii="Times New Roman" w:cs="Times New Roman" w:eastAsia="Times New Roman" w:hAnsi="Times New Roman"/>
          <w:sz w:val="18"/>
          <w:szCs w:val="18"/>
          <w:b w:val="1"/>
          <w:bCs w:val="1"/>
          <w:i w:val="1"/>
          <w:iCs w:val="1"/>
          <w:color w:val="auto"/>
        </w:rPr>
        <w:t>Board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at any time, terminate or, from time to time, amend, modify or suspend this Plan, in whole or in part.</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awards may be granted during any period that the Board suspends this Plan.</w:t>
      </w:r>
    </w:p>
    <w:p>
      <w:pPr>
        <w:spacing w:after="0" w:line="188" w:lineRule="exact"/>
        <w:rPr>
          <w:sz w:val="20"/>
          <w:szCs w:val="20"/>
          <w:color w:val="auto"/>
        </w:rPr>
      </w:pPr>
    </w:p>
    <w:p>
      <w:pPr>
        <w:jc w:val="right"/>
        <w:ind w:left="3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8.6.3. </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then required by applicable law or any applicable listing agency or required under Sections 422 or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to preserve the intended tax consequences of this Plan, or deemed necessary or advisable by the Board, any amendment to this</w:t>
      </w:r>
    </w:p>
    <w:p>
      <w:pPr>
        <w:ind w:left="760"/>
        <w:spacing w:after="0"/>
        <w:rPr>
          <w:sz w:val="20"/>
          <w:szCs w:val="20"/>
          <w:color w:val="auto"/>
        </w:rPr>
      </w:pPr>
      <w:r>
        <w:rPr>
          <w:rFonts w:ascii="Times New Roman" w:cs="Times New Roman" w:eastAsia="Times New Roman" w:hAnsi="Times New Roman"/>
          <w:sz w:val="18"/>
          <w:szCs w:val="18"/>
          <w:color w:val="auto"/>
        </w:rPr>
        <w:t>Plan shall be subject to stockholder approval.</w:t>
      </w:r>
    </w:p>
    <w:p>
      <w:pPr>
        <w:spacing w:after="0" w:line="188" w:lineRule="exact"/>
        <w:rPr>
          <w:sz w:val="20"/>
          <w:szCs w:val="20"/>
          <w:color w:val="auto"/>
        </w:rPr>
      </w:pPr>
    </w:p>
    <w:p>
      <w:pPr>
        <w:jc w:val="right"/>
        <w:ind w:left="3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8.6.4. </w:t>
      </w:r>
      <w:r>
        <w:rPr>
          <w:rFonts w:ascii="Times New Roman" w:cs="Times New Roman" w:eastAsia="Times New Roman" w:hAnsi="Times New Roman"/>
          <w:sz w:val="18"/>
          <w:szCs w:val="18"/>
          <w:b w:val="1"/>
          <w:bCs w:val="1"/>
          <w:i w:val="1"/>
          <w:iCs w:val="1"/>
          <w:color w:val="auto"/>
        </w:rPr>
        <w:t>Amendments to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any other express authority of the Administrator under (but subject to) the express limits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Administrator by agreement or resolution may waive conditions of or limitations on awards to participants that the Administrator</w:t>
      </w:r>
    </w:p>
    <w:p>
      <w:pPr>
        <w:jc w:val="both"/>
        <w:ind w:left="760"/>
        <w:spacing w:after="0" w:line="218" w:lineRule="auto"/>
        <w:rPr>
          <w:sz w:val="20"/>
          <w:szCs w:val="20"/>
          <w:color w:val="auto"/>
        </w:rPr>
      </w:pPr>
      <w:r>
        <w:rPr>
          <w:rFonts w:ascii="Times New Roman" w:cs="Times New Roman" w:eastAsia="Times New Roman" w:hAnsi="Times New Roman"/>
          <w:sz w:val="18"/>
          <w:szCs w:val="18"/>
          <w:color w:val="auto"/>
        </w:rPr>
        <w:t>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p>
      <w:pPr>
        <w:spacing w:after="0" w:line="195" w:lineRule="exact"/>
        <w:rPr>
          <w:sz w:val="20"/>
          <w:szCs w:val="20"/>
          <w:color w:val="auto"/>
        </w:rPr>
      </w:pPr>
    </w:p>
    <w:p>
      <w:pPr>
        <w:jc w:val="both"/>
        <w:ind w:left="760" w:hanging="453"/>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8.6.5. </w:t>
      </w:r>
      <w:r>
        <w:rPr>
          <w:rFonts w:ascii="Times New Roman" w:cs="Times New Roman" w:eastAsia="Times New Roman" w:hAnsi="Times New Roman"/>
          <w:sz w:val="18"/>
          <w:szCs w:val="18"/>
          <w:b w:val="1"/>
          <w:bCs w:val="1"/>
          <w:i w:val="1"/>
          <w:iCs w:val="1"/>
          <w:color w:val="auto"/>
        </w:rPr>
        <w:t>Limitations on Amendments to Plan and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suspension or termination of this Plan or amendment of any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shall, without written consent of the participant, affect in any manner materially adverse to the participant any rights or benefits of the participant or obligations of the Corporation under any award granted under this Plan prior to the effective date of such</w:t>
      </w:r>
    </w:p>
    <w:p>
      <w:pPr>
        <w:spacing w:after="0" w:line="3" w:lineRule="exact"/>
        <w:rPr>
          <w:sz w:val="20"/>
          <w:szCs w:val="20"/>
          <w:color w:val="auto"/>
        </w:rPr>
      </w:pPr>
    </w:p>
    <w:p>
      <w:pPr>
        <w:ind w:left="760"/>
        <w:spacing w:after="0" w:line="226" w:lineRule="auto"/>
        <w:rPr>
          <w:sz w:val="20"/>
          <w:szCs w:val="20"/>
          <w:color w:val="auto"/>
        </w:rPr>
      </w:pPr>
      <w:r>
        <w:rPr>
          <w:rFonts w:ascii="Times New Roman" w:cs="Times New Roman" w:eastAsia="Times New Roman" w:hAnsi="Times New Roman"/>
          <w:sz w:val="18"/>
          <w:szCs w:val="18"/>
          <w:color w:val="auto"/>
        </w:rPr>
        <w:t>change. Changes, settlements and other actions contemplated by Section 7 shall not be deemed to constitute changes or amendments for purposes of this Section 8.6.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i w:val="1"/>
          <w:iCs w:val="1"/>
          <w:color w:val="auto"/>
        </w:rPr>
        <w:t>Privileges of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expressly authorized by the Administrator, a participant shall not be entitled to any privilege</w:t>
      </w:r>
    </w:p>
    <w:p>
      <w:pPr>
        <w:spacing w:after="0" w:line="6" w:lineRule="exact"/>
        <w:rPr>
          <w:sz w:val="20"/>
          <w:szCs w:val="20"/>
          <w:color w:val="auto"/>
        </w:rPr>
      </w:pPr>
    </w:p>
    <w:p>
      <w:pPr>
        <w:jc w:val="both"/>
        <w:ind w:left="380"/>
        <w:spacing w:after="0" w:line="218" w:lineRule="auto"/>
        <w:rPr>
          <w:sz w:val="20"/>
          <w:szCs w:val="20"/>
          <w:color w:val="auto"/>
        </w:rPr>
      </w:pPr>
      <w:r>
        <w:rPr>
          <w:rFonts w:ascii="Times New Roman" w:cs="Times New Roman" w:eastAsia="Times New Roman" w:hAnsi="Times New Roman"/>
          <w:sz w:val="18"/>
          <w:szCs w:val="18"/>
          <w:color w:val="auto"/>
        </w:rPr>
        <w:t>of stock ownership as to any shares of Common Stock not actually delivered to and held of record by the participant (subject to the last sentence of Section 5.1.4). Except as expressly required by Section 7.1 or otherwise expressly provided by the Administrator, no adjustment will be made for dividends or other rights as a stockholder for which a record date is prior to such date of delivery.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i w:val="1"/>
          <w:iCs w:val="1"/>
          <w:color w:val="auto"/>
        </w:rPr>
        <w:t>Governing Law; Construction; Severability.</w:t>
      </w:r>
    </w:p>
    <w:p>
      <w:pPr>
        <w:spacing w:after="0" w:line="212" w:lineRule="exact"/>
        <w:rPr>
          <w:sz w:val="20"/>
          <w:szCs w:val="20"/>
          <w:color w:val="auto"/>
        </w:rPr>
      </w:pPr>
    </w:p>
    <w:p>
      <w:pPr>
        <w:ind w:left="760" w:hanging="45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8.8.1. </w:t>
      </w:r>
      <w:r>
        <w:rPr>
          <w:rFonts w:ascii="Times New Roman" w:cs="Times New Roman" w:eastAsia="Times New Roman" w:hAnsi="Times New Roman"/>
          <w:sz w:val="18"/>
          <w:szCs w:val="18"/>
          <w:b w:val="1"/>
          <w:bCs w:val="1"/>
          <w:i w:val="1"/>
          <w:iCs w:val="1"/>
          <w:color w:val="auto"/>
        </w:rPr>
        <w:t>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the awards, all documents evidencing awards and all other related documents shall be governed by, and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laws of the State of Delaware.</w:t>
      </w:r>
    </w:p>
    <w:p>
      <w:pPr>
        <w:spacing w:after="0" w:line="195" w:lineRule="exact"/>
        <w:rPr>
          <w:sz w:val="20"/>
          <w:szCs w:val="20"/>
          <w:color w:val="auto"/>
        </w:rPr>
      </w:pPr>
    </w:p>
    <w:p>
      <w:pPr>
        <w:ind w:left="760" w:hanging="45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8.8.2.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court of competent jurisdiction holds any provision invalid and unenforceable, the remaining provisions of this 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in effect.</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8.8.3. </w:t>
      </w:r>
      <w:r>
        <w:rPr>
          <w:rFonts w:ascii="Times New Roman" w:cs="Times New Roman" w:eastAsia="Times New Roman" w:hAnsi="Times New Roman"/>
          <w:sz w:val="18"/>
          <w:szCs w:val="18"/>
          <w:b w:val="1"/>
          <w:bCs w:val="1"/>
          <w:i w:val="1"/>
          <w:iCs w:val="1"/>
          <w:color w:val="auto"/>
        </w:rPr>
        <w:t>Plan Construction.</w:t>
      </w:r>
    </w:p>
    <w:p>
      <w:pPr>
        <w:spacing w:after="0" w:line="229" w:lineRule="exact"/>
        <w:rPr>
          <w:sz w:val="20"/>
          <w:szCs w:val="20"/>
          <w:color w:val="auto"/>
        </w:rPr>
      </w:pPr>
    </w:p>
    <w:p>
      <w:pPr>
        <w:jc w:val="both"/>
        <w:ind w:left="960" w:hanging="579"/>
        <w:spacing w:after="0" w:line="220"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It is the intent of the Corporation that the awards and transactions permitted by awards be interpreted in a manner that, in the case of participants who are or may be subject to Section 16 of the Exchange Act, qualify, to the maximum extent compatible with the express terms of the award, for exemption from matching liability under Rule 16b-3 promulgated under the Exchange Act. Notwithstanding the foregoing, the Corporation shall have no liability to any participant for Section 16 consequences of awards or events under awards if an award or event does not so qualify.</w:t>
      </w:r>
    </w:p>
    <w:p>
      <w:pPr>
        <w:spacing w:after="0" w:line="185" w:lineRule="exact"/>
        <w:rPr>
          <w:rFonts w:ascii="Times New Roman" w:cs="Times New Roman" w:eastAsia="Times New Roman" w:hAnsi="Times New Roman"/>
          <w:sz w:val="18"/>
          <w:szCs w:val="18"/>
          <w:color w:val="auto"/>
        </w:rPr>
      </w:pPr>
    </w:p>
    <w:p>
      <w:pPr>
        <w:jc w:val="both"/>
        <w:ind w:left="960" w:hanging="579"/>
        <w:spacing w:after="0" w:line="231" w:lineRule="auto"/>
        <w:tabs>
          <w:tab w:leader="none" w:pos="9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intended that the provisions of the Plan comply with, or be exempt from, Section 409A of the Code, and all provisions of the Plan shall be construed and interpreted in a manner consistent with the requirements for avoiding taxes or penalties under Section 409A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900"/>
          </w:cols>
          <w:pgMar w:left="660" w:top="1400" w:right="339" w:bottom="1440" w:gutter="0" w:footer="0" w:header="0"/>
        </w:sectPr>
      </w:pPr>
    </w:p>
    <w:bookmarkStart w:id="69" w:name="page70"/>
    <w:bookmarkEnd w:id="69"/>
    <w:p>
      <w:pPr>
        <w:jc w:val="both"/>
        <w:ind w:left="960"/>
        <w:spacing w:after="0" w:line="222" w:lineRule="auto"/>
        <w:rPr>
          <w:sz w:val="20"/>
          <w:szCs w:val="20"/>
          <w:color w:val="auto"/>
        </w:rPr>
      </w:pPr>
      <w:r>
        <w:rPr>
          <w:rFonts w:ascii="Times New Roman" w:cs="Times New Roman" w:eastAsia="Times New Roman" w:hAnsi="Times New Roman"/>
          <w:sz w:val="18"/>
          <w:szCs w:val="18"/>
          <w:color w:val="auto"/>
        </w:rPr>
        <w:t>Code. If, at the time of a participant’s “separation from service” (within the meaning of Section 409A of the Code), (i) such participant shall be a specified employee (within the meaning of Section 409A of the Code and using the identification methodology selected by the</w:t>
      </w:r>
    </w:p>
    <w:p>
      <w:pPr>
        <w:spacing w:after="0" w:line="2" w:lineRule="exact"/>
        <w:rPr>
          <w:sz w:val="20"/>
          <w:szCs w:val="20"/>
          <w:color w:val="auto"/>
        </w:rPr>
      </w:pPr>
    </w:p>
    <w:p>
      <w:pPr>
        <w:jc w:val="both"/>
        <w:ind w:left="960"/>
        <w:spacing w:after="0" w:line="208" w:lineRule="auto"/>
        <w:rPr>
          <w:sz w:val="20"/>
          <w:szCs w:val="20"/>
          <w:color w:val="auto"/>
        </w:rPr>
      </w:pPr>
      <w:r>
        <w:rPr>
          <w:rFonts w:ascii="Times New Roman" w:cs="Times New Roman" w:eastAsia="Times New Roman" w:hAnsi="Times New Roman"/>
          <w:sz w:val="18"/>
          <w:szCs w:val="18"/>
          <w:color w:val="auto"/>
        </w:rPr>
        <w:t>Corporation from time to time) and (ii) the Corporation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w:t>
      </w:r>
    </w:p>
    <w:p>
      <w:pPr>
        <w:spacing w:after="0" w:line="2" w:lineRule="exact"/>
        <w:rPr>
          <w:sz w:val="20"/>
          <w:szCs w:val="20"/>
          <w:color w:val="auto"/>
        </w:rPr>
      </w:pPr>
    </w:p>
    <w:p>
      <w:pPr>
        <w:jc w:val="both"/>
        <w:ind w:left="960"/>
        <w:spacing w:after="0" w:line="208" w:lineRule="auto"/>
        <w:rPr>
          <w:sz w:val="20"/>
          <w:szCs w:val="20"/>
          <w:color w:val="auto"/>
        </w:rPr>
      </w:pPr>
      <w:r>
        <w:rPr>
          <w:rFonts w:ascii="Times New Roman" w:cs="Times New Roman" w:eastAsia="Times New Roman" w:hAnsi="Times New Roman"/>
          <w:sz w:val="18"/>
          <w:szCs w:val="18"/>
          <w:color w:val="auto"/>
        </w:rPr>
        <w:t>Section 409A of the Code, then the Corporation shall not pay such amount on the otherwise scheduled payment date but shall instead pay it on the first business day after such six-month period. Such amount shall be paid without interest, unless otherwise determined by the Administrator, in its sole discretion, or as otherwise provided in any applicable award agreement between the Corporation and the</w:t>
      </w:r>
    </w:p>
    <w:p>
      <w:pPr>
        <w:spacing w:after="0" w:line="2" w:lineRule="exact"/>
        <w:rPr>
          <w:sz w:val="20"/>
          <w:szCs w:val="20"/>
          <w:color w:val="auto"/>
        </w:rPr>
      </w:pPr>
    </w:p>
    <w:p>
      <w:pPr>
        <w:jc w:val="both"/>
        <w:ind w:left="960"/>
        <w:spacing w:after="0" w:line="208" w:lineRule="auto"/>
        <w:rPr>
          <w:sz w:val="20"/>
          <w:szCs w:val="20"/>
          <w:color w:val="auto"/>
        </w:rPr>
      </w:pPr>
      <w:r>
        <w:rPr>
          <w:rFonts w:ascii="Times New Roman" w:cs="Times New Roman" w:eastAsia="Times New Roman" w:hAnsi="Times New Roman"/>
          <w:sz w:val="18"/>
          <w:szCs w:val="18"/>
          <w:color w:val="auto"/>
        </w:rPr>
        <w:t>relevant participant. Notwithstanding any provision of the Plan to the contrary, in light of the uncertainty with respect to the proper application of Section 409A of the Code, the Corporation reserves the right to make amendments to any award as the Corporation deems necessary or desirable to avoid the imposition of taxes or penalties under Section 409A of the Code. In any case, a participant shall be</w:t>
      </w:r>
    </w:p>
    <w:p>
      <w:pPr>
        <w:spacing w:after="0" w:line="2" w:lineRule="exact"/>
        <w:rPr>
          <w:sz w:val="20"/>
          <w:szCs w:val="20"/>
          <w:color w:val="auto"/>
        </w:rPr>
      </w:pPr>
    </w:p>
    <w:p>
      <w:pPr>
        <w:jc w:val="both"/>
        <w:ind w:left="960"/>
        <w:spacing w:after="0" w:line="208" w:lineRule="auto"/>
        <w:rPr>
          <w:sz w:val="20"/>
          <w:szCs w:val="20"/>
          <w:color w:val="auto"/>
        </w:rPr>
      </w:pPr>
      <w:r>
        <w:rPr>
          <w:rFonts w:ascii="Times New Roman" w:cs="Times New Roman" w:eastAsia="Times New Roman" w:hAnsi="Times New Roman"/>
          <w:sz w:val="18"/>
          <w:szCs w:val="18"/>
          <w:color w:val="auto"/>
        </w:rPr>
        <w:t>solely responsible and liable for the satisfaction of all taxes and penalties that may be imposed on such participant or for such participant’s account in connection with an award (including any taxes and penalties under Section 409A of the Code), and neither the Corporation nor any of its affiliates shall have any obligation to indemnify or otherwise hold such participant harmless from any or all of</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such taxes or penalties.</w:t>
      </w:r>
    </w:p>
    <w:p>
      <w:pPr>
        <w:spacing w:after="0" w:line="188" w:lineRule="exact"/>
        <w:rPr>
          <w:sz w:val="20"/>
          <w:szCs w:val="20"/>
          <w:color w:val="auto"/>
        </w:rPr>
      </w:pPr>
    </w:p>
    <w:p>
      <w:pPr>
        <w:jc w:val="both"/>
        <w:ind w:left="380" w:hanging="38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i w:val="1"/>
          <w:iCs w:val="1"/>
          <w:color w:val="auto"/>
        </w:rPr>
        <w:t>Captions.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and headings are given to the sections and subsections of this Plan solely as a convenience to facilitate reference.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headings </w:t>
      </w:r>
      <w:r>
        <w:rPr>
          <w:rFonts w:ascii="Times New Roman" w:cs="Times New Roman" w:eastAsia="Times New Roman" w:hAnsi="Times New Roman"/>
          <w:sz w:val="18"/>
          <w:szCs w:val="18"/>
          <w:color w:val="auto"/>
        </w:rPr>
        <w:t>shall not be deemed in any way material or relevant to the construction or interpretation of this Plan or any provision thereof.</w:t>
      </w:r>
    </w:p>
    <w:p>
      <w:pPr>
        <w:spacing w:after="0" w:line="195" w:lineRule="exact"/>
        <w:rPr>
          <w:sz w:val="20"/>
          <w:szCs w:val="20"/>
          <w:color w:val="auto"/>
        </w:rPr>
      </w:pPr>
    </w:p>
    <w:p>
      <w:pPr>
        <w:jc w:val="both"/>
        <w:ind w:left="380" w:hanging="38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8.8. </w:t>
      </w:r>
      <w:r>
        <w:rPr>
          <w:rFonts w:ascii="Times New Roman" w:cs="Times New Roman" w:eastAsia="Times New Roman" w:hAnsi="Times New Roman"/>
          <w:sz w:val="18"/>
          <w:szCs w:val="18"/>
          <w:b w:val="1"/>
          <w:bCs w:val="1"/>
          <w:i w:val="1"/>
          <w:iCs w:val="1"/>
          <w:color w:val="auto"/>
        </w:rPr>
        <w:t>Stock-Based Awards in Substitution for Stock Options or Awards Granted by Other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may be granted to Eligible Persons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w:t>
      </w:r>
    </w:p>
    <w:p>
      <w:pPr>
        <w:spacing w:after="0" w:line="3"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only adjustments giving effect to the assumption or substitution</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consistent with the conversion applicable to the Common Stock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by an acquired company (or previously granted by a predecessor employer (or direct or</w:t>
      </w:r>
    </w:p>
    <w:p>
      <w:pPr>
        <w:spacing w:after="0" w:line="2" w:lineRule="exact"/>
        <w:rPr>
          <w:sz w:val="20"/>
          <w:szCs w:val="20"/>
          <w:color w:val="auto"/>
        </w:rPr>
      </w:pPr>
    </w:p>
    <w:p>
      <w:pPr>
        <w:jc w:val="both"/>
        <w:ind w:left="380"/>
        <w:spacing w:after="0" w:line="218" w:lineRule="auto"/>
        <w:rPr>
          <w:sz w:val="20"/>
          <w:szCs w:val="20"/>
          <w:color w:val="auto"/>
        </w:rPr>
      </w:pPr>
      <w:r>
        <w:rPr>
          <w:rFonts w:ascii="Times New Roman" w:cs="Times New Roman" w:eastAsia="Times New Roman" w:hAnsi="Times New Roman"/>
          <w:sz w:val="18"/>
          <w:szCs w:val="18"/>
          <w:color w:val="auto"/>
        </w:rPr>
        <w:t>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95" w:lineRule="exact"/>
        <w:rPr>
          <w:sz w:val="20"/>
          <w:szCs w:val="20"/>
          <w:color w:val="auto"/>
        </w:rPr>
      </w:pPr>
    </w:p>
    <w:p>
      <w:pPr>
        <w:ind w:left="380" w:hanging="38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8.9. </w:t>
      </w:r>
      <w:r>
        <w:rPr>
          <w:rFonts w:ascii="Times New Roman" w:cs="Times New Roman" w:eastAsia="Times New Roman" w:hAnsi="Times New Roman"/>
          <w:sz w:val="18"/>
          <w:szCs w:val="18"/>
          <w:b w:val="1"/>
          <w:bCs w:val="1"/>
          <w:i w:val="1"/>
          <w:iCs w:val="1"/>
          <w:color w:val="auto"/>
        </w:rPr>
        <w:t>Non-Exclusivity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Plan shall limit or be deemed to limit the authority of the Board or the Administrator to grant awards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any other compensation, with or without reference to the Common Stock, under any other plan or authority.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No Corporate Action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existence of this Plan, the award agreements and the awards granted hereunder shall not limit, affect or</w:t>
      </w:r>
    </w:p>
    <w:p>
      <w:pPr>
        <w:spacing w:after="0" w:line="6"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restrict in any way the right or power of the Board or the stockholders of the Corporation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w:t>
      </w:r>
    </w:p>
    <w:p>
      <w:pPr>
        <w:spacing w:after="0" w:line="2" w:lineRule="exact"/>
        <w:rPr>
          <w:sz w:val="20"/>
          <w:szCs w:val="20"/>
          <w:color w:val="auto"/>
        </w:rPr>
      </w:pPr>
    </w:p>
    <w:p>
      <w:pPr>
        <w:jc w:val="both"/>
        <w:ind w:left="380"/>
        <w:spacing w:after="0" w:line="208" w:lineRule="auto"/>
        <w:rPr>
          <w:sz w:val="20"/>
          <w:szCs w:val="20"/>
          <w:color w:val="auto"/>
        </w:rPr>
      </w:pPr>
      <w:r>
        <w:rPr>
          <w:rFonts w:ascii="Times New Roman" w:cs="Times New Roman" w:eastAsia="Times New Roman" w:hAnsi="Times New Roman"/>
          <w:sz w:val="18"/>
          <w:szCs w:val="18"/>
          <w:color w:val="auto"/>
        </w:rPr>
        <w:t>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or (f) any other corporate act or proceeding by the Corporation or any Subsidiary. No participant, beneficiary or</w:t>
      </w:r>
    </w:p>
    <w:p>
      <w:pPr>
        <w:spacing w:after="0" w:line="2" w:lineRule="exact"/>
        <w:rPr>
          <w:sz w:val="20"/>
          <w:szCs w:val="20"/>
          <w:color w:val="auto"/>
        </w:rPr>
      </w:pPr>
    </w:p>
    <w:p>
      <w:pPr>
        <w:jc w:val="both"/>
        <w:ind w:left="380" w:right="20"/>
        <w:spacing w:after="0" w:line="226" w:lineRule="auto"/>
        <w:rPr>
          <w:sz w:val="20"/>
          <w:szCs w:val="20"/>
          <w:color w:val="auto"/>
        </w:rPr>
      </w:pPr>
      <w:r>
        <w:rPr>
          <w:rFonts w:ascii="Times New Roman" w:cs="Times New Roman" w:eastAsia="Times New Roman" w:hAnsi="Times New Roman"/>
          <w:sz w:val="18"/>
          <w:szCs w:val="18"/>
          <w:color w:val="auto"/>
        </w:rPr>
        <w:t>any other person shall have any claim under any award or award agreement against any member of the Board or the Administrator, or the Corporation or any employees, officers or agents of the Corporation or any Subsidiary, as a result of any such 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Other Company Benefit and Compensation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and other benefits received by a participant under an award made pursuant to</w:t>
      </w:r>
    </w:p>
    <w:p>
      <w:pPr>
        <w:spacing w:after="0" w:line="6" w:lineRule="exact"/>
        <w:rPr>
          <w:sz w:val="20"/>
          <w:szCs w:val="20"/>
          <w:color w:val="auto"/>
        </w:rPr>
      </w:pPr>
    </w:p>
    <w:p>
      <w:pPr>
        <w:jc w:val="both"/>
        <w:ind w:left="380"/>
        <w:spacing w:after="0" w:line="218" w:lineRule="auto"/>
        <w:rPr>
          <w:sz w:val="20"/>
          <w:szCs w:val="20"/>
          <w:color w:val="auto"/>
        </w:rPr>
      </w:pPr>
      <w:r>
        <w:rPr>
          <w:rFonts w:ascii="Times New Roman" w:cs="Times New Roman" w:eastAsia="Times New Roman" w:hAnsi="Times New Roman"/>
          <w:sz w:val="18"/>
          <w:szCs w:val="18"/>
          <w:color w:val="auto"/>
        </w:rPr>
        <w:t>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900"/>
          </w:cols>
          <w:pgMar w:left="660" w:top="1404" w:right="339" w:bottom="1440" w:gutter="0" w:footer="0" w:header="0"/>
        </w:sectPr>
      </w:pPr>
    </w:p>
    <w:bookmarkStart w:id="70" w:name="page71"/>
    <w:bookmarkEnd w:id="70"/>
    <w:p>
      <w:pPr>
        <w:ind w:left="380"/>
        <w:spacing w:after="0" w:line="237" w:lineRule="auto"/>
        <w:rPr>
          <w:sz w:val="20"/>
          <w:szCs w:val="20"/>
          <w:color w:val="auto"/>
        </w:rPr>
      </w:pPr>
      <w:r>
        <w:rPr>
          <w:rFonts w:ascii="Times New Roman" w:cs="Times New Roman" w:eastAsia="Times New Roman" w:hAnsi="Times New Roman"/>
          <w:sz w:val="18"/>
          <w:szCs w:val="18"/>
          <w:color w:val="auto"/>
        </w:rPr>
        <w:t>in addition to, in combination with, as alternatives to or in payment of grants, awards or commitments under any other plans or arrangements of the Corporation or its Subsidiaries.</w:t>
      </w:r>
    </w:p>
    <w:p>
      <w:pPr>
        <w:spacing w:after="0" w:line="195" w:lineRule="exact"/>
        <w:rPr>
          <w:sz w:val="20"/>
          <w:szCs w:val="20"/>
          <w:color w:val="auto"/>
        </w:rPr>
      </w:pPr>
    </w:p>
    <w:p>
      <w:pPr>
        <w:jc w:val="both"/>
        <w:ind w:left="380" w:hanging="38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awards granted under this Plan are subject to the terms of the Corporation’s recoupment, clawback or similar policy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in effect from time to time, as well as any similar provisions of applicable law, any of which could in certain circumstances require repayment or forfeiture of awards or any shares of Common Stock or other cash or property received with respect to the awards (including any</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value received from a disposition of the shares acquired upon payment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900"/>
          </w:cols>
          <w:pgMar w:left="660" w:top="140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210820</wp:posOffset>
            </wp:positionV>
            <wp:extent cx="1285875"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TRANSITION, SEPARATION AND CONSULTATION AGREEMENT</w:t>
      </w:r>
    </w:p>
    <w:p>
      <w:pPr>
        <w:spacing w:after="0" w:line="285"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1"/>
          <w:szCs w:val="21"/>
          <w:color w:val="auto"/>
        </w:rPr>
        <w:t>This Employment Transition, Separation and Consultation Agreement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between Nektar Therapeutics, a Delaware corporation, defined to include its affiliated companies (including subsidiaries), employees, officers, directors, managers, agents, and shareholders, successors, assigns, and representatives (collectively,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JOHN NORTHCOTT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(hereafter “</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your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(collectively with the Company,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220" w:right="620" w:hanging="1214"/>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April 25, 2022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t>
      </w:r>
      <w:r>
        <w:rPr>
          <w:rFonts w:ascii="Times New Roman" w:cs="Times New Roman" w:eastAsia="Times New Roman" w:hAnsi="Times New Roman"/>
          <w:sz w:val="22"/>
          <w:szCs w:val="22"/>
          <w:b w:val="1"/>
          <w:bCs w:val="1"/>
          <w:i w:val="1"/>
          <w:iCs w:val="1"/>
          <w:color w:val="auto"/>
        </w:rPr>
        <w:t>Notice Date</w:t>
      </w:r>
      <w:r>
        <w:rPr>
          <w:rFonts w:ascii="Times New Roman" w:cs="Times New Roman" w:eastAsia="Times New Roman" w:hAnsi="Times New Roman"/>
          <w:sz w:val="22"/>
          <w:szCs w:val="22"/>
          <w:color w:val="auto"/>
        </w:rPr>
        <w:t>”), you were provided notice that your last day of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will be </w:t>
      </w:r>
      <w:r>
        <w:rPr>
          <w:rFonts w:ascii="Times New Roman" w:cs="Times New Roman" w:eastAsia="Times New Roman" w:hAnsi="Times New Roman"/>
          <w:sz w:val="22"/>
          <w:szCs w:val="22"/>
          <w:u w:val="single" w:color="auto"/>
          <w:color w:val="auto"/>
        </w:rPr>
        <w:t>June 30, 2022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and</w:t>
      </w:r>
    </w:p>
    <w:p>
      <w:pPr>
        <w:spacing w:after="0" w:line="146" w:lineRule="exact"/>
        <w:rPr>
          <w:sz w:val="20"/>
          <w:szCs w:val="20"/>
          <w:color w:val="auto"/>
        </w:rPr>
      </w:pPr>
    </w:p>
    <w:p>
      <w:pPr>
        <w:ind w:left="1220" w:right="120" w:hanging="1214"/>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pursuant to the terms of this Agreement, the Parties intend to separate from their employment relationship,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intend to have you provide consulting services to the Company for a limited time to ensure the orderly transition of your duties and for the Company to receive the benefit of your executive leadership in helping guide the Company in it restructuring efforts, which Agreement also contemplates the execution of a standard release to resolve any and all disputes, claims, complaints, grievances, charges, actions, petitions, and demands that you may have against the Company and/or any of the Released Parties, as defined in the standard release, including, but not limited to, any and all claims arising out of or in any way related to your employment with or separation from the Company;</w:t>
      </w:r>
    </w:p>
    <w:p>
      <w:pPr>
        <w:spacing w:after="0" w:line="175"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NOW, </w:t>
      </w:r>
      <w:r>
        <w:rPr>
          <w:rFonts w:ascii="Times New Roman" w:cs="Times New Roman" w:eastAsia="Times New Roman" w:hAnsi="Times New Roman"/>
          <w:sz w:val="22"/>
          <w:szCs w:val="22"/>
          <w:color w:val="auto"/>
        </w:rPr>
        <w:t>for good and valuable consideration, the receipt and sufficiency of which are hereby acknowledged, the Parties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as follows:</w:t>
      </w:r>
    </w:p>
    <w:p>
      <w:pPr>
        <w:spacing w:after="0" w:line="173"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Services and Compensation During the Transition Period.</w:t>
      </w:r>
    </w:p>
    <w:p>
      <w:pPr>
        <w:spacing w:after="0" w:line="179" w:lineRule="exact"/>
        <w:rPr>
          <w:rFonts w:ascii="Times New Roman" w:cs="Times New Roman" w:eastAsia="Times New Roman" w:hAnsi="Times New Roman"/>
          <w:sz w:val="22"/>
          <w:szCs w:val="22"/>
          <w:b w:val="1"/>
          <w:bCs w:val="1"/>
          <w:color w:val="auto"/>
        </w:rPr>
      </w:pPr>
    </w:p>
    <w:p>
      <w:pPr>
        <w:ind w:left="660" w:firstLine="644"/>
        <w:spacing w:after="0" w:line="210" w:lineRule="auto"/>
        <w:tabs>
          <w:tab w:leader="none" w:pos="1826"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Transition Services During the Transition Period. </w:t>
      </w:r>
      <w:r>
        <w:rPr>
          <w:rFonts w:ascii="Times New Roman" w:cs="Times New Roman" w:eastAsia="Times New Roman" w:hAnsi="Times New Roman"/>
          <w:sz w:val="22"/>
          <w:szCs w:val="22"/>
          <w:color w:val="auto"/>
        </w:rPr>
        <w:t>From the Notice Date through the Separation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Period</w:t>
      </w:r>
      <w:r>
        <w:rPr>
          <w:rFonts w:ascii="Times New Roman" w:cs="Times New Roman" w:eastAsia="Times New Roman" w:hAnsi="Times New Roman"/>
          <w:sz w:val="22"/>
          <w:szCs w:val="22"/>
          <w:color w:val="auto"/>
        </w:rPr>
        <w:t>”), you will continue to carry out those duties assigned to you by your manager, with the understanding that those duties will include efforts to provide for the orderly transition of your duties and to help guide the Company in its restructuring efforts using your executive leadership. During the Transition Period, you shall continue to abide by that certain employment agreement, dated as of December 4, 2019, by and between you and the Company (the “</w:t>
      </w:r>
      <w:r>
        <w:rPr>
          <w:rFonts w:ascii="Times New Roman" w:cs="Times New Roman" w:eastAsia="Times New Roman" w:hAnsi="Times New Roman"/>
          <w:sz w:val="22"/>
          <w:szCs w:val="22"/>
          <w:b w:val="1"/>
          <w:bCs w:val="1"/>
          <w:i w:val="1"/>
          <w:i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as well as all of the Company’s policies and procedures in effect from time to time, and continue to perform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employment duties requested by your manager in good faith to the best of your abilities. Your employment with the Company during the Transition Period will continue and the compensation and benefits you receive during the Transition Period are not dependent upon you signing this Agreement. Your employment during the Transition Period does not alter your status as an at-will employee and does not constitute a guarantee of employment for any duration. Either you 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40"/>
          </w:cols>
          <w:pgMar w:left="320" w:top="1229" w:right="339" w:bottom="1440" w:gutter="0" w:footer="0" w:header="0"/>
        </w:sectPr>
      </w:pPr>
    </w:p>
    <w:bookmarkStart w:id="72" w:name="page73"/>
    <w:bookmarkEnd w:id="72"/>
    <w:p>
      <w:pPr>
        <w:jc w:val="both"/>
        <w:ind w:left="660" w:right="20"/>
        <w:spacing w:after="0" w:line="225" w:lineRule="auto"/>
        <w:rPr>
          <w:sz w:val="20"/>
          <w:szCs w:val="20"/>
          <w:color w:val="auto"/>
        </w:rPr>
      </w:pPr>
      <w:r>
        <w:rPr>
          <w:rFonts w:ascii="Times New Roman" w:cs="Times New Roman" w:eastAsia="Times New Roman" w:hAnsi="Times New Roman"/>
          <w:sz w:val="22"/>
          <w:szCs w:val="22"/>
          <w:color w:val="auto"/>
        </w:rPr>
        <w:t>may terminate your employment with the Company at any time, with or without advance notice, for any reason, provided, however, if you resign or otherwise terminate your employment with the Company prior to the Separation Date, you will not be eligible for the consideration set forth in Section 1 of the Standard Release (as defined below).</w:t>
      </w:r>
    </w:p>
    <w:p>
      <w:pPr>
        <w:spacing w:after="0" w:line="175" w:lineRule="exact"/>
        <w:rPr>
          <w:sz w:val="20"/>
          <w:szCs w:val="20"/>
          <w:color w:val="auto"/>
        </w:rPr>
      </w:pPr>
    </w:p>
    <w:p>
      <w:pPr>
        <w:ind w:left="660" w:right="80" w:firstLine="644"/>
        <w:spacing w:after="0" w:line="221" w:lineRule="auto"/>
        <w:tabs>
          <w:tab w:leader="none" w:pos="1788" w:val="left"/>
        </w:tabs>
        <w:numPr>
          <w:ilvl w:val="2"/>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Compensation and Benefits During the Transition Period. </w:t>
      </w:r>
      <w:r>
        <w:rPr>
          <w:rFonts w:ascii="Times New Roman" w:cs="Times New Roman" w:eastAsia="Times New Roman" w:hAnsi="Times New Roman"/>
          <w:sz w:val="21"/>
          <w:szCs w:val="21"/>
          <w:color w:val="auto"/>
        </w:rPr>
        <w:t>During the Transition Period, you will be 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your current semi-monthly base compensation in accordance with the Company’s normal payroll practices (which is subject to the usual, required deductions and withholdings). Accordingly, subject to the other provisions in this Agreement, you shall be entitled through the Separation Date to the same rights, benefits, equity, salary, and vesting of equity awards, under any employee benefit or compensation plan or program sponsored by Company or any of its parent, subsidiary or affiliated entities as (as such benefit, plan or program may be amended from time to time) that you were eligible for immediately prior to the Notice Date. You will not, however, be entitled to any cash bonuses (such as the annual bonus) or any further grants of performance equity awards (e.g., grants of stock options or restricted stock units) pursuant to the 2022 Performance Review Process (and any subsequent year’s performance review process) or other compensation or benefits following your Separation Date, except as provided by this Agreement.</w:t>
      </w:r>
    </w:p>
    <w:p>
      <w:pPr>
        <w:spacing w:after="0" w:line="179" w:lineRule="exact"/>
        <w:rPr>
          <w:rFonts w:ascii="Times New Roman" w:cs="Times New Roman" w:eastAsia="Times New Roman" w:hAnsi="Times New Roman"/>
          <w:sz w:val="21"/>
          <w:szCs w:val="21"/>
          <w:b w:val="1"/>
          <w:bCs w:val="1"/>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Separation from the Company.</w:t>
      </w:r>
    </w:p>
    <w:p>
      <w:pPr>
        <w:spacing w:after="0" w:line="206" w:lineRule="exact"/>
        <w:rPr>
          <w:rFonts w:ascii="Times New Roman" w:cs="Times New Roman" w:eastAsia="Times New Roman" w:hAnsi="Times New Roman"/>
          <w:sz w:val="22"/>
          <w:szCs w:val="22"/>
          <w:b w:val="1"/>
          <w:bCs w:val="1"/>
          <w:color w:val="auto"/>
        </w:rPr>
      </w:pPr>
    </w:p>
    <w:p>
      <w:pPr>
        <w:jc w:val="both"/>
        <w:ind w:left="660" w:right="220" w:hanging="220"/>
        <w:spacing w:after="0" w:line="227" w:lineRule="auto"/>
        <w:tabs>
          <w:tab w:leader="none" w:pos="912"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Date and Time of Separation. </w:t>
      </w:r>
      <w:r>
        <w:rPr>
          <w:rFonts w:ascii="Times New Roman" w:cs="Times New Roman" w:eastAsia="Times New Roman" w:hAnsi="Times New Roman"/>
          <w:sz w:val="22"/>
          <w:szCs w:val="22"/>
          <w:color w:val="auto"/>
        </w:rPr>
        <w:t>At 11:59 p.m. Pacific Time on the Separation Date your employment in any capacity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Company will terminate. Following the Separation Date, you shall not be authorized to transact any business on behalf of the Company unless authorized to do so in writing by an officer of the Company.</w:t>
      </w:r>
    </w:p>
    <w:p>
      <w:pPr>
        <w:spacing w:after="0" w:line="173" w:lineRule="exact"/>
        <w:rPr>
          <w:rFonts w:ascii="Times New Roman" w:cs="Times New Roman" w:eastAsia="Times New Roman" w:hAnsi="Times New Roman"/>
          <w:sz w:val="22"/>
          <w:szCs w:val="22"/>
          <w:b w:val="1"/>
          <w:bCs w:val="1"/>
          <w:color w:val="auto"/>
        </w:rPr>
      </w:pPr>
    </w:p>
    <w:p>
      <w:pPr>
        <w:ind w:left="660" w:firstLine="644"/>
        <w:spacing w:after="0" w:line="210" w:lineRule="auto"/>
        <w:tabs>
          <w:tab w:leader="none" w:pos="1788"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Salary and Expenses on Your Separation Date. </w:t>
      </w:r>
      <w:r>
        <w:rPr>
          <w:rFonts w:ascii="Times New Roman" w:cs="Times New Roman" w:eastAsia="Times New Roman" w:hAnsi="Times New Roman"/>
          <w:sz w:val="22"/>
          <w:szCs w:val="22"/>
          <w:color w:val="auto"/>
        </w:rPr>
        <w:t>On your Separation Date,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you a total of (i) all accrued and unpaid salary through the Separation Date, and (ii) an amount equal to your effective hourly rate multiplied by the number of hours of accrued, but unused, paid time off (collectively, (i) and (ii), the “</w:t>
      </w:r>
      <w:r>
        <w:rPr>
          <w:rFonts w:ascii="Times New Roman" w:cs="Times New Roman" w:eastAsia="Times New Roman" w:hAnsi="Times New Roman"/>
          <w:sz w:val="22"/>
          <w:szCs w:val="22"/>
          <w:b w:val="1"/>
          <w:bCs w:val="1"/>
          <w:i w:val="1"/>
          <w:iCs w:val="1"/>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In the event that you have a negative paid time off balance, you agree that an amount (as calculated 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same manner used above in Section 2(b)(ii)) will be deducted from the Accrued Obligations, to the extent permitted by applicable law. You further agree that, by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 In connection with the Separation Date, you and the Company will enter into a standard release (the “</w:t>
      </w:r>
      <w:r>
        <w:rPr>
          <w:rFonts w:ascii="Times New Roman" w:cs="Times New Roman" w:eastAsia="Times New Roman" w:hAnsi="Times New Roman"/>
          <w:sz w:val="22"/>
          <w:szCs w:val="22"/>
          <w:b w:val="1"/>
          <w:bCs w:val="1"/>
          <w:i w:val="1"/>
          <w:iCs w:val="1"/>
          <w:color w:val="auto"/>
        </w:rPr>
        <w:t>Standard Release</w:t>
      </w:r>
      <w:r>
        <w:rPr>
          <w:rFonts w:ascii="Times New Roman" w:cs="Times New Roman" w:eastAsia="Times New Roman" w:hAnsi="Times New Roman"/>
          <w:sz w:val="22"/>
          <w:szCs w:val="22"/>
          <w:color w:val="auto"/>
        </w:rPr>
        <w:t>,” the form of which shall be in substantial accordance with the “Standard Release” attached hereto as Exhibit A) which will include an acknowledgement and representation that, upon receiving the Accrued Obligations, you will have received all salary, wages, eligible bonuses, accrued vacation and paid time off, and all other benefits and compensation due to you through the Separation Date.</w:t>
      </w:r>
    </w:p>
    <w:p>
      <w:pPr>
        <w:spacing w:after="0" w:line="173" w:lineRule="exact"/>
        <w:rPr>
          <w:rFonts w:ascii="Times New Roman" w:cs="Times New Roman" w:eastAsia="Times New Roman" w:hAnsi="Times New Roman"/>
          <w:sz w:val="22"/>
          <w:szCs w:val="22"/>
          <w:b w:val="1"/>
          <w:bCs w:val="1"/>
          <w:color w:val="auto"/>
        </w:rPr>
      </w:pPr>
    </w:p>
    <w:p>
      <w:pPr>
        <w:ind w:left="660" w:right="40" w:firstLine="644"/>
        <w:spacing w:after="0" w:line="218" w:lineRule="auto"/>
        <w:tabs>
          <w:tab w:leader="none" w:pos="1818" w:val="left"/>
        </w:tabs>
        <w:numPr>
          <w:ilvl w:val="2"/>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Older Worker Benefit Protection Act Disclosure. </w:t>
      </w:r>
      <w:r>
        <w:rPr>
          <w:rFonts w:ascii="Times New Roman" w:cs="Times New Roman" w:eastAsia="Times New Roman" w:hAnsi="Times New Roman"/>
          <w:sz w:val="22"/>
          <w:szCs w:val="22"/>
          <w:color w:val="auto"/>
        </w:rPr>
        <w:t>In accordance with the Older Worker Benefit Protection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(OWBPA), the Company discloses to you the Company’s OWBPA Disclosure attached hereto and incorporated herein as Attachment A. You acknowledge and agree the Company provided you with the following: (i) information that describes the group of individuals to whom the Company is offering severance benefits in exchange for a release of claims; (ii) information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20"/>
          </w:cols>
          <w:pgMar w:left="320" w:top="1233" w:right="359" w:bottom="1440" w:gutter="0" w:footer="0" w:header="0"/>
        </w:sectPr>
      </w:pPr>
    </w:p>
    <w:bookmarkStart w:id="73" w:name="page74"/>
    <w:bookmarkEnd w:id="73"/>
    <w:p>
      <w:pPr>
        <w:ind w:left="660" w:right="120"/>
        <w:spacing w:after="0" w:line="217" w:lineRule="auto"/>
        <w:rPr>
          <w:sz w:val="20"/>
          <w:szCs w:val="20"/>
          <w:color w:val="auto"/>
        </w:rPr>
      </w:pPr>
      <w:r>
        <w:rPr>
          <w:rFonts w:ascii="Times New Roman" w:cs="Times New Roman" w:eastAsia="Times New Roman" w:hAnsi="Times New Roman"/>
          <w:sz w:val="22"/>
          <w:szCs w:val="22"/>
          <w:color w:val="auto"/>
        </w:rPr>
        <w:t>eligibility factors for inclusion in that group; (iii) information regarding the time limits applicable to that offer; (iv) information regarding the job titles and ages of all individuals to whom the Company is offering a severance payment in exchange for a release of claims; and (v) information regarding the ages of all individuals to whom the Company did not offer a severance payment in exchange for a release of claims but who were in the same job classifications or organizational unit as any individual covered in the group described in (iv) as required by the OWBPA.</w:t>
      </w:r>
    </w:p>
    <w:p>
      <w:pPr>
        <w:spacing w:after="0" w:line="175" w:lineRule="exact"/>
        <w:rPr>
          <w:sz w:val="20"/>
          <w:szCs w:val="20"/>
          <w:color w:val="auto"/>
        </w:rPr>
      </w:pPr>
    </w:p>
    <w:p>
      <w:pPr>
        <w:ind w:left="660" w:right="80" w:hanging="652"/>
        <w:spacing w:after="0" w:line="223" w:lineRule="auto"/>
        <w:tabs>
          <w:tab w:leader="none" w:pos="39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Employee Acknowledgements. </w:t>
      </w:r>
      <w:r>
        <w:rPr>
          <w:rFonts w:ascii="Times New Roman" w:cs="Times New Roman" w:eastAsia="Times New Roman" w:hAnsi="Times New Roman"/>
          <w:sz w:val="21"/>
          <w:szCs w:val="21"/>
          <w:color w:val="auto"/>
        </w:rPr>
        <w:t>You agree, acknowledge and affirm, as of and through the date of your signature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 “</w:t>
      </w:r>
      <w:r>
        <w:rPr>
          <w:rFonts w:ascii="Times New Roman" w:cs="Times New Roman" w:eastAsia="Times New Roman" w:hAnsi="Times New Roman"/>
          <w:sz w:val="21"/>
          <w:szCs w:val="21"/>
          <w:b w:val="1"/>
          <w:bCs w:val="1"/>
          <w:i w:val="1"/>
          <w:iCs w:val="1"/>
          <w:color w:val="auto"/>
        </w:rPr>
        <w:t>Signature Date</w:t>
      </w:r>
      <w:r>
        <w:rPr>
          <w:rFonts w:ascii="Times New Roman" w:cs="Times New Roman" w:eastAsia="Times New Roman" w:hAnsi="Times New Roman"/>
          <w:sz w:val="21"/>
          <w:szCs w:val="21"/>
          <w:color w:val="auto"/>
        </w:rPr>
        <w:t>”): (a) you received all earned salary, accrued paid time off, and all other earned compensation and benefits due to you through the Signature Date as a result of services you performed for the Company;</w:t>
      </w:r>
    </w:p>
    <w:p>
      <w:pPr>
        <w:spacing w:after="0" w:line="2" w:lineRule="exact"/>
        <w:rPr>
          <w:rFonts w:ascii="Times New Roman" w:cs="Times New Roman" w:eastAsia="Times New Roman" w:hAnsi="Times New Roman"/>
          <w:sz w:val="21"/>
          <w:szCs w:val="21"/>
          <w:b w:val="1"/>
          <w:bCs w:val="1"/>
          <w:color w:val="auto"/>
        </w:rPr>
      </w:pPr>
    </w:p>
    <w:p>
      <w:pPr>
        <w:ind w:left="660" w:hanging="4"/>
        <w:spacing w:after="0" w:line="208" w:lineRule="auto"/>
        <w:tabs>
          <w:tab w:leader="none" w:pos="96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reported to the Company any and all work-related injuries incurred during your employment; (c) the Company properly provided any leave of absence because of your or a family member’s health condition, and you have not been subjected to any improper treatment, conduct or actions due to a request for or taking such leave; (d) you provided the Company with written notice of any and all concerns regarding suspected ethical and compliance issues or violations on the part of the Company or any Released Party; (e) you have not solicited or assisted (except as provided in the Agreement or under applicable law) in any way an existing or former Company employee or shareholder in bringing an action or claim against the Company; (f) you have not filed and do not have pending any complaints, charges or lawsuits against any Released Party with any governmental agency or any court, and that you will not initiate or encourage any such actions in any manner contrary to the terms of this Agreement; and (g) you have not raised a claim, including but not limited to, unlawful discrimination; harassment; sexual harassment, abuse, assault, or other criminal conduct; failure to prevent an act of workplace harassment or discrimination; or retaliation in a court or government agency proceeding, in an alternative dispute resolution forum, or through the Company’s internal complaint process, involving any Released Party.</w:t>
      </w:r>
    </w:p>
    <w:p>
      <w:pPr>
        <w:spacing w:after="0" w:line="14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Consulting Services.</w:t>
      </w:r>
    </w:p>
    <w:p>
      <w:pPr>
        <w:spacing w:after="0" w:line="179" w:lineRule="exact"/>
        <w:rPr>
          <w:rFonts w:ascii="Times New Roman" w:cs="Times New Roman" w:eastAsia="Times New Roman" w:hAnsi="Times New Roman"/>
          <w:sz w:val="22"/>
          <w:szCs w:val="22"/>
          <w:b w:val="1"/>
          <w:bCs w:val="1"/>
          <w:color w:val="auto"/>
        </w:rPr>
      </w:pPr>
    </w:p>
    <w:p>
      <w:pPr>
        <w:ind w:left="660" w:firstLine="644"/>
        <w:spacing w:after="0" w:line="210" w:lineRule="auto"/>
        <w:tabs>
          <w:tab w:leader="none" w:pos="1830"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Consulting Services and Term. </w:t>
      </w:r>
      <w:r>
        <w:rPr>
          <w:rFonts w:ascii="Times New Roman" w:cs="Times New Roman" w:eastAsia="Times New Roman" w:hAnsi="Times New Roman"/>
          <w:sz w:val="22"/>
          <w:szCs w:val="22"/>
          <w:color w:val="auto"/>
        </w:rPr>
        <w:t>Immediately effective upon the Separation Date you will serve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contractor to the Company to provide estimated and projected valuations of business and product opportunities, and to perform such other tasks as may be reasonably requested by the Company’s Chief Executive Officer or his designee (such services, the “</w:t>
      </w:r>
      <w:r>
        <w:rPr>
          <w:rFonts w:ascii="Times New Roman" w:cs="Times New Roman" w:eastAsia="Times New Roman" w:hAnsi="Times New Roman"/>
          <w:sz w:val="22"/>
          <w:szCs w:val="22"/>
          <w:b w:val="1"/>
          <w:bCs w:val="1"/>
          <w:i w:val="1"/>
          <w:iCs w:val="1"/>
          <w:color w:val="auto"/>
        </w:rPr>
        <w:t>Consulting Services</w:t>
      </w:r>
      <w:r>
        <w:rPr>
          <w:rFonts w:ascii="Times New Roman" w:cs="Times New Roman" w:eastAsia="Times New Roman" w:hAnsi="Times New Roman"/>
          <w:sz w:val="22"/>
          <w:szCs w:val="22"/>
          <w:color w:val="auto"/>
        </w:rPr>
        <w:t>”). You agree to begin providing the Consulting Services immediately following the Separation Date through December 31, 2022, or such earlier date as you or the Company determine (the “</w:t>
      </w:r>
      <w:r>
        <w:rPr>
          <w:rFonts w:ascii="Times New Roman" w:cs="Times New Roman" w:eastAsia="Times New Roman" w:hAnsi="Times New Roman"/>
          <w:sz w:val="22"/>
          <w:szCs w:val="22"/>
          <w:b w:val="1"/>
          <w:bCs w:val="1"/>
          <w:i w:val="1"/>
          <w:iCs w:val="1"/>
          <w:color w:val="auto"/>
        </w:rPr>
        <w:t>Consulting Services Term</w:t>
      </w:r>
      <w:r>
        <w:rPr>
          <w:rFonts w:ascii="Times New Roman" w:cs="Times New Roman" w:eastAsia="Times New Roman" w:hAnsi="Times New Roman"/>
          <w:sz w:val="22"/>
          <w:szCs w:val="22"/>
          <w:color w:val="auto"/>
        </w:rPr>
        <w:t>”). Generally, during the Consulting Services Term, you are expected to be available upon reasonable notice for consultation by phone and email during regular business hours. During the Consulting Services Term, you will have no authority to represent the Company to third parties or to bind the Company to any contractual obligations, whether written, oral or implied, or represent that you have such authority, unless authorized to do so in writing by an officer of the Company. During the Consulting Services Term, you shall continue to abide by all of the Company's policies and procedures in effect from time to time and perform duties requested of you in good faith to the best of your abilities.</w:t>
      </w:r>
    </w:p>
    <w:p>
      <w:pPr>
        <w:spacing w:after="0" w:line="151" w:lineRule="exact"/>
        <w:rPr>
          <w:rFonts w:ascii="Times New Roman" w:cs="Times New Roman" w:eastAsia="Times New Roman" w:hAnsi="Times New Roman"/>
          <w:sz w:val="22"/>
          <w:szCs w:val="22"/>
          <w:b w:val="1"/>
          <w:bCs w:val="1"/>
          <w:color w:val="auto"/>
        </w:rPr>
      </w:pPr>
    </w:p>
    <w:p>
      <w:pPr>
        <w:jc w:val="both"/>
        <w:ind w:left="660" w:right="280" w:firstLine="644"/>
        <w:spacing w:after="0" w:line="227" w:lineRule="auto"/>
        <w:tabs>
          <w:tab w:leader="none" w:pos="1788" w:val="left"/>
        </w:tabs>
        <w:numPr>
          <w:ilvl w:val="2"/>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and Fee Reimbursement during the Consulting Services Term. </w:t>
      </w:r>
      <w:r>
        <w:rPr>
          <w:rFonts w:ascii="Times New Roman" w:cs="Times New Roman" w:eastAsia="Times New Roman" w:hAnsi="Times New Roman"/>
          <w:sz w:val="22"/>
          <w:szCs w:val="22"/>
          <w:color w:val="auto"/>
        </w:rPr>
        <w:t>During the Consulting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Term, the Company will compensate you with a monthly retainer of twenty thousand dollars ($20,000.00) per month (the “</w:t>
      </w:r>
      <w:r>
        <w:rPr>
          <w:rFonts w:ascii="Times New Roman" w:cs="Times New Roman" w:eastAsia="Times New Roman" w:hAnsi="Times New Roman"/>
          <w:sz w:val="22"/>
          <w:szCs w:val="22"/>
          <w:b w:val="1"/>
          <w:bCs w:val="1"/>
          <w:i w:val="1"/>
          <w:iCs w:val="1"/>
          <w:color w:val="auto"/>
        </w:rPr>
        <w:t>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00"/>
          </w:cols>
          <w:pgMar w:left="320" w:top="1233" w:right="37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Retainer</w:t>
      </w:r>
      <w:r>
        <w:rPr>
          <w:rFonts w:ascii="Times New Roman" w:cs="Times New Roman" w:eastAsia="Times New Roman" w:hAnsi="Times New Roman"/>
          <w:sz w:val="22"/>
          <w:szCs w:val="22"/>
          <w:color w:val="auto"/>
        </w:rPr>
        <w:t>”) regardless of the number of hours of Consulting Services you provide to the Company. You will record the</w:t>
      </w:r>
    </w:p>
    <w:p>
      <w:pPr>
        <w:ind w:left="660"/>
        <w:spacing w:after="0" w:line="214" w:lineRule="auto"/>
        <w:rPr>
          <w:sz w:val="20"/>
          <w:szCs w:val="20"/>
          <w:color w:val="auto"/>
        </w:rPr>
      </w:pPr>
      <w:r>
        <w:rPr>
          <w:rFonts w:ascii="Times New Roman" w:cs="Times New Roman" w:eastAsia="Times New Roman" w:hAnsi="Times New Roman"/>
          <w:sz w:val="21"/>
          <w:szCs w:val="21"/>
          <w:color w:val="auto"/>
        </w:rPr>
        <w:t>hours of Consulting Services you provide to the Company in any given month against the Monthly Retainer at the rate of</w:t>
      </w:r>
    </w:p>
    <w:p>
      <w:pPr>
        <w:ind w:left="660"/>
        <w:spacing w:after="0" w:line="205" w:lineRule="auto"/>
        <w:rPr>
          <w:sz w:val="20"/>
          <w:szCs w:val="20"/>
          <w:color w:val="auto"/>
        </w:rPr>
      </w:pPr>
      <w:r>
        <w:rPr>
          <w:rFonts w:ascii="Times New Roman" w:cs="Times New Roman" w:eastAsia="Times New Roman" w:hAnsi="Times New Roman"/>
          <w:sz w:val="22"/>
          <w:szCs w:val="22"/>
          <w:color w:val="auto"/>
        </w:rPr>
        <w:t>$335.00 per hour. The Parties agree that the total number of hours of Consulting Services you provide during the</w:t>
      </w:r>
    </w:p>
    <w:p>
      <w:pPr>
        <w:ind w:left="660"/>
        <w:spacing w:after="0" w:line="215" w:lineRule="auto"/>
        <w:rPr>
          <w:sz w:val="20"/>
          <w:szCs w:val="20"/>
          <w:color w:val="auto"/>
        </w:rPr>
      </w:pPr>
      <w:r>
        <w:rPr>
          <w:rFonts w:ascii="Times New Roman" w:cs="Times New Roman" w:eastAsia="Times New Roman" w:hAnsi="Times New Roman"/>
          <w:sz w:val="21"/>
          <w:szCs w:val="21"/>
          <w:color w:val="auto"/>
        </w:rPr>
        <w:t>Consulting Services Term shall not exceed twenty percent (20%) of the total number of hours of services you provided in</w:t>
      </w:r>
    </w:p>
    <w:p>
      <w:pPr>
        <w:ind w:left="660"/>
        <w:spacing w:after="0" w:line="205" w:lineRule="auto"/>
        <w:rPr>
          <w:sz w:val="20"/>
          <w:szCs w:val="20"/>
          <w:color w:val="auto"/>
        </w:rPr>
      </w:pPr>
      <w:r>
        <w:rPr>
          <w:rFonts w:ascii="Times New Roman" w:cs="Times New Roman" w:eastAsia="Times New Roman" w:hAnsi="Times New Roman"/>
          <w:sz w:val="22"/>
          <w:szCs w:val="22"/>
          <w:color w:val="auto"/>
        </w:rPr>
        <w:t>a thirty six-month period as an employee of the Company prior to the Separation Date (the “</w:t>
      </w:r>
      <w:r>
        <w:rPr>
          <w:rFonts w:ascii="Times New Roman" w:cs="Times New Roman" w:eastAsia="Times New Roman" w:hAnsi="Times New Roman"/>
          <w:sz w:val="22"/>
          <w:szCs w:val="22"/>
          <w:b w:val="1"/>
          <w:bCs w:val="1"/>
          <w:i w:val="1"/>
          <w:iCs w:val="1"/>
          <w:color w:val="auto"/>
        </w:rPr>
        <w:t>Consulting Services</w:t>
      </w:r>
    </w:p>
    <w:p>
      <w:pPr>
        <w:ind w:left="660"/>
        <w:spacing w:after="0" w:line="214" w:lineRule="auto"/>
        <w:rPr>
          <w:sz w:val="20"/>
          <w:szCs w:val="20"/>
          <w:color w:val="auto"/>
        </w:rPr>
      </w:pPr>
      <w:r>
        <w:rPr>
          <w:rFonts w:ascii="Times New Roman" w:cs="Times New Roman" w:eastAsia="Times New Roman" w:hAnsi="Times New Roman"/>
          <w:sz w:val="21"/>
          <w:szCs w:val="21"/>
          <w:b w:val="1"/>
          <w:bCs w:val="1"/>
          <w:i w:val="1"/>
          <w:iCs w:val="1"/>
          <w:color w:val="auto"/>
        </w:rPr>
        <w:t>Ceiling</w:t>
      </w:r>
      <w:r>
        <w:rPr>
          <w:rFonts w:ascii="Times New Roman" w:cs="Times New Roman" w:eastAsia="Times New Roman" w:hAnsi="Times New Roman"/>
          <w:sz w:val="21"/>
          <w:szCs w:val="21"/>
          <w:color w:val="auto"/>
        </w:rPr>
        <w:t>”). So long as the Consulting Services Ceiling at the end of the Consulting Services Term will not be exceeded, for</w:t>
      </w:r>
    </w:p>
    <w:p>
      <w:pPr>
        <w:ind w:left="660"/>
        <w:spacing w:after="0" w:line="205" w:lineRule="auto"/>
        <w:rPr>
          <w:sz w:val="20"/>
          <w:szCs w:val="20"/>
          <w:color w:val="auto"/>
        </w:rPr>
      </w:pPr>
      <w:r>
        <w:rPr>
          <w:rFonts w:ascii="Times New Roman" w:cs="Times New Roman" w:eastAsia="Times New Roman" w:hAnsi="Times New Roman"/>
          <w:sz w:val="22"/>
          <w:szCs w:val="22"/>
          <w:color w:val="auto"/>
        </w:rPr>
        <w:t>each hour of Consulting Services that you provide to the Company in excess of sixty (60) hours per calendar month (an</w:t>
      </w:r>
    </w:p>
    <w:p>
      <w:pPr>
        <w:ind w:left="66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Excess Hour</w:t>
      </w:r>
      <w:r>
        <w:rPr>
          <w:rFonts w:ascii="Times New Roman" w:cs="Times New Roman" w:eastAsia="Times New Roman" w:hAnsi="Times New Roman"/>
          <w:sz w:val="21"/>
          <w:szCs w:val="21"/>
          <w:color w:val="auto"/>
        </w:rPr>
        <w:t>”), you will be compensated at an hourly rate of $335.00 per Excess Hour. You will also be reimbursed for</w:t>
      </w:r>
    </w:p>
    <w:p>
      <w:pPr>
        <w:ind w:left="660"/>
        <w:spacing w:after="0" w:line="215" w:lineRule="auto"/>
        <w:rPr>
          <w:sz w:val="20"/>
          <w:szCs w:val="20"/>
          <w:color w:val="auto"/>
        </w:rPr>
      </w:pPr>
      <w:r>
        <w:rPr>
          <w:rFonts w:ascii="Times New Roman" w:cs="Times New Roman" w:eastAsia="Times New Roman" w:hAnsi="Times New Roman"/>
          <w:sz w:val="21"/>
          <w:szCs w:val="21"/>
          <w:color w:val="auto"/>
        </w:rPr>
        <w:t>reasonable out-of-pocket travel costs and other expenses that are approved in advance by email or writing by Company's</w:t>
      </w:r>
    </w:p>
    <w:p>
      <w:pPr>
        <w:ind w:left="660"/>
        <w:spacing w:after="0" w:line="214" w:lineRule="auto"/>
        <w:rPr>
          <w:sz w:val="20"/>
          <w:szCs w:val="20"/>
          <w:color w:val="auto"/>
        </w:rPr>
      </w:pPr>
      <w:r>
        <w:rPr>
          <w:rFonts w:ascii="Times New Roman" w:cs="Times New Roman" w:eastAsia="Times New Roman" w:hAnsi="Times New Roman"/>
          <w:sz w:val="21"/>
          <w:szCs w:val="21"/>
          <w:color w:val="auto"/>
        </w:rPr>
        <w:t>Chief Operating Officer or his designee. Any approved air travel during the Consulting Services Term may be ticketed in</w:t>
      </w:r>
    </w:p>
    <w:p>
      <w:pPr>
        <w:ind w:left="660"/>
        <w:spacing w:after="0" w:line="215" w:lineRule="auto"/>
        <w:rPr>
          <w:sz w:val="20"/>
          <w:szCs w:val="20"/>
          <w:color w:val="auto"/>
        </w:rPr>
      </w:pPr>
      <w:r>
        <w:rPr>
          <w:rFonts w:ascii="Times New Roman" w:cs="Times New Roman" w:eastAsia="Times New Roman" w:hAnsi="Times New Roman"/>
          <w:sz w:val="21"/>
          <w:szCs w:val="21"/>
          <w:color w:val="auto"/>
        </w:rPr>
        <w:t>business class. All required Company travel time during the Consulting Services Term shall be billed to the Company at</w:t>
      </w:r>
    </w:p>
    <w:p>
      <w:pPr>
        <w:ind w:left="660"/>
        <w:spacing w:after="0"/>
        <w:rPr>
          <w:sz w:val="20"/>
          <w:szCs w:val="20"/>
          <w:color w:val="auto"/>
        </w:rPr>
      </w:pPr>
      <w:r>
        <w:rPr>
          <w:rFonts w:ascii="Times New Roman" w:cs="Times New Roman" w:eastAsia="Times New Roman" w:hAnsi="Times New Roman"/>
          <w:sz w:val="22"/>
          <w:szCs w:val="22"/>
          <w:color w:val="auto"/>
        </w:rPr>
        <w:t>$250.00 per hour calculated from portal-to-portal.</w:t>
      </w:r>
    </w:p>
    <w:p>
      <w:pPr>
        <w:spacing w:after="0" w:line="151" w:lineRule="exact"/>
        <w:rPr>
          <w:sz w:val="20"/>
          <w:szCs w:val="20"/>
          <w:color w:val="auto"/>
        </w:rPr>
      </w:pPr>
    </w:p>
    <w:p>
      <w:pPr>
        <w:ind w:left="660" w:right="80" w:firstLine="644"/>
        <w:spacing w:after="0" w:line="222" w:lineRule="auto"/>
        <w:tabs>
          <w:tab w:leader="none" w:pos="1764"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Invoices. </w:t>
      </w:r>
      <w:r>
        <w:rPr>
          <w:rFonts w:ascii="Times New Roman" w:cs="Times New Roman" w:eastAsia="Times New Roman" w:hAnsi="Times New Roman"/>
          <w:sz w:val="21"/>
          <w:szCs w:val="21"/>
          <w:color w:val="auto"/>
        </w:rPr>
        <w:t>After each complete calendar month during the Consulting Services Term, you shall provide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on or before the seventh (7th) calendar day of the immediately following month an invoice for payment of (i) the Monthly Retainer, and (ii) your Excess Hours for such month, which shall be invoiced at $335.00 per Excess Hour (with the understanding that the Consulting Services Ceiling cannot be exceeded by the end of the Consulting Services Term). In addition, you shall provide to the Company within seven (7) days after the end of each calendar month during the Consulting Services Term a true and correct invoice for any pre-approved reasonable out-of-pocket travel costs and other expenses incurred during the prior month. The Company shall pay each invoice within thirty (30) business days of receiving such invoice from you. You shall submit each invoice and direct all communications to the Company’s Senior Vice President, Human Resources (or such other person as delegated by the Senior Vice President, Human Resources).</w:t>
      </w:r>
    </w:p>
    <w:p>
      <w:pPr>
        <w:spacing w:after="0" w:line="149" w:lineRule="exact"/>
        <w:rPr>
          <w:rFonts w:ascii="Times New Roman" w:cs="Times New Roman" w:eastAsia="Times New Roman" w:hAnsi="Times New Roman"/>
          <w:sz w:val="21"/>
          <w:szCs w:val="21"/>
          <w:b w:val="1"/>
          <w:bCs w:val="1"/>
          <w:color w:val="auto"/>
        </w:rPr>
      </w:pPr>
    </w:p>
    <w:p>
      <w:pPr>
        <w:ind w:left="660" w:right="140" w:firstLine="644"/>
        <w:spacing w:after="0" w:line="211" w:lineRule="auto"/>
        <w:tabs>
          <w:tab w:leader="none" w:pos="178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Independent Contractor Status. </w:t>
      </w:r>
      <w:r>
        <w:rPr>
          <w:rFonts w:ascii="Times New Roman" w:cs="Times New Roman" w:eastAsia="Times New Roman" w:hAnsi="Times New Roman"/>
          <w:sz w:val="22"/>
          <w:szCs w:val="22"/>
          <w:color w:val="auto"/>
        </w:rPr>
        <w:t>It is the express intention of you and the Company that,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Consulting Services Term, you shall be an independent contractor, and shall be classified by the Company as such for all purposes, and shall not be an officer, employee, agent, joint venturer, or partner of the Company. Accordingly, you shall not be entitled to earn or accrue during the Consulting Services Term any bonus, salary, benefits sponsored by the Company or any of its parent, subsidiary or affiliated entities at any time, including, but not limited to health, dental, vision, 401(k), or other employee welfare benefits, and you shall be solely responsible for your insurance, taxes, fees, licenses, costs, equipment, expenses, and providing your own office space, if necessary, to perform your duties as a consultant. Nothing in this Agreement shall be interpreted or construed as creating or establishing an employment relationship between you and the Company at any time after the Separation Date. You will receive a Form 1099 for services performed for the Company during the Consulting Services Term.</w:t>
      </w:r>
    </w:p>
    <w:p>
      <w:pPr>
        <w:spacing w:after="0" w:line="151" w:lineRule="exact"/>
        <w:rPr>
          <w:rFonts w:ascii="Times New Roman" w:cs="Times New Roman" w:eastAsia="Times New Roman" w:hAnsi="Times New Roman"/>
          <w:sz w:val="22"/>
          <w:szCs w:val="22"/>
          <w:b w:val="1"/>
          <w:bCs w:val="1"/>
          <w:color w:val="auto"/>
        </w:rPr>
      </w:pPr>
    </w:p>
    <w:p>
      <w:pPr>
        <w:ind w:left="1760" w:hanging="456"/>
        <w:spacing w:after="0"/>
        <w:tabs>
          <w:tab w:leader="none" w:pos="17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Awards.</w:t>
      </w:r>
    </w:p>
    <w:p>
      <w:pPr>
        <w:spacing w:after="0" w:line="179" w:lineRule="exact"/>
        <w:rPr>
          <w:rFonts w:ascii="Times New Roman" w:cs="Times New Roman" w:eastAsia="Times New Roman" w:hAnsi="Times New Roman"/>
          <w:sz w:val="22"/>
          <w:szCs w:val="22"/>
          <w:b w:val="1"/>
          <w:bCs w:val="1"/>
          <w:color w:val="auto"/>
        </w:rPr>
      </w:pPr>
    </w:p>
    <w:p>
      <w:pPr>
        <w:ind w:left="1300" w:right="100" w:firstLine="652"/>
        <w:spacing w:after="0" w:line="227" w:lineRule="auto"/>
        <w:tabs>
          <w:tab w:leader="none" w:pos="2368"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and Change of Control From July 1, 2022 Through to December 31, 2022. </w:t>
      </w:r>
      <w:r>
        <w:rPr>
          <w:rFonts w:ascii="Times New Roman" w:cs="Times New Roman" w:eastAsia="Times New Roman" w:hAnsi="Times New Roman"/>
          <w:sz w:val="22"/>
          <w:szCs w:val="22"/>
          <w:color w:val="auto"/>
        </w:rPr>
        <w:t>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4(e), after the Separation Date (including during the Consulting Services Term), you will not continue to vest in your equity awards, although your right to exercise vested and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20"/>
          </w:cols>
          <w:pgMar w:left="320" w:top="1220" w:right="359" w:bottom="1440" w:gutter="0" w:footer="0" w:header="0"/>
        </w:sectPr>
      </w:pPr>
    </w:p>
    <w:bookmarkStart w:id="75" w:name="page76"/>
    <w:bookmarkEnd w:id="75"/>
    <w:p>
      <w:pPr>
        <w:ind w:left="1300" w:right="40"/>
        <w:spacing w:after="0" w:line="207" w:lineRule="auto"/>
        <w:rPr>
          <w:sz w:val="20"/>
          <w:szCs w:val="20"/>
          <w:color w:val="auto"/>
        </w:rPr>
      </w:pPr>
      <w:r>
        <w:rPr>
          <w:rFonts w:ascii="Times New Roman" w:cs="Times New Roman" w:eastAsia="Times New Roman" w:hAnsi="Times New Roman"/>
          <w:sz w:val="22"/>
          <w:szCs w:val="22"/>
          <w:color w:val="auto"/>
        </w:rPr>
        <w:t>options as of the Separation Date, pursuant to your equity award notices and agreements issued to you thereunder (collectively, the “</w:t>
      </w:r>
      <w:r>
        <w:rPr>
          <w:rFonts w:ascii="Times New Roman" w:cs="Times New Roman" w:eastAsia="Times New Roman" w:hAnsi="Times New Roman"/>
          <w:sz w:val="22"/>
          <w:szCs w:val="22"/>
          <w:b w:val="1"/>
          <w:bCs w:val="1"/>
          <w:i w:val="1"/>
          <w:iCs w:val="1"/>
          <w:color w:val="auto"/>
        </w:rPr>
        <w:t>Award Agreements</w:t>
      </w:r>
      <w:r>
        <w:rPr>
          <w:rFonts w:ascii="Times New Roman" w:cs="Times New Roman" w:eastAsia="Times New Roman" w:hAnsi="Times New Roman"/>
          <w:sz w:val="22"/>
          <w:szCs w:val="22"/>
          <w:color w:val="auto"/>
        </w:rPr>
        <w:t>”), will continue during the Consulting Services Term and the post-termination exercise period as set forth in further detail in Section 4(e)(ii) below. Notwithstanding anything to the contrary, with regard to the treatment of your outstanding and unvested equity awards (as those awards existed immediately prior to your Separation Date) from July 1, 2022, through to December 31, 2022, if (i) a “</w:t>
      </w:r>
      <w:r>
        <w:rPr>
          <w:rFonts w:ascii="Times New Roman" w:cs="Times New Roman" w:eastAsia="Times New Roman" w:hAnsi="Times New Roman"/>
          <w:sz w:val="22"/>
          <w:szCs w:val="22"/>
          <w:b w:val="1"/>
          <w:bCs w:val="1"/>
          <w:i w:val="1"/>
          <w:iCs w:val="1"/>
          <w:color w:val="auto"/>
        </w:rPr>
        <w:t>Change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(as that term is defined in Section 3.5 of the Nektar Therapeutics Amended and Restated Change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Control Severance Benefit Plan, as amended from time to time (the “</w:t>
      </w:r>
      <w:r>
        <w:rPr>
          <w:rFonts w:ascii="Times New Roman" w:cs="Times New Roman" w:eastAsia="Times New Roman" w:hAnsi="Times New Roman"/>
          <w:sz w:val="22"/>
          <w:szCs w:val="22"/>
          <w:b w:val="1"/>
          <w:bCs w:val="1"/>
          <w:i w:val="1"/>
          <w:iCs w:val="1"/>
          <w:color w:val="auto"/>
        </w:rPr>
        <w:t>CIC Plan</w:t>
      </w:r>
      <w:r>
        <w:rPr>
          <w:rFonts w:ascii="Times New Roman" w:cs="Times New Roman" w:eastAsia="Times New Roman" w:hAnsi="Times New Roman"/>
          <w:sz w:val="22"/>
          <w:szCs w:val="22"/>
          <w:color w:val="auto"/>
        </w:rPr>
        <w:t>”)) occurs and such Change of Control transaction closes during the period commencing on July 1, 2022 through December 31, 2022, and (ii) at least two (2) “</w:t>
      </w:r>
      <w:r>
        <w:rPr>
          <w:rFonts w:ascii="Times New Roman" w:cs="Times New Roman" w:eastAsia="Times New Roman" w:hAnsi="Times New Roman"/>
          <w:sz w:val="22"/>
          <w:szCs w:val="22"/>
          <w:b w:val="1"/>
          <w:bCs w:val="1"/>
          <w:i w:val="1"/>
          <w:iCs w:val="1"/>
          <w:color w:val="auto"/>
        </w:rPr>
        <w:t>Officer Participants</w:t>
      </w:r>
      <w:r>
        <w:rPr>
          <w:rFonts w:ascii="Times New Roman" w:cs="Times New Roman" w:eastAsia="Times New Roman" w:hAnsi="Times New Roman"/>
          <w:sz w:val="22"/>
          <w:szCs w:val="22"/>
          <w:color w:val="auto"/>
        </w:rPr>
        <w:t>” (as that term is defined in the CIC Plan) who each report directly to the Company’s Chief Executive Officer and are each involuntarily terminated within three months following the closing of such Change of Control (not to exceed March 31, 2023) and such involuntary terminations each qualify as a Covered Termination (as that term is defined in the CIC Plan), then such outstanding and unvested equity awards (as those awards existed immediately prior to the Separation Date) shall be treated in the same manner as the outstanding and unvested equity awards held by those Officer Participants who were subject to the Covered Termination. For the avoidance of doubt, any termination or other forfeiture of the unvested portion of your equity awards that would otherwise occur upon the Separation Date will be delayed to effect the terms of this Section 4(e)(i) and such termination or forfeiture of such unvested equity awards will subsequently automatically occur if any vesting pursuant to this subsection does not occur, which in all cases cannot be later than March 31, 2023. Further, you acknowledge and agree that any unvested stock options and unvested restricted stock units held by you (after giving effect to any acceleration of vesting provided herein), shall be forfeited immediately and no later than April 1, 2023.</w:t>
      </w:r>
    </w:p>
    <w:p>
      <w:pPr>
        <w:spacing w:after="0" w:line="166" w:lineRule="exact"/>
        <w:rPr>
          <w:sz w:val="20"/>
          <w:szCs w:val="20"/>
          <w:color w:val="auto"/>
        </w:rPr>
      </w:pPr>
    </w:p>
    <w:p>
      <w:pPr>
        <w:ind w:left="1300" w:firstLine="652"/>
        <w:spacing w:after="0" w:line="216" w:lineRule="auto"/>
        <w:tabs>
          <w:tab w:leader="none" w:pos="2428"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Provisions Concerning Exercise Period After the Consulting Services Term. </w:t>
      </w:r>
      <w:r>
        <w:rPr>
          <w:rFonts w:ascii="Times New Roman" w:cs="Times New Roman" w:eastAsia="Times New Roman" w:hAnsi="Times New Roman"/>
          <w:sz w:val="22"/>
          <w:szCs w:val="22"/>
          <w:color w:val="auto"/>
        </w:rPr>
        <w:t>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to the contrary in the applicable equity incentive plan (collectively, the “</w:t>
      </w:r>
      <w:r>
        <w:rPr>
          <w:rFonts w:ascii="Times New Roman" w:cs="Times New Roman" w:eastAsia="Times New Roman" w:hAnsi="Times New Roman"/>
          <w:sz w:val="22"/>
          <w:szCs w:val="22"/>
          <w:b w:val="1"/>
          <w:bCs w:val="1"/>
          <w:i w:val="1"/>
          <w:iCs w:val="1"/>
          <w:color w:val="auto"/>
        </w:rPr>
        <w:t>Equity Plans</w:t>
      </w:r>
      <w:r>
        <w:rPr>
          <w:rFonts w:ascii="Times New Roman" w:cs="Times New Roman" w:eastAsia="Times New Roman" w:hAnsi="Times New Roman"/>
          <w:sz w:val="22"/>
          <w:szCs w:val="22"/>
          <w:color w:val="auto"/>
        </w:rPr>
        <w:t>”) and Award Agreements, your right immediately following the Consulting Services Term to exercise vested stock options shall end on the earlier of (i) June 30, 2023, or (ii) the expiration of the term of your stock options. Except as set forth in this Agreement, your stock options and restricted stock units (if any) continue to remain subject to all other terms and conditions of the applicable Equity Plans and Award Agreements.</w:t>
      </w:r>
    </w:p>
    <w:p>
      <w:pPr>
        <w:spacing w:after="0" w:line="145" w:lineRule="exact"/>
        <w:rPr>
          <w:rFonts w:ascii="Times New Roman" w:cs="Times New Roman" w:eastAsia="Times New Roman" w:hAnsi="Times New Roman"/>
          <w:sz w:val="22"/>
          <w:szCs w:val="22"/>
          <w:b w:val="1"/>
          <w:bCs w:val="1"/>
          <w:color w:val="auto"/>
        </w:rPr>
      </w:pPr>
    </w:p>
    <w:p>
      <w:pPr>
        <w:ind w:left="1300" w:right="20" w:firstLine="652"/>
        <w:spacing w:after="0" w:line="221" w:lineRule="auto"/>
        <w:tabs>
          <w:tab w:leader="none" w:pos="2488"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and No Change of Control by January 1, 2023. </w:t>
      </w:r>
      <w:r>
        <w:rPr>
          <w:rFonts w:ascii="Times New Roman" w:cs="Times New Roman" w:eastAsia="Times New Roman" w:hAnsi="Times New Roman"/>
          <w:sz w:val="22"/>
          <w:szCs w:val="22"/>
          <w:color w:val="auto"/>
        </w:rPr>
        <w:t>In the event no Change of Control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of such Change of Control) has occurred by January 1, 2023, you acknowledge and agree that any unvested stock options and unvested restricted stock units held by you on December 31, 2022 shall be forfeited immediately effective as of January 1, 2023.</w:t>
      </w:r>
    </w:p>
    <w:p>
      <w:pPr>
        <w:spacing w:after="0" w:line="175" w:lineRule="exact"/>
        <w:rPr>
          <w:rFonts w:ascii="Times New Roman" w:cs="Times New Roman" w:eastAsia="Times New Roman" w:hAnsi="Times New Roman"/>
          <w:sz w:val="22"/>
          <w:szCs w:val="22"/>
          <w:b w:val="1"/>
          <w:bCs w:val="1"/>
          <w:color w:val="auto"/>
        </w:rPr>
      </w:pPr>
    </w:p>
    <w:p>
      <w:pPr>
        <w:ind w:left="660" w:right="120" w:hanging="652"/>
        <w:spacing w:after="0" w:line="218" w:lineRule="auto"/>
        <w:tabs>
          <w:tab w:leader="none" w:pos="39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of this Agreement. </w:t>
      </w:r>
      <w:r>
        <w:rPr>
          <w:rFonts w:ascii="Times New Roman" w:cs="Times New Roman" w:eastAsia="Times New Roman" w:hAnsi="Times New Roman"/>
          <w:sz w:val="22"/>
          <w:szCs w:val="22"/>
          <w:color w:val="auto"/>
        </w:rPr>
        <w:t>Except as permitted by the terms of this Agreement and applicable laws, the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shall be held in strictest confidence by you and shall not be publicized or disclosed in any manner whatsoever by you at any time to any person other than your lawyer or accountant, a governmental agency, or your immediate family without the prior written consent of an officer of the Company, except as necessary in any legal proceedings directly related to the provisions and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40"/>
          </w:cols>
          <w:pgMar w:left="320" w:top="1233"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2"/>
          <w:szCs w:val="22"/>
          <w:color w:val="auto"/>
        </w:rPr>
        <w:t>Agreement, to prepare and file income tax forms, or as required by court order after reasonable notice to the Company.</w:t>
      </w:r>
    </w:p>
    <w:p>
      <w:pPr>
        <w:spacing w:after="0" w:line="175" w:lineRule="exact"/>
        <w:rPr>
          <w:sz w:val="20"/>
          <w:szCs w:val="20"/>
          <w:color w:val="auto"/>
        </w:rPr>
      </w:pPr>
    </w:p>
    <w:p>
      <w:pPr>
        <w:ind w:left="660" w:hanging="652"/>
        <w:spacing w:after="0" w:line="212" w:lineRule="auto"/>
        <w:tabs>
          <w:tab w:leader="none" w:pos="39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Proprietary Information. </w:t>
      </w:r>
      <w:r>
        <w:rPr>
          <w:rFonts w:ascii="Times New Roman" w:cs="Times New Roman" w:eastAsia="Times New Roman" w:hAnsi="Times New Roman"/>
          <w:sz w:val="22"/>
          <w:szCs w:val="22"/>
          <w:color w:val="auto"/>
        </w:rPr>
        <w:t>You acknowledge access to and receipt of confidential business and proprietary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the Company and its partners during the time of your employment with the Company. This information may be in a variety of paper and electronic forms. You agree not to make any such information known to any member of the public and to comply with all applicable ethical responsibilities related to client confidences and secrets. You further agree to maintain and not destroy any such information in your possession, and to return to the Company prior to the Separation Date all confidential and proprietary information and all other Company property (other than Personal IT Equipment so long as you sign the Standard Release and it becomes effective), as well as all copies or excerpts of any property, files or documents obtained as a result of employment with the Company, except those items that the Company specifically agrees in writing to permit you to retain.</w:t>
      </w:r>
    </w:p>
    <w:p>
      <w:pPr>
        <w:spacing w:after="0" w:line="148" w:lineRule="exact"/>
        <w:rPr>
          <w:rFonts w:ascii="Times New Roman" w:cs="Times New Roman" w:eastAsia="Times New Roman" w:hAnsi="Times New Roman"/>
          <w:sz w:val="22"/>
          <w:szCs w:val="22"/>
          <w:b w:val="1"/>
          <w:bCs w:val="1"/>
          <w:color w:val="auto"/>
        </w:rPr>
      </w:pPr>
    </w:p>
    <w:p>
      <w:pPr>
        <w:ind w:left="660" w:hanging="652"/>
        <w:spacing w:after="0" w:line="219" w:lineRule="auto"/>
        <w:tabs>
          <w:tab w:leader="none" w:pos="39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Return of Company Property. </w:t>
      </w:r>
      <w:r>
        <w:rPr>
          <w:rFonts w:ascii="Times New Roman" w:cs="Times New Roman" w:eastAsia="Times New Roman" w:hAnsi="Times New Roman"/>
          <w:sz w:val="21"/>
          <w:szCs w:val="21"/>
          <w:color w:val="auto"/>
        </w:rPr>
        <w:t>Other than your facility badge, any parking garage badges, and (so long as you sign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Standard Release and it becomes effective) Personal IT Equipment, you agree that, by the Separation Date, you will return to the Company all Company documents (and all copies thereof whether in physical or electronic format) and other Company property in your possession or control, including, but not limited to: Company files, email, electronic messages, notes, memoranda, correspondence, agreements, draft documents, notebooks, logs, drawings, records, plans, proposals, reports, forecasts, financial information, sales and marketing information, research and development information, personnel information, specifications, computer-recorded information, tangible property, credit cards, and keys; and any materials of any kind that contain or embody any proprietary or confidential information of the Company (and all reproductions thereof in whole or in part). If you have used any personal computer, server, or electronic system to receive, store, review, prepare or transmit any Company confidential or proprietary data, materials or information, you agree to provide the Company with a computer-useable copy of such information and then permanently delete and expunge such Company confidential or proprietary information from those systems. You agree to provide the Company access to your system as requested to verify that the necessary copying and/or deletion has been completed. You agree not to retain any paper or electronic copies of any Company documents or data (including but not limited to email and electronic messages) other than this Agreement and other documents evidencing your employment relationship with the Company.</w:t>
      </w:r>
    </w:p>
    <w:p>
      <w:pPr>
        <w:spacing w:after="0" w:line="150" w:lineRule="exact"/>
        <w:rPr>
          <w:rFonts w:ascii="Times New Roman" w:cs="Times New Roman" w:eastAsia="Times New Roman" w:hAnsi="Times New Roman"/>
          <w:sz w:val="21"/>
          <w:szCs w:val="21"/>
          <w:b w:val="1"/>
          <w:bCs w:val="1"/>
          <w:color w:val="auto"/>
        </w:rPr>
      </w:pPr>
    </w:p>
    <w:p>
      <w:pPr>
        <w:ind w:left="660" w:right="180" w:hanging="652"/>
        <w:spacing w:after="0" w:line="227" w:lineRule="auto"/>
        <w:tabs>
          <w:tab w:leader="none" w:pos="444"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Except as permitted by the terms of this Agreement and applicable laws, you agree not to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statements to clients, customers, partners, or suppliers of the Company that are any way disparaging or negative towards any of the Released Parties.</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line="213" w:lineRule="auto"/>
        <w:tabs>
          <w:tab w:leader="none" w:pos="39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Modification. </w:t>
      </w:r>
      <w:r>
        <w:rPr>
          <w:rFonts w:ascii="Times New Roman" w:cs="Times New Roman" w:eastAsia="Times New Roman" w:hAnsi="Times New Roman"/>
          <w:sz w:val="22"/>
          <w:szCs w:val="22"/>
          <w:color w:val="auto"/>
        </w:rPr>
        <w:t>This Agreement is governed by California law. This Agreement constitutes the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only agreement between you and the Company on these subjects. In entering this Agreement, you are not relying on any promise or representation, written or oral, other than those expressly contained in this Agreement. Any prior agreements between or directly involving you and the Company are superseded by this Agreement, except for your Equity Plans, and Award Agreements. This Agreement may not be modified except in a writing signed by both you and a Senior Vice President of the Company (other than yourself). This Agreement shall bind the heirs, personal representatives, successors and assigns of both you and the Company, and inure to the benefit of both you and the Released Parties, their heirs,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40"/>
          </w:cols>
          <w:pgMar w:left="320" w:top="1233" w:right="339" w:bottom="1440" w:gutter="0" w:footer="0" w:header="0"/>
        </w:sectPr>
      </w:pPr>
    </w:p>
    <w:bookmarkStart w:id="77" w:name="page78"/>
    <w:bookmarkEnd w:id="77"/>
    <w:p>
      <w:pPr>
        <w:ind w:left="660" w:right="200"/>
        <w:spacing w:after="0" w:line="225" w:lineRule="auto"/>
        <w:rPr>
          <w:sz w:val="20"/>
          <w:szCs w:val="20"/>
          <w:color w:val="auto"/>
        </w:rPr>
      </w:pPr>
      <w:r>
        <w:rPr>
          <w:rFonts w:ascii="Times New Roman" w:cs="Times New Roman" w:eastAsia="Times New Roman" w:hAnsi="Times New Roman"/>
          <w:sz w:val="22"/>
          <w:szCs w:val="22"/>
          <w:color w:val="auto"/>
        </w:rPr>
        <w:t>Any determination that a provision of this Agreement is invalid or unenforceable, in whole or in part, will not affect any other provision of this Agreement, and the provision in question shall be modified by the court so as to be rendered enforceable in accordance with the intent of the parties to the extent possible.</w:t>
      </w:r>
    </w:p>
    <w:p>
      <w:pPr>
        <w:spacing w:after="0" w:line="148" w:lineRule="exact"/>
        <w:rPr>
          <w:sz w:val="20"/>
          <w:szCs w:val="20"/>
          <w:color w:val="auto"/>
        </w:rPr>
      </w:pPr>
    </w:p>
    <w:p>
      <w:pPr>
        <w:jc w:val="both"/>
        <w:ind w:left="660" w:hanging="652"/>
        <w:spacing w:after="0" w:line="227" w:lineRule="auto"/>
        <w:tabs>
          <w:tab w:leader="none" w:pos="64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headings in this Agreement are provided for reference only and shall not affect the substance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This Agreement may be signed in counterparts. This Agreement may be executed by electronic means and such signatures shall be deemed to bind each Party with the same force and effect as a handwritten signature.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40"/>
          </w:cols>
          <w:pgMar w:left="320" w:top="1233" w:right="339" w:bottom="1440" w:gutter="0" w:footer="0" w:header="0"/>
        </w:sectPr>
      </w:pPr>
    </w:p>
    <w:bookmarkStart w:id="78" w:name="page79"/>
    <w:bookmarkEnd w:id="78"/>
    <w:p>
      <w:pPr>
        <w:spacing w:after="0" w:line="36" w:lineRule="exact"/>
        <w:rPr>
          <w:sz w:val="20"/>
          <w:szCs w:val="20"/>
          <w:color w:val="auto"/>
        </w:rPr>
      </w:pPr>
    </w:p>
    <w:p>
      <w:pPr>
        <w:jc w:val="both"/>
        <w:ind w:right="6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If this Agreement is acceptable to you, please sign below and return the original to Human Resources no later than Thursday, </w:t>
      </w:r>
      <w:r>
        <w:rPr>
          <w:rFonts w:ascii="Times New Roman" w:cs="Times New Roman" w:eastAsia="Times New Roman" w:hAnsi="Times New Roman"/>
          <w:sz w:val="22"/>
          <w:szCs w:val="22"/>
          <w:b w:val="1"/>
          <w:bCs w:val="1"/>
          <w:color w:val="auto"/>
        </w:rPr>
        <w:t>June 30, 2022</w:t>
      </w:r>
      <w:r>
        <w:rPr>
          <w:rFonts w:ascii="Times New Roman" w:cs="Times New Roman" w:eastAsia="Times New Roman" w:hAnsi="Times New Roman"/>
          <w:sz w:val="22"/>
          <w:szCs w:val="22"/>
          <w:color w:val="auto"/>
        </w:rPr>
        <w:t>. The Company’s offer to enter this Agreement will automatically expire if we do not receive your executed Agreement by the aforementioned time period.</w:t>
      </w:r>
    </w:p>
    <w:p>
      <w:pPr>
        <w:spacing w:after="0" w:line="200" w:lineRule="exact"/>
        <w:rPr>
          <w:sz w:val="20"/>
          <w:szCs w:val="20"/>
          <w:color w:val="auto"/>
        </w:rPr>
      </w:pPr>
    </w:p>
    <w:p>
      <w:pPr>
        <w:spacing w:after="0" w:line="2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 acknowledge and agree that I have read and understand this Agreement, am signing this Agreement knowing I could be waiving valuable rights, and acknowledge that this Agreement is final and binding.</w:t>
      </w:r>
    </w:p>
    <w:p>
      <w:pPr>
        <w:spacing w:after="0" w:line="362"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b w:val="1"/>
          <w:bCs w:val="1"/>
          <w:color w:val="auto"/>
        </w:rPr>
        <w:t>JOHN NORTHCOTT</w:t>
      </w:r>
      <w:r>
        <w:rPr>
          <w:sz w:val="20"/>
          <w:szCs w:val="20"/>
          <w:color w:val="auto"/>
        </w:rPr>
        <w:tab/>
      </w:r>
      <w:r>
        <w:rPr>
          <w:rFonts w:ascii="Times New Roman" w:cs="Times New Roman" w:eastAsia="Times New Roman" w:hAnsi="Times New Roman"/>
          <w:sz w:val="21"/>
          <w:szCs w:val="21"/>
          <w:color w:val="auto"/>
        </w:rPr>
        <w:t>Position: SVP &amp; Chief Commercial Officer</w:t>
      </w:r>
    </w:p>
    <w:p>
      <w:pPr>
        <w:sectPr>
          <w:pgSz w:w="11900" w:h="16838" w:orient="portrait"/>
          <w:cols w:equalWidth="0" w:num="1">
            <w:col w:w="11240"/>
          </w:cols>
          <w:pgMar w:left="320" w:top="1440"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John Northcott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(the “</w:t>
      </w:r>
      <w:r>
        <w:rPr>
          <w:rFonts w:ascii="Times New Roman" w:cs="Times New Roman" w:eastAsia="Times New Roman" w:hAnsi="Times New Roman"/>
          <w:sz w:val="21"/>
          <w:szCs w:val="21"/>
          <w:b w:val="1"/>
          <w:bCs w:val="1"/>
          <w:i w:val="1"/>
          <w:iCs w:val="1"/>
          <w:color w:val="auto"/>
        </w:rPr>
        <w:t>Signature Date</w:t>
      </w:r>
      <w:r>
        <w:rPr>
          <w:rFonts w:ascii="Times New Roman" w:cs="Times New Roman" w:eastAsia="Times New Roman" w:hAnsi="Times New Roman"/>
          <w:sz w:val="21"/>
          <w:szCs w:val="21"/>
          <w:color w:val="auto"/>
        </w:rPr>
        <w:t>”): 6/29/2022</w:t>
      </w:r>
    </w:p>
    <w:p>
      <w:pPr>
        <w:spacing w:after="0" w:line="205" w:lineRule="exact"/>
        <w:rPr>
          <w:sz w:val="20"/>
          <w:szCs w:val="20"/>
          <w:color w:val="auto"/>
        </w:rPr>
      </w:pPr>
    </w:p>
    <w:p>
      <w:pPr>
        <w:sectPr>
          <w:pgSz w:w="11900" w:h="16838" w:orient="portrait"/>
          <w:cols w:equalWidth="0" w:num="2">
            <w:col w:w="1560" w:space="420"/>
            <w:col w:w="9260"/>
          </w:cols>
          <w:pgMar w:left="320" w:top="1440" w:right="3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Nektar Therapeutics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Howard W. Robin</w:t>
      </w:r>
    </w:p>
    <w:p>
      <w:pPr>
        <w:ind w:left="660"/>
        <w:spacing w:after="0"/>
        <w:rPr>
          <w:sz w:val="20"/>
          <w:szCs w:val="20"/>
          <w:color w:val="auto"/>
        </w:rPr>
      </w:pPr>
      <w:r>
        <w:rPr>
          <w:rFonts w:ascii="Times New Roman" w:cs="Times New Roman" w:eastAsia="Times New Roman" w:hAnsi="Times New Roman"/>
          <w:sz w:val="21"/>
          <w:szCs w:val="21"/>
          <w:b w:val="1"/>
          <w:bCs w:val="1"/>
          <w:color w:val="auto"/>
        </w:rPr>
        <w:t>Howard W. Robin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6/29/2022</w:t>
      </w:r>
    </w:p>
    <w:p>
      <w:pPr>
        <w:spacing w:after="0" w:line="241" w:lineRule="exact"/>
        <w:rPr>
          <w:sz w:val="20"/>
          <w:szCs w:val="20"/>
          <w:color w:val="auto"/>
        </w:rPr>
      </w:pPr>
    </w:p>
    <w:p>
      <w:pPr>
        <w:sectPr>
          <w:pgSz w:w="11900" w:h="16838" w:orient="portrait"/>
          <w:cols w:equalWidth="0" w:num="2">
            <w:col w:w="2340" w:space="300"/>
            <w:col w:w="8600"/>
          </w:cols>
          <w:pgMar w:left="320" w:top="1440" w:right="339" w:bottom="1440" w:gutter="0" w:footer="0" w:header="0"/>
          <w:type w:val="continuous"/>
        </w:sectPr>
      </w:pPr>
    </w:p>
    <w:p>
      <w:pPr>
        <w:ind w:left="660"/>
        <w:spacing w:after="0" w:line="231" w:lineRule="auto"/>
        <w:rPr>
          <w:sz w:val="20"/>
          <w:szCs w:val="20"/>
          <w:color w:val="auto"/>
        </w:rPr>
      </w:pPr>
      <w:r>
        <w:rPr>
          <w:rFonts w:ascii="Times New Roman" w:cs="Times New Roman" w:eastAsia="Times New Roman" w:hAnsi="Times New Roman"/>
          <w:sz w:val="21"/>
          <w:szCs w:val="21"/>
          <w:b w:val="1"/>
          <w:b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600" w:val="left"/>
          <w:tab w:leader="none" w:pos="2140" w:val="left"/>
        </w:tabs>
        <w:rPr>
          <w:sz w:val="20"/>
          <w:szCs w:val="20"/>
          <w:color w:val="auto"/>
        </w:rPr>
      </w:pPr>
      <w:r>
        <w:rPr>
          <w:rFonts w:ascii="Times New Roman" w:cs="Times New Roman" w:eastAsia="Times New Roman" w:hAnsi="Times New Roman"/>
          <w:sz w:val="22"/>
          <w:szCs w:val="22"/>
          <w:color w:val="auto"/>
        </w:rPr>
        <w:t>Confidential</w:t>
      </w:r>
      <w:r>
        <w:rPr>
          <w:sz w:val="20"/>
          <w:szCs w:val="20"/>
          <w:color w:val="auto"/>
        </w:rPr>
        <w:tab/>
      </w: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1"/>
          <w:szCs w:val="21"/>
          <w:color w:val="auto"/>
        </w:rPr>
        <w:t>JOHN NORTHCOTT</w:t>
      </w:r>
    </w:p>
    <w:p>
      <w:pPr>
        <w:sectPr>
          <w:pgSz w:w="11900" w:h="16838" w:orient="portrait"/>
          <w:cols w:equalWidth="0" w:num="1">
            <w:col w:w="11240"/>
          </w:cols>
          <w:pgMar w:left="320" w:top="1440" w:right="339" w:bottom="144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RELEASE</w:t>
      </w:r>
    </w:p>
    <w:p>
      <w:pPr>
        <w:spacing w:after="0" w:line="204"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2"/>
          <w:szCs w:val="22"/>
          <w:color w:val="auto"/>
        </w:rPr>
        <w:t>This standard release (“</w:t>
      </w:r>
      <w:r>
        <w:rPr>
          <w:rFonts w:ascii="Times New Roman" w:cs="Times New Roman" w:eastAsia="Times New Roman" w:hAnsi="Times New Roman"/>
          <w:sz w:val="22"/>
          <w:szCs w:val="22"/>
          <w:b w:val="1"/>
          <w:bCs w:val="1"/>
          <w:i w:val="1"/>
          <w:iCs w:val="1"/>
          <w:color w:val="auto"/>
        </w:rPr>
        <w:t>Standard Release</w:t>
      </w:r>
      <w:r>
        <w:rPr>
          <w:rFonts w:ascii="Times New Roman" w:cs="Times New Roman" w:eastAsia="Times New Roman" w:hAnsi="Times New Roman"/>
          <w:sz w:val="22"/>
          <w:szCs w:val="22"/>
          <w:color w:val="auto"/>
        </w:rPr>
        <w:t>”) is entered into between Nektar Therapeutics, a Delaware corporation, defined to include its affiliated companies (including subsidiaries), employees, officers, directors, managers, agents, and shareholders, successors, assigns, and representatives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JOHN NORTHCOTT</w:t>
      </w:r>
    </w:p>
    <w:p>
      <w:pPr>
        <w:spacing w:after="0" w:line="20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1"/>
          <w:szCs w:val="21"/>
          <w:color w:val="auto"/>
        </w:rPr>
        <w:t>(hereafter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your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I</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(collectively with the Company,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 and is supplemental to that certain Employment Transition, Separation and Consultation Agreement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entered into by you and the Company on .</w:t>
      </w:r>
    </w:p>
    <w:p>
      <w:pPr>
        <w:spacing w:after="0" w:line="152" w:lineRule="exact"/>
        <w:rPr>
          <w:sz w:val="20"/>
          <w:szCs w:val="20"/>
          <w:color w:val="auto"/>
        </w:rPr>
      </w:pPr>
    </w:p>
    <w:p>
      <w:pPr>
        <w:ind w:left="1220" w:right="80" w:hanging="1214"/>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You and the Company entered into an Employment Transition, Separation and Consultation Agreement, to,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things, provide for the orderly transition of your duties;</w:t>
      </w:r>
    </w:p>
    <w:p>
      <w:pPr>
        <w:spacing w:after="0" w:line="173" w:lineRule="exact"/>
        <w:rPr>
          <w:sz w:val="20"/>
          <w:szCs w:val="20"/>
          <w:color w:val="auto"/>
        </w:rPr>
      </w:pPr>
    </w:p>
    <w:p>
      <w:pPr>
        <w:ind w:left="1220" w:right="240" w:hanging="1214"/>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provide for the releases as set forth herein with immediate effect upon the Separation Date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term is defined in the Agreement);</w:t>
      </w:r>
    </w:p>
    <w:p>
      <w:pPr>
        <w:spacing w:after="0" w:line="173"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NOW, </w:t>
      </w:r>
      <w:r>
        <w:rPr>
          <w:rFonts w:ascii="Times New Roman" w:cs="Times New Roman" w:eastAsia="Times New Roman" w:hAnsi="Times New Roman"/>
          <w:sz w:val="22"/>
          <w:szCs w:val="22"/>
          <w:color w:val="auto"/>
        </w:rPr>
        <w:t>for good and valuable consideration, the receipt and sufficiency of which are hereby acknowledged, the Parties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as follows:</w:t>
      </w:r>
    </w:p>
    <w:p>
      <w:pPr>
        <w:spacing w:after="0" w:line="173" w:lineRule="exact"/>
        <w:rPr>
          <w:sz w:val="20"/>
          <w:szCs w:val="20"/>
          <w:color w:val="auto"/>
        </w:rPr>
      </w:pPr>
    </w:p>
    <w:p>
      <w:pPr>
        <w:ind w:left="660" w:hanging="652"/>
        <w:spacing w:after="0" w:line="213" w:lineRule="auto"/>
        <w:tabs>
          <w:tab w:leader="none" w:pos="39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In exchange for your promises in this Standard Release, you understand the Company is offering you: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(b) COBRA payments; (c) outplacement services; and any other consideration specifically set forth below. You acknowledge and agree that the consideration given under this Standard Release is in addition to anything of value to which you already were entitled and would not have been provided to you if you had not entered into this Standard Release. Although the Company will calculate any deductions and withholdings based on the Company’s understanding of applicable law using the information the Company has in its payroll system at the time of disbursing any consideration provided to you under this Standard Release, you acknowledge and agree that you are solely responsible for your personal tax liability associated with such consideration.</w:t>
      </w:r>
    </w:p>
    <w:p>
      <w:pPr>
        <w:spacing w:after="0" w:line="147" w:lineRule="exact"/>
        <w:rPr>
          <w:rFonts w:ascii="Times New Roman" w:cs="Times New Roman" w:eastAsia="Times New Roman" w:hAnsi="Times New Roman"/>
          <w:sz w:val="22"/>
          <w:szCs w:val="22"/>
          <w:b w:val="1"/>
          <w:bCs w:val="1"/>
          <w:color w:val="auto"/>
        </w:rPr>
      </w:pPr>
    </w:p>
    <w:p>
      <w:pPr>
        <w:ind w:left="660" w:right="120" w:firstLine="644"/>
        <w:spacing w:after="0" w:line="213" w:lineRule="auto"/>
        <w:tabs>
          <w:tab w:leader="none" w:pos="1776"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w:t>
      </w:r>
      <w:r>
        <w:rPr>
          <w:rFonts w:ascii="Times New Roman" w:cs="Times New Roman" w:eastAsia="Times New Roman" w:hAnsi="Times New Roman"/>
          <w:sz w:val="22"/>
          <w:szCs w:val="22"/>
          <w:color w:val="auto"/>
        </w:rPr>
        <w:t>Subject to applicable deductions and withholdings and so long as you have not resigned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Separation Date and otherwise have successfully completed the Transition Period (as that term is defined in the Agreement), and within thirty (30) days of the Standard Release becoming effective (provided, that such date shall be no later than March 15, 2023), the Company will pay you, in a lump sum, the amount of </w:t>
      </w:r>
      <w:r>
        <w:rPr>
          <w:rFonts w:ascii="Times New Roman" w:cs="Times New Roman" w:eastAsia="Times New Roman" w:hAnsi="Times New Roman"/>
          <w:sz w:val="22"/>
          <w:szCs w:val="22"/>
          <w:b w:val="1"/>
          <w:bCs w:val="1"/>
          <w:color w:val="auto"/>
        </w:rPr>
        <w:t>$921,206.25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calculated as the sum of (i) your annual base pay of $695,250.00 and (ii) $225,956.25, which corresponds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your bonus target of fifty percent (50%) of your annual base pay ($695,250.00) multiplied by the expected pay-out percentage used by the Company for its GAAP financial statements in the previous quarter, which was sixty-five percent (65%) for the first quarter of 2022.</w:t>
      </w:r>
    </w:p>
    <w:p>
      <w:pPr>
        <w:sectPr>
          <w:pgSz w:w="11900" w:h="16838" w:orient="portrait"/>
          <w:cols w:equalWidth="0" w:num="1">
            <w:col w:w="11220"/>
          </w:cols>
          <w:pgMar w:left="320" w:top="94" w:right="359" w:bottom="1440" w:gutter="0" w:footer="0" w:header="0"/>
        </w:sectPr>
      </w:pPr>
    </w:p>
    <w:bookmarkStart w:id="80" w:name="page81"/>
    <w:bookmarkEnd w:id="80"/>
    <w:p>
      <w:pPr>
        <w:spacing w:after="0" w:line="32" w:lineRule="exact"/>
        <w:rPr>
          <w:sz w:val="20"/>
          <w:szCs w:val="20"/>
          <w:color w:val="auto"/>
        </w:rPr>
      </w:pPr>
    </w:p>
    <w:p>
      <w:pPr>
        <w:ind w:left="652" w:right="20" w:firstLine="644"/>
        <w:spacing w:after="0" w:line="210" w:lineRule="auto"/>
        <w:tabs>
          <w:tab w:leader="none" w:pos="17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COBRA Payments. </w:t>
      </w:r>
      <w:r>
        <w:rPr>
          <w:rFonts w:ascii="Times New Roman" w:cs="Times New Roman" w:eastAsia="Times New Roman" w:hAnsi="Times New Roman"/>
          <w:sz w:val="22"/>
          <w:szCs w:val="22"/>
          <w:color w:val="auto"/>
        </w:rPr>
        <w:t>If you are eligible for and meet all requirements for timely election of COBRA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coverage, the Company will pay for certain premiums for your group medical, dental, employee assistance program (EAP) and vision plan COBRA coverage from </w:t>
      </w:r>
      <w:r>
        <w:rPr>
          <w:rFonts w:ascii="Times New Roman" w:cs="Times New Roman" w:eastAsia="Times New Roman" w:hAnsi="Times New Roman"/>
          <w:sz w:val="22"/>
          <w:szCs w:val="22"/>
          <w:b w:val="1"/>
          <w:bCs w:val="1"/>
          <w:color w:val="auto"/>
        </w:rPr>
        <w:t>July 1, 2022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June 30, 2023</w:t>
      </w:r>
      <w:r>
        <w:rPr>
          <w:rFonts w:ascii="Times New Roman" w:cs="Times New Roman" w:eastAsia="Times New Roman" w:hAnsi="Times New Roman"/>
          <w:sz w:val="22"/>
          <w:szCs w:val="22"/>
          <w:color w:val="auto"/>
        </w:rPr>
        <w:t>; provided, however, that the Company may cease paying the premiums for such continuation coverage at any time you become eligible for similar group coverage (medical, dental, or vision, as applicable) from another employer. No provision of the Agreement or this Standard Release will affect the continuation coverage rules under COBRA, except that the Company’s payment of COBRA premiums, if any, will be credited as payment by you for purposes of payments required for COBRA coverage. If the Company determines that it cannot pay such premiums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and such payments to you shall be subject to tax-related deductions and withholdings and paid on the Company’s regular payroll dates.</w:t>
      </w:r>
    </w:p>
    <w:p>
      <w:pPr>
        <w:spacing w:after="0" w:line="178" w:lineRule="exact"/>
        <w:rPr>
          <w:rFonts w:ascii="Times New Roman" w:cs="Times New Roman" w:eastAsia="Times New Roman" w:hAnsi="Times New Roman"/>
          <w:sz w:val="22"/>
          <w:szCs w:val="22"/>
          <w:b w:val="1"/>
          <w:bCs w:val="1"/>
          <w:color w:val="auto"/>
        </w:rPr>
      </w:pPr>
    </w:p>
    <w:p>
      <w:pPr>
        <w:ind w:left="652" w:right="60" w:firstLine="644"/>
        <w:spacing w:after="0" w:line="221" w:lineRule="auto"/>
        <w:tabs>
          <w:tab w:leader="none" w:pos="175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Career Transition Services. </w:t>
      </w:r>
      <w:r>
        <w:rPr>
          <w:rFonts w:ascii="Times New Roman" w:cs="Times New Roman" w:eastAsia="Times New Roman" w:hAnsi="Times New Roman"/>
          <w:sz w:val="22"/>
          <w:szCs w:val="22"/>
          <w:color w:val="auto"/>
        </w:rPr>
        <w:t>To assist you in your job search, the Company will pay for up to six (6) months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career transition services to be provided by the Company’s outplacement services provider, provided that you must initiate your request for these services no earlier than one (1) month before, and no later than three (3) months after, your Separation Date.</w:t>
      </w:r>
    </w:p>
    <w:p>
      <w:pPr>
        <w:spacing w:after="0" w:line="175" w:lineRule="exact"/>
        <w:rPr>
          <w:rFonts w:ascii="Times New Roman" w:cs="Times New Roman" w:eastAsia="Times New Roman" w:hAnsi="Times New Roman"/>
          <w:sz w:val="22"/>
          <w:szCs w:val="22"/>
          <w:b w:val="1"/>
          <w:bCs w:val="1"/>
          <w:color w:val="auto"/>
        </w:rPr>
      </w:pPr>
    </w:p>
    <w:p>
      <w:pPr>
        <w:ind w:left="652" w:right="60" w:firstLine="644"/>
        <w:spacing w:after="0" w:line="212" w:lineRule="auto"/>
        <w:tabs>
          <w:tab w:leader="none" w:pos="183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 of Title to Personal Information Technology Equipment. </w:t>
      </w:r>
      <w:r>
        <w:rPr>
          <w:rFonts w:ascii="Times New Roman" w:cs="Times New Roman" w:eastAsia="Times New Roman" w:hAnsi="Times New Roman"/>
          <w:sz w:val="22"/>
          <w:szCs w:val="22"/>
          <w:color w:val="auto"/>
        </w:rPr>
        <w:t>Subject to the Company’s standard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process for removing access to the Company’s electronic communications, applications and file storage systems, the Company will assign to you any Company-issued mobile phone, laptop computer, tablet, monitor, printer, keyboard, headset, speaker, desk, chair and mouse, </w:t>
      </w:r>
      <w:r>
        <w:rPr>
          <w:rFonts w:ascii="Times New Roman" w:cs="Times New Roman" w:eastAsia="Times New Roman" w:hAnsi="Times New Roman"/>
          <w:sz w:val="22"/>
          <w:szCs w:val="22"/>
          <w:i w:val="1"/>
          <w:iCs w:val="1"/>
          <w:color w:val="auto"/>
        </w:rPr>
        <w:t>in each case, currently in your possession at your residence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Personal 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Equipment</w:t>
      </w:r>
      <w:r>
        <w:rPr>
          <w:rFonts w:ascii="Times New Roman" w:cs="Times New Roman" w:eastAsia="Times New Roman" w:hAnsi="Times New Roman"/>
          <w:sz w:val="22"/>
          <w:szCs w:val="22"/>
          <w:color w:val="auto"/>
        </w:rPr>
        <w:t>”). In accepting the ownership of this Personal IT Equipment, you agree to remove and destroy (and otherwise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 use) any Company confidential and proprietary content, as well as any third-party confidential and proprietary content. You further agree you are solely responsible for using any Personal IT Equipment in accordance with applicable laws and regulations, and you will dispose of any Personal IT Equipment in accordance with manufacturer recommendations, as well as local, state and federal regulations.</w:t>
      </w:r>
    </w:p>
    <w:p>
      <w:pPr>
        <w:spacing w:after="0" w:line="180" w:lineRule="exact"/>
        <w:rPr>
          <w:sz w:val="20"/>
          <w:szCs w:val="20"/>
          <w:color w:val="auto"/>
        </w:rPr>
      </w:pPr>
    </w:p>
    <w:p>
      <w:pPr>
        <w:ind w:left="652" w:right="160" w:firstLine="648"/>
        <w:spacing w:after="0" w:line="236" w:lineRule="auto"/>
        <w:rPr>
          <w:sz w:val="20"/>
          <w:szCs w:val="20"/>
          <w:color w:val="auto"/>
        </w:rPr>
      </w:pPr>
      <w:r>
        <w:rPr>
          <w:rFonts w:ascii="Times New Roman" w:cs="Times New Roman" w:eastAsia="Times New Roman" w:hAnsi="Times New Roman"/>
          <w:sz w:val="22"/>
          <w:szCs w:val="22"/>
          <w:color w:val="auto"/>
        </w:rPr>
        <w:t>You understand that you are not entitled and will not be provided the above consideration if you do not enter into this Standard Release and the Standard Release becoming effective.</w:t>
      </w:r>
    </w:p>
    <w:p>
      <w:pPr>
        <w:spacing w:after="0" w:line="173" w:lineRule="exact"/>
        <w:rPr>
          <w:sz w:val="20"/>
          <w:szCs w:val="20"/>
          <w:color w:val="auto"/>
        </w:rPr>
      </w:pPr>
    </w:p>
    <w:p>
      <w:pPr>
        <w:ind w:left="652" w:hanging="652"/>
        <w:spacing w:after="0" w:line="210" w:lineRule="auto"/>
        <w:tabs>
          <w:tab w:leader="none" w:pos="382"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Acknowledgements. </w:t>
      </w:r>
      <w:r>
        <w:rPr>
          <w:rFonts w:ascii="Times New Roman" w:cs="Times New Roman" w:eastAsia="Times New Roman" w:hAnsi="Times New Roman"/>
          <w:sz w:val="22"/>
          <w:szCs w:val="22"/>
          <w:color w:val="auto"/>
        </w:rPr>
        <w:t>You agree and acknowledge that as of the Separation Date: (a) you received all earned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accrued paid time off, and all other earned compensation and benefits due to you through the Separation Date as a result of services you performed for the Company; (b) you reported to the Company any and all work-related injuries incurred during your employment; (c) the Company properly provided any leave of absence because of your or a family member’s health condition, and you have not been subjected to any improper treatment, conduct or actions due to a request for or taking such leave; (d) you provided the Company with written notice of any and all concerns regarding suspected ethical and compliance issues or violations on the part of the Company or any Released Party; (e) you have not solicited or assisted (except as provided in the Agreement, this Standard Release or under applicable law), in any way an existing or former Company employee or shareholder in bringing an action or claim against the Company; (f) you confirm that you have not filed and do not have pending any complaints, charges or lawsuits against any Released Party with any governmental agency or any court, and you agree that you will not initiate or encourage any such</w:t>
      </w:r>
    </w:p>
    <w:p>
      <w:pPr>
        <w:sectPr>
          <w:pgSz w:w="11900" w:h="16838" w:orient="portrait"/>
          <w:cols w:equalWidth="0" w:num="1">
            <w:col w:w="11232"/>
          </w:cols>
          <w:pgMar w:left="328" w:top="1440" w:right="339" w:bottom="1440" w:gutter="0" w:footer="0" w:header="0"/>
        </w:sectPr>
      </w:pPr>
    </w:p>
    <w:bookmarkStart w:id="81" w:name="page82"/>
    <w:bookmarkEnd w:id="81"/>
    <w:p>
      <w:pPr>
        <w:ind w:left="652" w:right="100"/>
        <w:spacing w:after="0" w:line="217" w:lineRule="auto"/>
        <w:rPr>
          <w:sz w:val="20"/>
          <w:szCs w:val="20"/>
          <w:color w:val="auto"/>
        </w:rPr>
      </w:pPr>
      <w:r>
        <w:rPr>
          <w:rFonts w:ascii="Times New Roman" w:cs="Times New Roman" w:eastAsia="Times New Roman" w:hAnsi="Times New Roman"/>
          <w:sz w:val="22"/>
          <w:szCs w:val="22"/>
          <w:color w:val="auto"/>
        </w:rPr>
        <w:t>actions in any manner contrary to the terms of this Standard Release; and (g) you affirm that you have not raised a claim, including but not limited to, unlawful discrimination; harassment; sexual harassment, abuse, assault, or other criminal conduct; failure to prevent an act of workplace harassment or discrimination; or retaliation in a court or government agency proceeding, in an alternative dispute resolution forum, or through the Company’s internal complaint process, involving the Released Parties.</w:t>
      </w:r>
    </w:p>
    <w:p>
      <w:pPr>
        <w:spacing w:after="0" w:line="148" w:lineRule="exact"/>
        <w:rPr>
          <w:sz w:val="20"/>
          <w:szCs w:val="20"/>
          <w:color w:val="auto"/>
        </w:rPr>
      </w:pPr>
    </w:p>
    <w:p>
      <w:pPr>
        <w:ind w:left="652" w:right="380" w:hanging="652"/>
        <w:spacing w:after="0" w:line="238" w:lineRule="auto"/>
        <w:tabs>
          <w:tab w:leader="none" w:pos="382"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You acknowledge your continued obligations to maintain as confidential all confidential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information of the Company under Section 4 of your Employee Agreement.</w:t>
      </w:r>
    </w:p>
    <w:p>
      <w:pPr>
        <w:spacing w:after="0" w:line="146"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w:t>
      </w:r>
    </w:p>
    <w:p>
      <w:pPr>
        <w:spacing w:after="0" w:line="179" w:lineRule="exact"/>
        <w:rPr>
          <w:rFonts w:ascii="Times New Roman" w:cs="Times New Roman" w:eastAsia="Times New Roman" w:hAnsi="Times New Roman"/>
          <w:sz w:val="22"/>
          <w:szCs w:val="22"/>
          <w:b w:val="1"/>
          <w:bCs w:val="1"/>
          <w:color w:val="auto"/>
        </w:rPr>
      </w:pPr>
    </w:p>
    <w:p>
      <w:pPr>
        <w:ind w:left="652" w:firstLine="644"/>
        <w:spacing w:after="0" w:line="217" w:lineRule="auto"/>
        <w:tabs>
          <w:tab w:leader="none" w:pos="1943" w:val="left"/>
        </w:tabs>
        <w:numPr>
          <w:ilvl w:val="1"/>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General Release. </w:t>
      </w:r>
      <w:r>
        <w:rPr>
          <w:rFonts w:ascii="Times New Roman" w:cs="Times New Roman" w:eastAsia="Times New Roman" w:hAnsi="Times New Roman"/>
          <w:sz w:val="21"/>
          <w:szCs w:val="21"/>
          <w:color w:val="auto"/>
        </w:rPr>
        <w:t>In exchange for the consideration recited in Section 1 of the Standard Release,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personally and for your heirs, executors, administrators, successors and assigns, hereby agree to forever and fully release and discharge the Company and its subsidiaries, successors, predecessors and affiliates, and its and their respective current and former partners, members, directors, officers, employees, stockholders, shareholders, agents, attorneys, predecessors, insurers, affiliates and assigns (each, a “Released Party,” and together,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from any and all claims, demands, actions, causes of action, suits, damages, losses, expenses, liabilities, and obligations, in each case, of every kind and nature, and both known and unknown, individually or as part of a group action, that exist, can arise out of or are in any way related to events, acts, conduct, or omissions occurring at any time during your employment and/or separation of employment with the Company, through to and including the Standard Release Signature Date. This general release includes, but is not limited to, any rights or claims arising under the California Constitution; California statutory and common law (including contract law, employment law and tort law); the California Fair Employment and Housing Act; the California Labor Code (including Labor Code section 132A), the Age Discrimination in Employment Act (ADEA); Title VII of the of the Civil Rights Act of 1964; the Americans with Disabilities Act; the Employee Retirement Income Security Act (ERISA); the Worker Adjustment and Retraining Notification Act (WARN), federal and state family leave statutes; and any and all other federal, state and local laws, statutes, executive orders, regulations and common law; any claim for any loss, cost, damage or expense arising out of any dispute over the non-withholding or other tax treatment of any of the proceeds received by you as a result of this Standard Release; any and all claims for attorney’s fees and costs; and any and all claims relating to, or arising from your right to purchase, or actual purchase of shares of stock of the Company, including, without limitation, any claims for fraud, misrepresentation, breach of fiduciary duty, breach of duty under applicable state corporate law, and securities fraud under any state or federal law. You and the Company agree that this is a compromise settlement of all such claims and therefore, this Standard Release does not constitute any admission of liability on the part of the Company.</w:t>
      </w:r>
    </w:p>
    <w:p>
      <w:pPr>
        <w:spacing w:after="0" w:line="19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You are releasing all rights under Section 1542 of the California Civil Code. Section 1542 provides as follows:</w:t>
      </w:r>
    </w:p>
    <w:p>
      <w:pPr>
        <w:spacing w:after="0" w:line="179" w:lineRule="exact"/>
        <w:rPr>
          <w:sz w:val="20"/>
          <w:szCs w:val="20"/>
          <w:color w:val="auto"/>
        </w:rPr>
      </w:pPr>
    </w:p>
    <w:p>
      <w:pPr>
        <w:ind w:left="1292" w:right="620"/>
        <w:spacing w:after="0" w:line="217"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ind w:left="652" w:right="180"/>
        <w:spacing w:after="0" w:line="225" w:lineRule="auto"/>
        <w:rPr>
          <w:sz w:val="20"/>
          <w:szCs w:val="20"/>
          <w:color w:val="auto"/>
        </w:rPr>
      </w:pPr>
      <w:r>
        <w:rPr>
          <w:rFonts w:ascii="Times New Roman" w:cs="Times New Roman" w:eastAsia="Times New Roman" w:hAnsi="Times New Roman"/>
          <w:sz w:val="22"/>
          <w:szCs w:val="22"/>
          <w:color w:val="auto"/>
        </w:rPr>
        <w:t>You intend these consequences even as to claims for damages that may exist as of the date this Standard Release is executed that you do not know exist and which if known, would materially affect your decision to execute this Standard Release, regardless of</w:t>
      </w:r>
    </w:p>
    <w:p>
      <w:pPr>
        <w:sectPr>
          <w:pgSz w:w="11900" w:h="16838" w:orient="portrait"/>
          <w:cols w:equalWidth="0" w:num="1">
            <w:col w:w="11192"/>
          </w:cols>
          <w:pgMar w:left="328" w:top="990" w:right="379" w:bottom="1440" w:gutter="0" w:footer="0" w:header="0"/>
        </w:sectPr>
      </w:pPr>
    </w:p>
    <w:bookmarkStart w:id="82" w:name="page83"/>
    <w:bookmarkEnd w:id="82"/>
    <w:p>
      <w:pPr>
        <w:ind w:left="652"/>
        <w:spacing w:after="0"/>
        <w:rPr>
          <w:sz w:val="20"/>
          <w:szCs w:val="20"/>
          <w:color w:val="auto"/>
        </w:rPr>
      </w:pPr>
      <w:r>
        <w:rPr>
          <w:rFonts w:ascii="Times New Roman" w:cs="Times New Roman" w:eastAsia="Times New Roman" w:hAnsi="Times New Roman"/>
          <w:sz w:val="22"/>
          <w:szCs w:val="22"/>
          <w:color w:val="auto"/>
        </w:rPr>
        <w:t>whether the lack of knowledge is the result of ignorance, oversight, error, negligence or any other cause.</w:t>
      </w:r>
    </w:p>
    <w:p>
      <w:pPr>
        <w:spacing w:after="0" w:line="175" w:lineRule="exact"/>
        <w:rPr>
          <w:sz w:val="20"/>
          <w:szCs w:val="20"/>
          <w:color w:val="auto"/>
        </w:rPr>
      </w:pPr>
    </w:p>
    <w:p>
      <w:pPr>
        <w:ind w:left="652" w:right="200" w:firstLine="644"/>
        <w:spacing w:after="0" w:line="221" w:lineRule="auto"/>
        <w:tabs>
          <w:tab w:leader="none" w:pos="1942" w:val="left"/>
        </w:tabs>
        <w:numPr>
          <w:ilvl w:val="2"/>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Exclusions from General Release. </w:t>
      </w:r>
      <w:r>
        <w:rPr>
          <w:rFonts w:ascii="Times New Roman" w:cs="Times New Roman" w:eastAsia="Times New Roman" w:hAnsi="Times New Roman"/>
          <w:sz w:val="22"/>
          <w:szCs w:val="22"/>
          <w:color w:val="auto"/>
        </w:rPr>
        <w:t>The above release does not waive claims: (i) for unemployment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workers’ compensation benefits, (ii) for vested rights under ERISA-covered employee benefit plans as applicable on the Standard Release Signature Date, (iii) that may arise after the Standard Release Signature Date, (iv) for indemnification under California Labor Code section 2802, or (v) which cannot be released by private agreement.</w:t>
      </w:r>
    </w:p>
    <w:p>
      <w:pPr>
        <w:spacing w:after="0" w:line="175" w:lineRule="exact"/>
        <w:rPr>
          <w:rFonts w:ascii="Times New Roman" w:cs="Times New Roman" w:eastAsia="Times New Roman" w:hAnsi="Times New Roman"/>
          <w:sz w:val="22"/>
          <w:szCs w:val="22"/>
          <w:b w:val="1"/>
          <w:bCs w:val="1"/>
          <w:color w:val="auto"/>
        </w:rPr>
      </w:pPr>
    </w:p>
    <w:p>
      <w:pPr>
        <w:jc w:val="both"/>
        <w:ind w:left="652" w:right="20" w:hanging="652"/>
        <w:spacing w:after="0" w:line="216" w:lineRule="auto"/>
        <w:tabs>
          <w:tab w:leader="none" w:pos="382"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of this Standard Release. </w:t>
      </w:r>
      <w:r>
        <w:rPr>
          <w:rFonts w:ascii="Times New Roman" w:cs="Times New Roman" w:eastAsia="Times New Roman" w:hAnsi="Times New Roman"/>
          <w:sz w:val="22"/>
          <w:szCs w:val="22"/>
          <w:color w:val="auto"/>
        </w:rPr>
        <w:t>Except as permitted by the terms of this Standard Release and applicable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this Standard Release shall be held in strictest confidence by you and shall not be publicized or disclosed in any manner whatsoever by you at any time to any person other than your lawyer or accountant, a governmental agency, or your immediate family without the prior written consent of an officer of the Company, except as necessary in any legal proceedings directly related to the provisions and terms of this Standard Release, to prepare and file income tax forms, or as required by court order after reasonable notice to the Company.</w:t>
      </w:r>
    </w:p>
    <w:p>
      <w:pPr>
        <w:spacing w:after="0" w:line="145" w:lineRule="exact"/>
        <w:rPr>
          <w:rFonts w:ascii="Times New Roman" w:cs="Times New Roman" w:eastAsia="Times New Roman" w:hAnsi="Times New Roman"/>
          <w:sz w:val="22"/>
          <w:szCs w:val="22"/>
          <w:b w:val="1"/>
          <w:bCs w:val="1"/>
          <w:color w:val="auto"/>
        </w:rPr>
      </w:pPr>
    </w:p>
    <w:p>
      <w:pPr>
        <w:ind w:left="652" w:hanging="652"/>
        <w:spacing w:after="0" w:line="209" w:lineRule="auto"/>
        <w:tabs>
          <w:tab w:leader="none" w:pos="382"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Retaliation. </w:t>
      </w:r>
      <w:r>
        <w:rPr>
          <w:rFonts w:ascii="Times New Roman" w:cs="Times New Roman" w:eastAsia="Times New Roman" w:hAnsi="Times New Roman"/>
          <w:sz w:val="22"/>
          <w:szCs w:val="22"/>
          <w:color w:val="auto"/>
        </w:rPr>
        <w:t>Nevertheless, nothing in this Standard Release prohibits you from reporting an event that you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good faith believes is a violation of law to the relevant law-enforcement agency (such as the SEC, EEOC, or DOL), from testifying truthfully under oath in any court, arbitration or administrative agency proceeding, from providing truthful information in the course of a government investigation or from cooperating in an investigation conducted by such a government agency. This may include disclosure of trade secret or confidential information within the limitations permitted by the 2016 Defend Trade Secrets Act (DTSA). You are hereby provided notice that under the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82" w:lineRule="exact"/>
        <w:rPr>
          <w:rFonts w:ascii="Times New Roman" w:cs="Times New Roman" w:eastAsia="Times New Roman" w:hAnsi="Times New Roman"/>
          <w:sz w:val="22"/>
          <w:szCs w:val="22"/>
          <w:b w:val="1"/>
          <w:bCs w:val="1"/>
          <w:color w:val="auto"/>
        </w:rPr>
      </w:pPr>
    </w:p>
    <w:p>
      <w:pPr>
        <w:ind w:left="652" w:right="20" w:hanging="652"/>
        <w:spacing w:after="0" w:line="218" w:lineRule="auto"/>
        <w:tabs>
          <w:tab w:leader="none" w:pos="37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Voluntary Waiver and Release, Acknowledgement of Waiver of Claims, Advice of Counsel, Consideration, Revocation and Other Information. </w:t>
      </w:r>
      <w:r>
        <w:rPr>
          <w:rFonts w:ascii="Times New Roman" w:cs="Times New Roman" w:eastAsia="Times New Roman" w:hAnsi="Times New Roman"/>
          <w:sz w:val="22"/>
          <w:szCs w:val="22"/>
          <w:color w:val="auto"/>
        </w:rPr>
        <w:t>You acknowledge you are waiving and releasing rights you have under the law and that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and release is executed knowingly and voluntarily without any coercion, duress or undue influence. You acknowledge that the consideration given for this Standard Release is in addition to anything of value to which you were already entitled. You further acknowledge notice in writing that:</w:t>
      </w:r>
    </w:p>
    <w:p>
      <w:pPr>
        <w:spacing w:after="0" w:line="151" w:lineRule="exact"/>
        <w:rPr>
          <w:rFonts w:ascii="Times New Roman" w:cs="Times New Roman" w:eastAsia="Times New Roman" w:hAnsi="Times New Roman"/>
          <w:sz w:val="22"/>
          <w:szCs w:val="22"/>
          <w:b w:val="1"/>
          <w:bCs w:val="1"/>
          <w:color w:val="auto"/>
        </w:rPr>
      </w:pPr>
    </w:p>
    <w:p>
      <w:pPr>
        <w:ind w:left="1292" w:right="200" w:hanging="644"/>
        <w:spacing w:after="0" w:line="225" w:lineRule="auto"/>
        <w:tabs>
          <w:tab w:leader="none" w:pos="115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waiver and release of rights under this Standard Release are voluntary and deliberate, and that you are acting of your own free will in executing this Standard Release and you had an opportunity to ask questions concerning this Standard Release;</w:t>
      </w:r>
    </w:p>
    <w:p>
      <w:pPr>
        <w:spacing w:after="0" w:line="152" w:lineRule="exact"/>
        <w:rPr>
          <w:rFonts w:ascii="Times New Roman" w:cs="Times New Roman" w:eastAsia="Times New Roman" w:hAnsi="Times New Roman"/>
          <w:sz w:val="22"/>
          <w:szCs w:val="22"/>
          <w:color w:val="auto"/>
        </w:rPr>
      </w:pPr>
    </w:p>
    <w:p>
      <w:pPr>
        <w:ind w:left="1292" w:right="300" w:hanging="644"/>
        <w:spacing w:after="0" w:line="236" w:lineRule="auto"/>
        <w:tabs>
          <w:tab w:leader="none" w:pos="116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this Standard Release, you are releasing the Released Parties from any and all claims, that you may have against any of the Released Parties;</w:t>
      </w:r>
    </w:p>
    <w:p>
      <w:pPr>
        <w:spacing w:after="0" w:line="150" w:lineRule="exact"/>
        <w:rPr>
          <w:rFonts w:ascii="Times New Roman" w:cs="Times New Roman" w:eastAsia="Times New Roman" w:hAnsi="Times New Roman"/>
          <w:sz w:val="22"/>
          <w:szCs w:val="22"/>
          <w:color w:val="auto"/>
        </w:rPr>
      </w:pPr>
    </w:p>
    <w:p>
      <w:pPr>
        <w:ind w:left="1292" w:right="380" w:hanging="644"/>
        <w:spacing w:after="0" w:line="236" w:lineRule="auto"/>
        <w:tabs>
          <w:tab w:leader="none" w:pos="115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waiver and release, as set forth in this Standard Release, do not apply to any rights or claims that may arise after the date you sign this Standard Release;</w:t>
      </w:r>
    </w:p>
    <w:p>
      <w:pPr>
        <w:sectPr>
          <w:pgSz w:w="11900" w:h="16838" w:orient="portrait"/>
          <w:cols w:equalWidth="0" w:num="1">
            <w:col w:w="11232"/>
          </w:cols>
          <w:pgMar w:left="328" w:top="990" w:right="339" w:bottom="1440" w:gutter="0" w:footer="0" w:header="0"/>
        </w:sectPr>
      </w:pPr>
    </w:p>
    <w:bookmarkStart w:id="83" w:name="page84"/>
    <w:bookmarkEnd w:id="83"/>
    <w:p>
      <w:pPr>
        <w:ind w:left="1292" w:right="260" w:hanging="644"/>
        <w:spacing w:after="0" w:line="236" w:lineRule="auto"/>
        <w:tabs>
          <w:tab w:leader="none" w:pos="11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advises you that, before signing this Standard Release, you should consult with an attorney, although you may choose voluntarily not to do so;</w:t>
      </w:r>
    </w:p>
    <w:p>
      <w:pPr>
        <w:spacing w:after="0" w:line="150" w:lineRule="exact"/>
        <w:rPr>
          <w:rFonts w:ascii="Times New Roman" w:cs="Times New Roman" w:eastAsia="Times New Roman" w:hAnsi="Times New Roman"/>
          <w:sz w:val="22"/>
          <w:szCs w:val="22"/>
          <w:color w:val="auto"/>
        </w:rPr>
      </w:pPr>
    </w:p>
    <w:p>
      <w:pPr>
        <w:ind w:left="1292" w:right="540" w:hanging="644"/>
        <w:spacing w:after="0" w:line="236" w:lineRule="auto"/>
        <w:tabs>
          <w:tab w:leader="none" w:pos="11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had at least forty-five (45) days to consider whether to sign this Standard Release, although you may choose voluntarily to sign it earlier;</w:t>
      </w:r>
    </w:p>
    <w:p>
      <w:pPr>
        <w:spacing w:after="0" w:line="150" w:lineRule="exact"/>
        <w:rPr>
          <w:rFonts w:ascii="Times New Roman" w:cs="Times New Roman" w:eastAsia="Times New Roman" w:hAnsi="Times New Roman"/>
          <w:sz w:val="22"/>
          <w:szCs w:val="22"/>
          <w:color w:val="auto"/>
        </w:rPr>
      </w:pPr>
    </w:p>
    <w:p>
      <w:pPr>
        <w:ind w:left="1292" w:right="280" w:hanging="644"/>
        <w:spacing w:after="0" w:line="236" w:lineRule="auto"/>
        <w:tabs>
          <w:tab w:leader="none" w:pos="113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this Standard Release, whether material or immaterial, do not restart the running of the forty-five (45) day consideration period;</w:t>
      </w:r>
    </w:p>
    <w:p>
      <w:pPr>
        <w:spacing w:after="0" w:line="150" w:lineRule="exact"/>
        <w:rPr>
          <w:rFonts w:ascii="Times New Roman" w:cs="Times New Roman" w:eastAsia="Times New Roman" w:hAnsi="Times New Roman"/>
          <w:sz w:val="22"/>
          <w:szCs w:val="22"/>
          <w:color w:val="auto"/>
        </w:rPr>
      </w:pPr>
    </w:p>
    <w:p>
      <w:pPr>
        <w:ind w:left="1292" w:right="380" w:hanging="644"/>
        <w:spacing w:after="0" w:line="225" w:lineRule="auto"/>
        <w:tabs>
          <w:tab w:leader="none" w:pos="11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challenge the knowing and voluntary nature of this release under any applicable federal, state, or local agency charged with the enforcement of any employment laws, such as under the Older Workers Benefit Protection Act and the ADEA before a court, the EEOC, the NLRB, or any other; and</w:t>
      </w:r>
    </w:p>
    <w:p>
      <w:pPr>
        <w:spacing w:after="0" w:line="152" w:lineRule="exact"/>
        <w:rPr>
          <w:rFonts w:ascii="Times New Roman" w:cs="Times New Roman" w:eastAsia="Times New Roman" w:hAnsi="Times New Roman"/>
          <w:sz w:val="22"/>
          <w:szCs w:val="22"/>
          <w:color w:val="auto"/>
        </w:rPr>
      </w:pPr>
    </w:p>
    <w:p>
      <w:pPr>
        <w:ind w:left="1292" w:right="100" w:hanging="644"/>
        <w:spacing w:after="0" w:line="236" w:lineRule="auto"/>
        <w:tabs>
          <w:tab w:leader="none" w:pos="116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seven (7) days following the date you sign this Standard Release to revoke it by delivering written notice to the Company’s General Counsel at the address below or by facsimile:</w:t>
      </w:r>
    </w:p>
    <w:p>
      <w:pPr>
        <w:spacing w:after="0" w:line="13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Mark A. Wilson, Senior Vice President &amp; General Counsel</w:t>
      </w:r>
    </w:p>
    <w:p>
      <w:pPr>
        <w:ind w:left="2592"/>
        <w:spacing w:after="0" w:line="204" w:lineRule="auto"/>
        <w:rPr>
          <w:sz w:val="20"/>
          <w:szCs w:val="20"/>
          <w:color w:val="auto"/>
        </w:rPr>
      </w:pPr>
      <w:r>
        <w:rPr>
          <w:rFonts w:ascii="Times New Roman" w:cs="Times New Roman" w:eastAsia="Times New Roman" w:hAnsi="Times New Roman"/>
          <w:sz w:val="22"/>
          <w:szCs w:val="22"/>
          <w:color w:val="auto"/>
        </w:rPr>
        <w:t>Nektar Therapeutics</w:t>
      </w:r>
    </w:p>
    <w:p>
      <w:pPr>
        <w:ind w:left="2592"/>
        <w:spacing w:after="0" w:line="205" w:lineRule="auto"/>
        <w:rPr>
          <w:sz w:val="20"/>
          <w:szCs w:val="20"/>
          <w:color w:val="auto"/>
        </w:rPr>
      </w:pPr>
      <w:r>
        <w:rPr>
          <w:rFonts w:ascii="Times New Roman" w:cs="Times New Roman" w:eastAsia="Times New Roman" w:hAnsi="Times New Roman"/>
          <w:sz w:val="22"/>
          <w:szCs w:val="22"/>
          <w:color w:val="auto"/>
        </w:rPr>
        <w:t>455 Mission Bay Boulevard South</w:t>
      </w:r>
    </w:p>
    <w:p>
      <w:pPr>
        <w:ind w:left="2592"/>
        <w:spacing w:after="0" w:line="205" w:lineRule="auto"/>
        <w:rPr>
          <w:sz w:val="20"/>
          <w:szCs w:val="20"/>
          <w:color w:val="auto"/>
        </w:rPr>
      </w:pPr>
      <w:r>
        <w:rPr>
          <w:rFonts w:ascii="Times New Roman" w:cs="Times New Roman" w:eastAsia="Times New Roman" w:hAnsi="Times New Roman"/>
          <w:sz w:val="22"/>
          <w:szCs w:val="22"/>
          <w:color w:val="auto"/>
        </w:rPr>
        <w:t>San Francisco, CA 94158</w:t>
      </w:r>
    </w:p>
    <w:p>
      <w:pPr>
        <w:spacing w:after="0" w:line="1"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(415) 339-5322 (facsimile)</w:t>
      </w:r>
    </w:p>
    <w:p>
      <w:pPr>
        <w:spacing w:after="0" w:line="182" w:lineRule="exact"/>
        <w:rPr>
          <w:sz w:val="20"/>
          <w:szCs w:val="20"/>
          <w:color w:val="auto"/>
        </w:rPr>
      </w:pPr>
    </w:p>
    <w:p>
      <w:pPr>
        <w:ind w:left="1292" w:right="60"/>
        <w:spacing w:after="0" w:line="220" w:lineRule="auto"/>
        <w:rPr>
          <w:sz w:val="20"/>
          <w:szCs w:val="20"/>
          <w:color w:val="auto"/>
        </w:rPr>
      </w:pPr>
      <w:r>
        <w:rPr>
          <w:rFonts w:ascii="Times New Roman" w:cs="Times New Roman" w:eastAsia="Times New Roman" w:hAnsi="Times New Roman"/>
          <w:sz w:val="22"/>
          <w:szCs w:val="22"/>
          <w:color w:val="auto"/>
        </w:rPr>
        <w:t xml:space="preserve">If the revocation period expires on a weekend or holiday, you will have until the end of the next business day to revoke it. This Standard Release will become effective on the eighth day after you sign this Standard Release, provided you do not revoke this Standard Release (“the </w:t>
      </w:r>
      <w:r>
        <w:rPr>
          <w:rFonts w:ascii="Times New Roman" w:cs="Times New Roman" w:eastAsia="Times New Roman" w:hAnsi="Times New Roman"/>
          <w:sz w:val="22"/>
          <w:szCs w:val="22"/>
          <w:b w:val="1"/>
          <w:bCs w:val="1"/>
          <w:i w:val="1"/>
          <w:iCs w:val="1"/>
          <w:color w:val="auto"/>
        </w:rPr>
        <w:t>Standard Release Effective Date</w:t>
      </w:r>
      <w:r>
        <w:rPr>
          <w:rFonts w:ascii="Times New Roman" w:cs="Times New Roman" w:eastAsia="Times New Roman" w:hAnsi="Times New Roman"/>
          <w:sz w:val="22"/>
          <w:szCs w:val="22"/>
          <w:color w:val="auto"/>
        </w:rPr>
        <w:t>”) prior to the expiration of the seven (7) day revocation period as provided above.</w:t>
      </w:r>
    </w:p>
    <w:p>
      <w:pPr>
        <w:spacing w:after="0" w:line="139" w:lineRule="exact"/>
        <w:rPr>
          <w:sz w:val="20"/>
          <w:szCs w:val="20"/>
          <w:color w:val="auto"/>
        </w:rPr>
      </w:pPr>
    </w:p>
    <w:p>
      <w:pPr>
        <w:ind w:left="372" w:hanging="372"/>
        <w:spacing w:after="0"/>
        <w:tabs>
          <w:tab w:leader="none" w:pos="372"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Entire Agreement; Modification. </w:t>
      </w:r>
      <w:r>
        <w:rPr>
          <w:rFonts w:ascii="Times New Roman" w:cs="Times New Roman" w:eastAsia="Times New Roman" w:hAnsi="Times New Roman"/>
          <w:sz w:val="22"/>
          <w:szCs w:val="22"/>
          <w:color w:val="auto"/>
        </w:rPr>
        <w:t>This Standard Release is governed by California law. The Agreement, the Standard</w:t>
      </w:r>
    </w:p>
    <w:p>
      <w:pPr>
        <w:ind w:left="652"/>
        <w:spacing w:after="0" w:line="20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Release and your Employee Agreement, if any, constitute the complete and only agreement between you and the Company on these subjects. In entering this Standard Release, you are not relying on any promise or representation, written or oral, other than those expressly contained in the Agreement and this Standard Release. Any prior agreements between or directly involving you and the Company are superseded by the Agreement and this Standard Release, except for your Employee Agreement with the Company, the Equity Plans, and Award Agreements. This Standard Release may not be modified except in a writing signed by both you and a Senior Vice President of the Company. This Standard Release shall bind the heirs, personal representatives, successors and assigns of both you and the Company, and inure to the benefit of both you and the Released Parties, their heirs, successors and assigns. Any determination that a provision of this Standard Release is invalid or unenforceable, in whole or in part, will not affect any other provision of this Standard Release, and the provision in question shall be modified by the court so as to be rendered enforceable in accordance with the intent of the parties to the extent possible.</w:t>
      </w:r>
    </w:p>
    <w:p>
      <w:pPr>
        <w:spacing w:after="0" w:line="152" w:lineRule="exact"/>
        <w:rPr>
          <w:rFonts w:ascii="Times New Roman" w:cs="Times New Roman" w:eastAsia="Times New Roman" w:hAnsi="Times New Roman"/>
          <w:sz w:val="22"/>
          <w:szCs w:val="22"/>
          <w:b w:val="1"/>
          <w:bCs w:val="1"/>
          <w:color w:val="auto"/>
        </w:rPr>
      </w:pPr>
    </w:p>
    <w:p>
      <w:pPr>
        <w:ind w:left="652" w:right="120" w:hanging="652"/>
        <w:spacing w:after="0" w:line="221" w:lineRule="auto"/>
        <w:tabs>
          <w:tab w:leader="none" w:pos="382"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headings in this Standard Release are provided for reference only and shall not affect the substance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Standard Release. This Standard Release may be signed in counterparts. This Standard Release may be executed by electronic means and such signatures shall be deemed to bind each Party with the same force and effect as a handwritten signature.</w:t>
      </w:r>
    </w:p>
    <w:p>
      <w:pPr>
        <w:spacing w:after="0" w:line="15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[Remainder of Page Intentionally Blank]</w:t>
      </w:r>
    </w:p>
    <w:p>
      <w:pPr>
        <w:sectPr>
          <w:pgSz w:w="11900" w:h="16838" w:orient="portrait"/>
          <w:cols w:equalWidth="0" w:num="1">
            <w:col w:w="11172"/>
          </w:cols>
          <w:pgMar w:left="328" w:top="990" w:right="399" w:bottom="1440" w:gutter="0" w:footer="0" w:header="0"/>
        </w:sectPr>
      </w:pPr>
    </w:p>
    <w:bookmarkStart w:id="84" w:name="page85"/>
    <w:bookmarkEnd w:id="84"/>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If this Standard Release is acceptable to you, please sign below and return the original to Human Resources no later than August 14, 2022. The Company’s offer to enter this Standard Release will automatically expire if we do not receive your executed Standard Release by the aforementioned time period.</w:t>
      </w:r>
    </w:p>
    <w:p>
      <w:pPr>
        <w:spacing w:after="0" w:line="17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PLEASE READ THIS STANDARD RELEASE AND CAREFULLY CONSIDER ALL OF ITS PROVISIONS BEFORE SIGNING IT. THIS STANDARD RELEASE CONTAINS A RELEASE OF ALL KNOWN AND UNKNOWN CLAIMS, INCLUDING CLAIMS UNDER TITLE VII, THE CALIFORNIA FAIR EMPLOYMENT AND HOUSING ACT AND OTHER FEDERAL, STATE AND LOCAL LAWS PROHIBITING DISCRIMINATION IN EMPLOYMENT,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 acknowledge and agree that I have read and understand this Standard Release, am signing this Standard Release knowing I could be waiving valuable rights, and acknowledge that this Standard Release is final and binding.</w:t>
      </w:r>
    </w:p>
    <w:p>
      <w:pPr>
        <w:spacing w:after="0" w:line="366"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22"/>
          <w:szCs w:val="22"/>
          <w:color w:val="auto"/>
        </w:rPr>
        <w:t>JOHN NORTHCOTT</w:t>
      </w:r>
      <w:r>
        <w:rPr>
          <w:sz w:val="20"/>
          <w:szCs w:val="20"/>
          <w:color w:val="auto"/>
        </w:rPr>
        <w:tab/>
      </w:r>
      <w:r>
        <w:rPr>
          <w:rFonts w:ascii="Times New Roman" w:cs="Times New Roman" w:eastAsia="Times New Roman" w:hAnsi="Times New Roman"/>
          <w:sz w:val="21"/>
          <w:szCs w:val="21"/>
          <w:color w:val="auto"/>
        </w:rPr>
        <w:t>Position: SVP &amp; Chief Commercial Officer</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-5715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Standard Release Signature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Nektar Therapeutics</w:t>
      </w:r>
    </w:p>
    <w:p>
      <w:pPr>
        <w:spacing w:after="0" w:line="200" w:lineRule="exact"/>
        <w:rPr>
          <w:sz w:val="20"/>
          <w:szCs w:val="20"/>
          <w:color w:val="auto"/>
        </w:rPr>
      </w:pPr>
    </w:p>
    <w:p>
      <w:pPr>
        <w:spacing w:after="0" w:line="2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-5715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660"/>
        <w:spacing w:after="0" w:line="204" w:lineRule="auto"/>
        <w:rPr>
          <w:sz w:val="20"/>
          <w:szCs w:val="20"/>
          <w:color w:val="auto"/>
        </w:rPr>
      </w:pPr>
      <w:r>
        <w:rPr>
          <w:rFonts w:ascii="Times New Roman" w:cs="Times New Roman" w:eastAsia="Times New Roman" w:hAnsi="Times New Roman"/>
          <w:sz w:val="22"/>
          <w:szCs w:val="22"/>
          <w:b w:val="1"/>
          <w:bCs w:val="1"/>
          <w:color w:val="auto"/>
        </w:rPr>
        <w:t>Howard W. Robin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President and Chief Executive Officer</w:t>
      </w:r>
    </w:p>
    <w:p>
      <w:pPr>
        <w:sectPr>
          <w:pgSz w:w="11900" w:h="16838" w:orient="portrait"/>
          <w:cols w:equalWidth="0" w:num="1">
            <w:col w:w="11240"/>
          </w:cols>
          <w:pgMar w:left="320" w:top="123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W. Robin, certify that:</w:t>
      </w:r>
    </w:p>
    <w:p>
      <w:pPr>
        <w:spacing w:after="0" w:line="117" w:lineRule="exact"/>
        <w:rPr>
          <w:sz w:val="20"/>
          <w:szCs w:val="20"/>
          <w:color w:val="auto"/>
        </w:rPr>
      </w:pPr>
    </w:p>
    <w:p>
      <w:pPr>
        <w:ind w:left="820" w:hanging="812"/>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Nektar Therapeutics;</w:t>
      </w:r>
    </w:p>
    <w:p>
      <w:pPr>
        <w:spacing w:after="0" w:line="117"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right="220" w:hanging="812"/>
        <w:spacing w:after="0" w:line="282" w:lineRule="auto"/>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460" w:right="180" w:hanging="642"/>
        <w:spacing w:after="0" w:line="266" w:lineRule="auto"/>
        <w:tabs>
          <w:tab w:leader="none" w:pos="14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right="260" w:hanging="642"/>
        <w:spacing w:after="0" w:line="266" w:lineRule="auto"/>
        <w:tabs>
          <w:tab w:leader="none" w:pos="14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right="40" w:hanging="642"/>
        <w:spacing w:after="0" w:line="282" w:lineRule="auto"/>
        <w:tabs>
          <w:tab w:leader="none" w:pos="14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642"/>
        <w:spacing w:after="0" w:line="266" w:lineRule="auto"/>
        <w:tabs>
          <w:tab w:leader="none" w:pos="14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642"/>
        <w:spacing w:after="0" w:line="282" w:lineRule="auto"/>
        <w:tabs>
          <w:tab w:leader="none" w:pos="14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642"/>
        <w:spacing w:after="0" w:line="273" w:lineRule="auto"/>
        <w:tabs>
          <w:tab w:leader="none" w:pos="14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8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7"/>
          <w:szCs w:val="17"/>
          <w:color w:val="auto"/>
        </w:rPr>
        <w:t>/s/ HOWARD W.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26485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Howard W. Robin</w:t>
      </w:r>
    </w:p>
    <w:p>
      <w:pPr>
        <w:ind w:left="570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Jillian B. Thomsen, certify that:</w:t>
      </w:r>
    </w:p>
    <w:p>
      <w:pPr>
        <w:spacing w:after="0" w:line="99" w:lineRule="exact"/>
        <w:rPr>
          <w:sz w:val="20"/>
          <w:szCs w:val="20"/>
          <w:color w:val="auto"/>
        </w:rPr>
      </w:pPr>
    </w:p>
    <w:p>
      <w:pPr>
        <w:ind w:left="820" w:hanging="812"/>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Nektar Therapeutics;</w:t>
      </w:r>
    </w:p>
    <w:p>
      <w:pPr>
        <w:spacing w:after="0" w:line="117"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20" w:right="220" w:hanging="812"/>
        <w:spacing w:after="0" w:line="282"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460" w:right="180" w:hanging="642"/>
        <w:spacing w:after="0" w:line="266"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right="260" w:hanging="642"/>
        <w:spacing w:after="0" w:line="266"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right="40" w:hanging="642"/>
        <w:spacing w:after="0" w:line="282"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642"/>
        <w:spacing w:after="0" w:line="266"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642"/>
        <w:spacing w:after="0" w:line="282"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642"/>
        <w:spacing w:after="0" w:line="273"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80"/>
        <w:spacing w:after="0"/>
        <w:tabs>
          <w:tab w:leader="none" w:pos="58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7"/>
          <w:szCs w:val="17"/>
          <w:color w:val="auto"/>
        </w:rPr>
        <w:t>/s/ JILLIAN B.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2682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Jillian B. Thomsen</w:t>
      </w:r>
    </w:p>
    <w:p>
      <w:pPr>
        <w:ind w:left="59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Jillian B. Thomsen, Senior Vice President, Chief Financial Officer of the Company, each hereby certifies that, to the best of his or her knowledge:</w:t>
      </w:r>
    </w:p>
    <w:p>
      <w:pPr>
        <w:spacing w:after="0" w:line="72" w:lineRule="exact"/>
        <w:rPr>
          <w:sz w:val="20"/>
          <w:szCs w:val="20"/>
          <w:color w:val="auto"/>
        </w:rPr>
      </w:pPr>
    </w:p>
    <w:p>
      <w:pPr>
        <w:ind w:left="820" w:right="360" w:hanging="812"/>
        <w:spacing w:after="0" w:line="282" w:lineRule="auto"/>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three months ended June 30, 2022,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820" w:right="120" w:hanging="812"/>
        <w:spacing w:after="0" w:line="273" w:lineRule="auto"/>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August 4,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HOWARD W. ROBIN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JILLIAN B. THOMSEN</w:t>
            </w:r>
          </w:p>
        </w:tc>
      </w:tr>
      <w:tr>
        <w:trPr>
          <w:trHeight w:val="27"/>
        </w:trPr>
        <w:tc>
          <w:tcPr>
            <w:tcW w:w="8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4"/>
        </w:trPr>
        <w:tc>
          <w:tcPr>
            <w:tcW w:w="82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Jillian B. Thomsen</w:t>
            </w:r>
          </w:p>
        </w:tc>
      </w:tr>
      <w:tr>
        <w:trPr>
          <w:trHeight w:val="238"/>
        </w:trPr>
        <w:tc>
          <w:tcPr>
            <w:tcW w:w="82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tc>
      </w:tr>
      <w:tr>
        <w:trPr>
          <w:trHeight w:val="245"/>
        </w:trPr>
        <w:tc>
          <w:tcPr>
            <w:tcW w:w="5020" w:type="dxa"/>
            <w:vAlign w:val="bottom"/>
            <w:gridSpan w:val="2"/>
          </w:tcPr>
          <w:p>
            <w:pPr>
              <w:jc w:val="right"/>
              <w:ind w:right="2590"/>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w:t>
            </w:r>
          </w:p>
        </w:tc>
        <w:tc>
          <w:tcPr>
            <w:tcW w:w="1760" w:type="dxa"/>
            <w:vAlign w:val="bottom"/>
          </w:tcPr>
          <w:p>
            <w:pPr>
              <w:spacing w:after="0"/>
              <w:rPr>
                <w:sz w:val="21"/>
                <w:szCs w:val="21"/>
                <w:color w:val="auto"/>
              </w:rPr>
            </w:pPr>
          </w:p>
        </w:tc>
        <w:tc>
          <w:tcPr>
            <w:tcW w:w="4440" w:type="dxa"/>
            <w:vAlign w:val="bottom"/>
          </w:tcPr>
          <w:p>
            <w:pPr>
              <w:spacing w:after="0"/>
              <w:rPr>
                <w:sz w:val="21"/>
                <w:szCs w:val="21"/>
                <w:color w:val="auto"/>
              </w:rPr>
            </w:pPr>
          </w:p>
        </w:tc>
      </w:tr>
    </w:tbl>
    <w:p>
      <w:pPr>
        <w:ind w:left="820" w:right="20" w:hanging="812"/>
        <w:spacing w:after="0" w:line="253" w:lineRule="auto"/>
        <w:tabs>
          <w:tab w:leader="none" w:pos="2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lvl w:ilvl="1">
      <w:lvlJc w:val="left"/>
      <w:lvlText w:val="◦"/>
      <w:numFmt w:val="bullet"/>
      <w:start w:val="1"/>
    </w:lvl>
  </w:abstractNum>
  <w:abstractNum w:abstractNumId="3">
    <w:nsid w:val="737B8DDC"/>
    <w:multiLevelType w:val="hybridMultilevel"/>
    <w:lvl w:ilvl="0">
      <w:lvlJc w:val="left"/>
      <w:lvlText w:val="•"/>
      <w:numFmt w:val="bullet"/>
      <w:start w:val="1"/>
    </w:lvl>
    <w:lvl w:ilvl="1">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decimal"/>
      <w:start w:val="2"/>
    </w:lvl>
  </w:abstractNum>
  <w:abstractNum w:abstractNumId="27">
    <w:nsid w:val="1D4ED43B"/>
    <w:multiLevelType w:val="hybridMultilevel"/>
    <w:lvl w:ilvl="0">
      <w:lvlJc w:val="left"/>
      <w:lvlText w:val="%1."/>
      <w:numFmt w:val="decimal"/>
      <w:start w:val="4"/>
    </w:lvl>
    <w:lvl w:ilvl="1">
      <w:lvlJc w:val="left"/>
      <w:lvlText w:val="(%2)"/>
      <w:numFmt w:val="decimal"/>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decimal"/>
      <w:start w:val="5"/>
    </w:lvl>
  </w:abstractNum>
  <w:abstractNum w:abstractNumId="30">
    <w:nsid w:val="57E4CCAF"/>
    <w:multiLevelType w:val="hybridMultilevel"/>
    <w:lvl w:ilvl="0">
      <w:lvlJc w:val="left"/>
      <w:lvlText w:val="(%1)"/>
      <w:numFmt w:val="lowerRoman"/>
      <w:start w:val="4"/>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3"/>
    </w:lvl>
  </w:abstractNum>
  <w:abstractNum w:abstractNumId="33">
    <w:nsid w:val="542289EC"/>
    <w:multiLevelType w:val="hybridMultilevel"/>
    <w:lvl w:ilvl="0">
      <w:lvlJc w:val="left"/>
      <w:lvlText w:val="%1."/>
      <w:numFmt w:val="decimal"/>
      <w:start w:val="6"/>
    </w:lvl>
    <w:lvl w:ilvl="1">
      <w:lvlJc w:val="left"/>
      <w:lvlText w:val="(%2)"/>
      <w:numFmt w:val="decimal"/>
      <w:start w:val="3"/>
    </w:lvl>
  </w:abstractNum>
  <w:abstractNum w:abstractNumId="34">
    <w:nsid w:val="6DE91B18"/>
    <w:multiLevelType w:val="hybridMultilevel"/>
    <w:lvl w:ilvl="0">
      <w:lvlJc w:val="left"/>
      <w:lvlText w:val="%1"/>
      <w:numFmt w:val="decimal"/>
      <w:start w:val="1"/>
    </w:lvl>
    <w:lvl w:ilvl="1">
      <w:lvlJc w:val="left"/>
      <w:lvlText w:val="(%2)"/>
      <w:numFmt w:val="lowerLetter"/>
      <w:start w:val="1"/>
    </w:lvl>
  </w:abstractNum>
  <w:abstractNum w:abstractNumId="35">
    <w:nsid w:val="38437FDB"/>
    <w:multiLevelType w:val="hybridMultilevel"/>
    <w:lvl w:ilvl="0">
      <w:lvlJc w:val="left"/>
      <w:lvlText w:val="%1."/>
      <w:numFmt w:val="decimal"/>
      <w:start w:val="8"/>
    </w:lvl>
    <w:lvl w:ilvl="1">
      <w:lvlJc w:val="left"/>
      <w:lvlText w:val="%2"/>
      <w:numFmt w:val="lowerLetter"/>
      <w:start w:val="1"/>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decimal"/>
      <w:start w:val="1"/>
    </w:lvl>
    <w:lvl w:ilvl="1">
      <w:lvlJc w:val="left"/>
      <w:lvlText w:val="(%2)"/>
      <w:numFmt w:val="lowerLetter"/>
      <w:start w:val="1"/>
    </w:lvl>
  </w:abstractNum>
  <w:abstractNum w:abstractNumId="39">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0">
    <w:nsid w:val="749ABB4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41">
    <w:nsid w:val="3DC240FB"/>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1"/>
    </w:lvl>
  </w:abstractNum>
  <w:abstractNum w:abstractNumId="42">
    <w:nsid w:val="1BA026FA"/>
    <w:multiLevelType w:val="hybridMultilevel"/>
    <w:lvl w:ilvl="0">
      <w:lvlJc w:val="left"/>
      <w:lvlText w:val="(%1)"/>
      <w:numFmt w:val="lowerLetter"/>
      <w:start w:val="3"/>
    </w:lvl>
    <w:lvl w:ilvl="1">
      <w:lvlJc w:val="left"/>
      <w:lvlText w:val="(%2)"/>
      <w:numFmt w:val="lowerLetter"/>
      <w:start w:val="9"/>
    </w:lvl>
  </w:abstractNum>
  <w:abstractNum w:abstractNumId="43">
    <w:nsid w:val="79A1DEAA"/>
    <w:multiLevelType w:val="hybridMultilevel"/>
    <w:lvl w:ilvl="0">
      <w:lvlJc w:val="left"/>
      <w:lvlText w:val="%1"/>
      <w:numFmt w:val="decimal"/>
      <w:start w:val="1"/>
    </w:lvl>
    <w:lvl w:ilvl="1">
      <w:lvlJc w:val="left"/>
      <w:lvlText w:val="(%2)"/>
      <w:numFmt w:val="lowerRoman"/>
      <w:start w:val="2"/>
    </w:lvl>
  </w:abstractNum>
  <w:abstractNum w:abstractNumId="44">
    <w:nsid w:val="75C6C33A"/>
    <w:multiLevelType w:val="hybridMultilevel"/>
    <w:lvl w:ilvl="0">
      <w:lvlJc w:val="left"/>
      <w:lvlText w:val="%1."/>
      <w:numFmt w:val="decimal"/>
      <w:start w:val="5"/>
    </w:lvl>
    <w:lvl w:ilvl="1">
      <w:lvlJc w:val="left"/>
      <w:lvlText w:val="%2"/>
      <w:numFmt w:val="lowerRoman"/>
      <w:start w:val="1"/>
    </w:lvl>
  </w:abstractNum>
  <w:abstractNum w:abstractNumId="45">
    <w:nsid w:val="12E685FB"/>
    <w:multiLevelType w:val="hybridMultilevel"/>
    <w:lvl w:ilvl="0">
      <w:lvlJc w:val="left"/>
      <w:lvlText w:val="%1."/>
      <w:numFmt w:val="decimal"/>
      <w:start w:val="6"/>
    </w:lvl>
  </w:abstractNum>
  <w:abstractNum w:abstractNumId="46">
    <w:nsid w:val="70C6A529"/>
    <w:multiLevelType w:val="hybridMultilevel"/>
    <w:lvl w:ilvl="0">
      <w:lvlJc w:val="left"/>
      <w:lvlText w:val="%1."/>
      <w:numFmt w:val="decimal"/>
      <w:start w:val="10"/>
    </w:lvl>
  </w:abstractNum>
  <w:abstractNum w:abstractNumId="47">
    <w:nsid w:val="520EEDD1"/>
    <w:multiLevelType w:val="hybridMultilevel"/>
    <w:lvl w:ilvl="0">
      <w:lvlJc w:val="left"/>
      <w:lvlText w:val="%1."/>
      <w:numFmt w:val="decimal"/>
      <w:start w:val="1"/>
    </w:lvl>
    <w:lvl w:ilvl="1">
      <w:lvlJc w:val="left"/>
      <w:lvlText w:val="(%2)"/>
      <w:numFmt w:val="lowerLetter"/>
      <w:start w:val="1"/>
    </w:lvl>
  </w:abstractNum>
  <w:abstractNum w:abstractNumId="48">
    <w:nsid w:val="374A3FE6"/>
    <w:multiLevelType w:val="hybridMultilevel"/>
    <w:lvl w:ilvl="0">
      <w:lvlJc w:val="left"/>
      <w:lvlText w:val="(%1)"/>
      <w:numFmt w:val="lowerLetter"/>
      <w:start w:val="2"/>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1."/>
      <w:numFmt w:val="decimal"/>
      <w:start w:val="3"/>
    </w:lvl>
    <w:lvl w:ilvl="1">
      <w:lvlJc w:val="left"/>
      <w:lvlText w:val="(%2)"/>
      <w:numFmt w:val="lowerLetter"/>
      <w:start w:val="1"/>
    </w:lvl>
  </w:abstractNum>
  <w:abstractNum w:abstractNumId="51">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2">
    <w:nsid w:val="275AC79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3">
    <w:nsid w:val="39386575"/>
    <w:multiLevelType w:val="hybridMultilevel"/>
    <w:lvl w:ilvl="0">
      <w:lvlJc w:val="left"/>
      <w:lvlText w:val="(%1)"/>
      <w:numFmt w:val="lowerLetter"/>
      <w:start w:val="4"/>
    </w:lvl>
  </w:abstractNum>
  <w:abstractNum w:abstractNumId="54">
    <w:nsid w:val="1CF10FD8"/>
    <w:multiLevelType w:val="hybridMultilevel"/>
    <w:lvl w:ilvl="0">
      <w:lvlJc w:val="left"/>
      <w:lvlText w:val="%1."/>
      <w:numFmt w:val="decimal"/>
      <w:start w:val="8"/>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jpe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79" Type="http://schemas.openxmlformats.org/officeDocument/2006/relationships/hyperlink" Target="https://www.sec.gov/Archives/edgar/data/906709/0001047469-98-031070.txt" TargetMode="External"/><Relationship Id="rId80" Type="http://schemas.openxmlformats.org/officeDocument/2006/relationships/hyperlink" Target="https://www.sec.gov/Archives/edgar/data/906709/000091205700037283/ex-3_3.txt" TargetMode="External"/><Relationship Id="rId81" Type="http://schemas.openxmlformats.org/officeDocument/2006/relationships/hyperlink" Target="https://www.sec.gov/Archives/edgar/data/906709/000104746903002325/a2101294zex-3_1.htm" TargetMode="External"/><Relationship Id="rId82" Type="http://schemas.openxmlformats.org/officeDocument/2006/relationships/hyperlink" Target="https://www.sec.gov/Archives/edgar/data/906709/000114420410011093/v176023_ex3-6.htm" TargetMode="External"/><Relationship Id="rId83" Type="http://schemas.openxmlformats.org/officeDocument/2006/relationships/hyperlink" Target="https://www.sec.gov/Archives/edgar/data/906709/000121390020043821/ea132008ex3-1_nektarthera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2022-08-05T05:24:49Z</dcterms:created>
  <dcterms:modified xsi:type="dcterms:W3CDTF">2022-08-05T05:24:49Z</dcterms:modified>
</cp:coreProperties>
</file>