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b/>
        </w:rPr>
      </w:pPr>
      <w:bookmarkStart w:id="0" w:name="ea0301504-s8_nektar.htm"/>
      <w:bookmarkStart w:id="1" w:name="ksea0301504s8_nektar"/>
      <w:bookmarkEnd w:id="0"/>
      <w:bookmarkEnd w:id="1"/>
      <w:r>
        <w:rPr>
          <w:b/>
        </w:rPr>
        <w:t>As filed with the Securities and Exchange Commission on August 14,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NEKTAR THERAPEUTICS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425" w:type="dxa"/>
        <w:jc w:val="left"/>
        <w:tblInd w:w="0" w:type="dxa"/>
        <w:tblLayout w:type="fixed"/>
        <w:tblCellMar>
          <w:top w:w="0" w:type="dxa"/>
          <w:left w:w="0" w:type="dxa"/>
          <w:bottom w:w="28" w:type="dxa"/>
          <w:right w:w="0" w:type="dxa"/>
        </w:tblCellMar>
      </w:tblPr>
      <w:tblGrid>
        <w:gridCol w:w="3395"/>
        <w:gridCol w:w="60"/>
        <w:gridCol w:w="1970"/>
      </w:tblGrid>
      <w:tr>
        <w:trPr/>
        <w:tc>
          <w:tcPr>
            <w:tcW w:w="339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b/>
                <w:sz w:val="20"/>
              </w:rPr>
            </w:pPr>
            <w:r>
              <w:rPr>
                <w:b/>
                <w:sz w:val="20"/>
              </w:rPr>
              <w:t>94-3134940</w:t>
            </w:r>
          </w:p>
        </w:tc>
      </w:tr>
      <w:tr>
        <w:trPr/>
        <w:tc>
          <w:tcPr>
            <w:tcW w:w="3395" w:type="dxa"/>
            <w:tcBorders/>
            <w:tcMar>
              <w:bottom w:w="0" w:type="dxa"/>
            </w:tcMar>
            <w:vAlign w:val="center"/>
          </w:tcPr>
          <w:p>
            <w:pPr>
              <w:pStyle w:val="TableContents"/>
              <w:bidi w:val="0"/>
              <w:spacing w:before="0" w:after="283"/>
              <w:jc w:val="center"/>
              <w:rPr>
                <w:b/>
                <w:sz w:val="20"/>
              </w:rPr>
            </w:pPr>
            <w:r>
              <w:rPr>
                <w:b/>
                <w:sz w:val="20"/>
              </w:rPr>
              <w:t xml:space="preserve">(State or other jurisdiction </w:t>
              <w:br/>
              <w:t>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b/>
                <w:sz w:val="20"/>
              </w:rPr>
            </w:pPr>
            <w:r>
              <w:rPr>
                <w:b/>
                <w:sz w:val="20"/>
              </w:rPr>
              <w:t>(I.R.S. Employer</w:t>
              <w:br/>
              <w:t>Identification Number)</w:t>
            </w:r>
          </w:p>
        </w:tc>
      </w:tr>
      <w:tr>
        <w:trPr/>
        <w:tc>
          <w:tcPr>
            <w:tcW w:w="3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left"/>
              <w:rPr/>
            </w:pPr>
            <w:r>
              <w:rPr/>
              <w:t> </w:t>
            </w:r>
          </w:p>
        </w:tc>
      </w:tr>
      <w:tr>
        <w:trPr/>
        <w:tc>
          <w:tcPr>
            <w:tcW w:w="339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455 Mission Bay Boulevard South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Francisco, California</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94158</w:t>
            </w:r>
          </w:p>
        </w:tc>
      </w:tr>
      <w:tr>
        <w:trPr/>
        <w:tc>
          <w:tcPr>
            <w:tcW w:w="3395"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sz w:val="20"/>
              </w:rPr>
            </w:pPr>
            <w:r>
              <w:rPr>
                <w:sz w:val="20"/>
              </w:rPr>
              <w:t>(</w:t>
            </w: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Nektar Therapeutics Amended And Restated 2017 Performance Incentive Plan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Elizabeth Zhang</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Vice President, Legal and Secretary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Nektar Therapeutics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455 Mission Bay Boulevard South</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Francisco, California 94158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415-482-5300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including area code, of agent for service)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2026, the board of directors of Nektar Therapeutics (the “</w:t>
      </w:r>
      <w:r>
        <w:rPr>
          <w:rFonts w:ascii="Times New Roman;Times;Serif" w:hAnsi="Times New Roman;Times;Serif"/>
          <w:b/>
          <w:i/>
          <w:caps w:val="false"/>
          <w:smallCaps w:val="false"/>
          <w:sz w:val="20"/>
        </w:rPr>
        <w:t>Registrant</w:t>
      </w:r>
      <w:r>
        <w:rPr>
          <w:rFonts w:ascii="Times New Roman;Times;Serif" w:hAnsi="Times New Roman;Times;Serif"/>
          <w:b w:val="false"/>
          <w:i w:val="false"/>
          <w:caps w:val="false"/>
          <w:smallCaps w:val="false"/>
          <w:sz w:val="20"/>
        </w:rPr>
        <w:t>”) approved, subject to stockholder approval, an amendment to Registrant’s Amended and Restated 2017 Performance Incentive Plan (as amended, the “</w:t>
      </w:r>
      <w:r>
        <w:rPr>
          <w:rFonts w:ascii="Times New Roman;Times;Serif" w:hAnsi="Times New Roman;Times;Serif"/>
          <w:b/>
          <w:i/>
          <w:caps w:val="false"/>
          <w:smallCaps w:val="false"/>
          <w:sz w:val="20"/>
        </w:rPr>
        <w:t>PIP</w:t>
      </w:r>
      <w:r>
        <w:rPr>
          <w:rFonts w:ascii="Times New Roman;Times;Serif" w:hAnsi="Times New Roman;Times;Serif"/>
          <w:b w:val="false"/>
          <w:i w:val="false"/>
          <w:caps w:val="false"/>
          <w:smallCaps w:val="false"/>
          <w:sz w:val="20"/>
        </w:rPr>
        <w:t>”), to increase the number of shares of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reserved and available for issuance under the PIP by 3,000,000 shares. The amendment was approved by the Registrant’s stockholders on June 4, 2026. This Registration Statement on Form S-8 (this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registers these 3,000,000 additional shares of Common Stock. The additional shares available for issuance under the PIP are of the same class as other securities for which a registration statement on Form S-8 relating to the PIP was previously filed and is effective. Accordingly, this Registration Statement incorporates by reference the contents of the Registrant’s prior registration statements filed on (i) Form S-8 (Registration No. 333-218777) on June 15, 2017; (ii) Form S-8 (Registration No. 333-226004) on June 29, 2018; (iii) Form S-8 (Registration No. 333-242327) on August 7; 2020; (iv) Form S-8 (Registration No. 333-258900) on August 18, 2021; (v) Form S-8 (Registration No. 333-266580) on August 5, 2022; (vi) Form S-8 (Registration No. 333-273962) on August 14, 2023; (vii) Form S-8 (Registration No. 333-285827) on March 14, 2025; and (viii) Form S-8 (Registration No. 333-289394) on August 8, 2025 (collectively, the “</w:t>
      </w:r>
      <w:r>
        <w:rPr>
          <w:rFonts w:ascii="Times New Roman;Times;Serif" w:hAnsi="Times New Roman;Times;Serif"/>
          <w:b/>
          <w:i/>
          <w:caps w:val="false"/>
          <w:smallCaps w:val="false"/>
          <w:sz w:val="20"/>
        </w:rPr>
        <w:t>Prior Registration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Registrant’s Prior Registration Statements is hereby incorporated by reference pursuant to General Instruction E, except for “Item 8. Exhibits” which is being updated by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7"/>
        <w:gridCol w:w="60"/>
        <w:gridCol w:w="9208"/>
      </w:tblGrid>
      <w:tr>
        <w:trPr/>
        <w:tc>
          <w:tcPr>
            <w:tcW w:w="937" w:type="dxa"/>
            <w:tcBorders>
              <w:bottom w:val="single" w:sz="12" w:space="0" w:color="000000"/>
            </w:tcBorders>
            <w:vAlign w:val="center"/>
          </w:tcPr>
          <w:p>
            <w:pPr>
              <w:pStyle w:val="TableContents"/>
              <w:bidi w:val="0"/>
              <w:spacing w:before="0" w:after="283"/>
              <w:jc w:val="both"/>
              <w:rPr>
                <w:b/>
              </w:rPr>
            </w:pPr>
            <w:r>
              <w:rPr>
                <w:b/>
              </w:rPr>
              <w:t>Exhibit No.</w:t>
            </w:r>
          </w:p>
        </w:tc>
        <w:tc>
          <w:tcPr>
            <w:tcW w:w="60" w:type="dxa"/>
            <w:tcBorders/>
            <w:tcMar>
              <w:bottom w:w="0" w:type="dxa"/>
            </w:tcMar>
            <w:vAlign w:val="center"/>
          </w:tcPr>
          <w:p>
            <w:pPr>
              <w:pStyle w:val="TableContents"/>
              <w:bidi w:val="0"/>
              <w:spacing w:before="0" w:after="283"/>
              <w:jc w:val="both"/>
              <w:rPr/>
            </w:pPr>
            <w:r>
              <w:rPr/>
              <w:t> </w:t>
            </w:r>
          </w:p>
        </w:tc>
        <w:tc>
          <w:tcPr>
            <w:tcW w:w="9208"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937" w:type="dxa"/>
            <w:tcBorders/>
            <w:shd w:fill="CCEEFF" w:val="clear"/>
            <w:tcMar>
              <w:bottom w:w="0" w:type="dxa"/>
            </w:tcMar>
            <w:vAlign w:val="center"/>
          </w:tcPr>
          <w:p>
            <w:pPr>
              <w:pStyle w:val="TableContents"/>
              <w:bidi w:val="0"/>
              <w:spacing w:before="0" w:after="283"/>
              <w:jc w:val="both"/>
              <w:rPr/>
            </w:pPr>
            <w:r>
              <w:rPr/>
              <w:t>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r:id="rId2">
              <w:r>
                <w:rPr>
                  <w:rStyle w:val="InternetLink"/>
                </w:rPr>
                <w:t>Certificate of Incorporation of Inhale Therapeutic Systems (Delaware), Inc. (incorporated by reference to Exhibit 3.1 to the Registrant’s Quarterly Report on Form 10-Q for the quarter ended June 30, 1998).</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r:id="rId3">
              <w:r>
                <w:rPr>
                  <w:rStyle w:val="InternetLink"/>
                </w:rPr>
                <w:t>Certificate of Amendment of the Amended Certificate of Incorporation of Inhale Therapeutic Systems, Inc. (incorporated by reference to Exhibit 3.3 to the Registrant’s Quarterly Report on Form 10-Q for the quarter ended June 30, 2000).</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4.3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r:id="rId4">
              <w:r>
                <w:rPr>
                  <w:rStyle w:val="InternetLink"/>
                </w:rPr>
                <w:t>Certificate of Ownership and Merger of Nektar Therapeutics (incorporated by reference to Exhibit 3.1 to the Registrant’s Current Report on Form 8-K, filed on January 23, 2003).</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4.4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r:id="rId5">
              <w:r>
                <w:rPr>
                  <w:rStyle w:val="InternetLink"/>
                </w:rPr>
                <w:t>Certificate of Ownership and Merger of Nektar Therapeutics AL, Corporation with and into Nektar Therapeutics (incorporated by reference to Exhibit 3.6 to the Registrant’s Annual Report on Form 10-K for the year ended December 31, 2009).</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4.5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r>
              <w:rPr/>
              <w:t>﻿</w:t>
            </w:r>
            <w:hyperlink r:id="rId6">
              <w:r>
                <w:rPr>
                  <w:rStyle w:val="InternetLink"/>
                </w:rPr>
                <w:t>Certificate of Amendment to the Amended Certificate of Incorporation of Nektar Therapeutics (incorporated by reference to Exhibit 3.1 to the Registrant’s Current Report on Form 8-K, filed on June 6, 2025)</w:t>
              </w:r>
            </w:hyperlink>
            <w:r>
              <w:rPr/>
              <w:t>.</w:t>
            </w:r>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4.6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r>
              <w:rPr/>
              <w:t>﻿</w:t>
            </w:r>
            <w:hyperlink r:id="rId7">
              <w:r>
                <w:rPr>
                  <w:rStyle w:val="InternetLink"/>
                </w:rPr>
                <w:t>Certificate of Amendment to the Amended Certificate of Incorporation of Nektar Therapeutics (incorporated by reference to Exhibit 3.2 to the Registrant’s Current Report on Form 8-K, filed on June 6, 2025.)</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4.7</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r:id="rId8">
              <w:r>
                <w:rPr>
                  <w:rStyle w:val="InternetLink"/>
                </w:rPr>
                <w:t>Amended and Restated Bylaws of Nektar Therapeutics (incorporated by reference to Exhibit 3.1 to the Registrant’s Current Report on Form 8-K, filed on December 16, 2022).</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4.8</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r:id="rId9">
              <w:r>
                <w:rPr>
                  <w:rStyle w:val="InternetLink"/>
                </w:rPr>
                <w:t>Specimen Stock Certificate Evidencing the Shares of Common Stock (incorporated by reference to Exhibit 4.1 to the Registrant’s Current Report on Form 8-K, filed on January 23, 2003).</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4.9</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r:id="rId10">
              <w:r>
                <w:rPr>
                  <w:rStyle w:val="InternetLink"/>
                </w:rPr>
                <w:t>Description of Securities Registered Pursuant to Section 12 of the Securities Exchange Act of 1934, as amended (incorporated by reference to Exhibit 4.4 to the Registrant’s Annual Report on Form 10-K for the year ended December 31, 2020).</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5.1*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w:anchor="ea030150401ex5-1.htm">
              <w:r>
                <w:rPr>
                  <w:rStyle w:val="InternetLink"/>
                </w:rPr>
                <w:t>Opinion of Goodwin Procter LLP with respect to the validity of the securities.</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r:id="rId11">
              <w:r>
                <w:rPr>
                  <w:rStyle w:val="InternetLink"/>
                </w:rPr>
                <w:t>Nektar Therapeutics Amended and Restated 2017 Performance Incentive Plan, as amended (incorporated by reference to Exhibit 10.1 to the Registrant's Quarterly Report on Form 10-Q for the quarter ended June 30, 2026).</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23.1*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w:anchor="ea030150401ex23-1.htm">
              <w:r>
                <w:rPr>
                  <w:rStyle w:val="InternetLink"/>
                </w:rPr>
                <w:t>Consent of Independent Registered Public Accounting Firm.</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23.2*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w:anchor="ea030150401ex5-1.htm">
              <w:r>
                <w:rPr>
                  <w:rStyle w:val="InternetLink"/>
                </w:rPr>
                <w:t>Consent of Goodwin Procter LLP (included in Exhibit 5.1).</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24.1*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w:anchor="poa_001">
              <w:r>
                <w:rPr>
                  <w:rStyle w:val="InternetLink"/>
                </w:rPr>
                <w:t>Power of Attorney (set forth on the signature page of this Registration Statement).</w:t>
              </w:r>
            </w:hyperlink>
          </w:p>
        </w:tc>
      </w:tr>
      <w:tr>
        <w:trPr/>
        <w:tc>
          <w:tcPr>
            <w:tcW w:w="93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08" w:type="dxa"/>
            <w:tcBorders/>
            <w:shd w:fill="FFFFFF" w:val="clear"/>
            <w:tcMar>
              <w:bottom w:w="0" w:type="dxa"/>
            </w:tcMar>
            <w:vAlign w:val="center"/>
          </w:tcPr>
          <w:p>
            <w:pPr>
              <w:pStyle w:val="TableContents"/>
              <w:bidi w:val="0"/>
              <w:spacing w:before="0" w:after="283"/>
              <w:jc w:val="both"/>
              <w:rPr/>
            </w:pPr>
            <w:r>
              <w:rPr/>
              <w:t> </w:t>
            </w:r>
          </w:p>
        </w:tc>
      </w:tr>
      <w:tr>
        <w:trPr/>
        <w:tc>
          <w:tcPr>
            <w:tcW w:w="937" w:type="dxa"/>
            <w:tcBorders/>
            <w:shd w:fill="CCEEFF" w:val="clear"/>
            <w:tcMar>
              <w:bottom w:w="0" w:type="dxa"/>
            </w:tcMar>
            <w:vAlign w:val="center"/>
          </w:tcPr>
          <w:p>
            <w:pPr>
              <w:pStyle w:val="TableContents"/>
              <w:bidi w:val="0"/>
              <w:spacing w:before="0" w:after="283"/>
              <w:jc w:val="both"/>
              <w:rPr/>
            </w:pPr>
            <w:r>
              <w:rPr/>
              <w:t>107*</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08" w:type="dxa"/>
            <w:tcBorders/>
            <w:shd w:fill="CCEEFF" w:val="clear"/>
            <w:tcMar>
              <w:bottom w:w="0" w:type="dxa"/>
            </w:tcMar>
            <w:vAlign w:val="center"/>
          </w:tcPr>
          <w:p>
            <w:pPr>
              <w:pStyle w:val="TableContents"/>
              <w:bidi w:val="0"/>
              <w:spacing w:before="0" w:after="283"/>
              <w:jc w:val="both"/>
              <w:rPr/>
            </w:pPr>
            <w:hyperlink w:anchor="ea030150401ex-fee.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70"/>
        <w:gridCol w:w="4910"/>
      </w:tblGrid>
      <w:tr>
        <w:trPr/>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pPr>
            <w:r>
              <w:rPr/>
              <w:t>Filed herewith.</w:t>
            </w:r>
          </w:p>
        </w:tc>
      </w:tr>
      <w:tr>
        <w:trPr/>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August 14, 2026.</w:t>
      </w:r>
    </w:p>
    <w:p>
      <w:pPr>
        <w:pStyle w:val="TextBody"/>
        <w:bidi w:val="0"/>
        <w:spacing w:before="0" w:after="0"/>
        <w:ind w:left="0" w:right="0" w:firstLine="72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425"/>
        <w:gridCol w:w="3635"/>
      </w:tblGrid>
      <w:tr>
        <w:trPr/>
        <w:tc>
          <w:tcPr>
            <w:tcW w:w="7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b/>
              </w:rPr>
            </w:pPr>
            <w:r>
              <w:rPr>
                <w:b/>
              </w:rPr>
              <w:t>NEKTAR THERAPEUTICS</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 </w:t>
            </w:r>
          </w:p>
        </w:tc>
        <w:tc>
          <w:tcPr>
            <w:tcW w:w="3635" w:type="dxa"/>
            <w:tcBorders>
              <w:bottom w:val="single" w:sz="12" w:space="0" w:color="000000"/>
            </w:tcBorders>
            <w:tcMar>
              <w:bottom w:w="28" w:type="dxa"/>
            </w:tcMar>
            <w:vAlign w:val="center"/>
          </w:tcPr>
          <w:p>
            <w:pPr>
              <w:pStyle w:val="TableContents"/>
              <w:bidi w:val="0"/>
              <w:spacing w:before="0" w:after="283"/>
              <w:jc w:val="left"/>
              <w:rPr/>
            </w:pPr>
            <w:r>
              <w:rPr/>
              <w:t>/s/ Howard W. Robin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W. Robin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Howard W. Robin and Elizabeth Zhang, and each of them, acting individually and without the other, as his or her true and lawful attorneys-in-fact and agents,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Commission, granting unto said attorneys-in-fact and agents, and each of them, full power and authority to do and to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his or her substitute or substitutes, may lawfully do or cause to be done by virtue hereof.</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2090"/>
        <w:gridCol w:w="60"/>
        <w:gridCol w:w="4580"/>
        <w:gridCol w:w="60"/>
        <w:gridCol w:w="1625"/>
      </w:tblGrid>
      <w:tr>
        <w:trPr/>
        <w:tc>
          <w:tcPr>
            <w:tcW w:w="2090" w:type="dxa"/>
            <w:tcBorders>
              <w:bottom w:val="single" w:sz="12"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4580"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12" w:space="0" w:color="000000"/>
            </w:tcBorders>
            <w:vAlign w:val="center"/>
          </w:tcPr>
          <w:p>
            <w:pPr>
              <w:pStyle w:val="TableContents"/>
              <w:bidi w:val="0"/>
              <w:spacing w:before="0" w:after="283"/>
              <w:jc w:val="center"/>
              <w:rPr>
                <w:b/>
              </w:rPr>
            </w:pPr>
            <w:r>
              <w:rPr>
                <w:b/>
              </w:rPr>
              <w:t>Date</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Howard W. Robin</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shd w:fill="FFFFFF" w:val="clear"/>
              </w:rPr>
              <w:t xml:space="preserve">Chief Executive Officer, </w:t>
            </w:r>
            <w:r>
              <w:rPr/>
              <w:t>President, and 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2090" w:type="dxa"/>
            <w:tcBorders/>
            <w:tcMar>
              <w:bottom w:w="0" w:type="dxa"/>
            </w:tcMar>
            <w:vAlign w:val="center"/>
          </w:tcPr>
          <w:p>
            <w:pPr>
              <w:pStyle w:val="TableContents"/>
              <w:bidi w:val="0"/>
              <w:spacing w:before="0" w:after="283"/>
              <w:jc w:val="center"/>
              <w:rPr/>
            </w:pPr>
            <w:r>
              <w:rPr/>
              <w:t>Howard W. Robin</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Linda Rubinstein</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shd w:fill="FFFFFF" w:val="clear"/>
              </w:rPr>
            </w:pPr>
            <w:r>
              <w:rPr>
                <w:shd w:fill="FFFFFF" w:val="clear"/>
              </w:rPr>
              <w:t>Interim Chief Financial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2090" w:type="dxa"/>
            <w:tcBorders/>
            <w:tcMar>
              <w:bottom w:w="0" w:type="dxa"/>
            </w:tcMar>
            <w:vAlign w:val="center"/>
          </w:tcPr>
          <w:p>
            <w:pPr>
              <w:pStyle w:val="TableContents"/>
              <w:bidi w:val="0"/>
              <w:spacing w:before="0" w:after="283"/>
              <w:jc w:val="center"/>
              <w:rPr/>
            </w:pPr>
            <w:r>
              <w:rPr/>
              <w:t>Linda Rubinstein</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Robert B. Chess</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shd w:fill="FFFFFF" w:val="clear"/>
              </w:rPr>
              <w:t xml:space="preserve">Director, Chairman of the </w:t>
            </w:r>
            <w:r>
              <w:rPr/>
              <w:t>Board of Directors</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2090" w:type="dxa"/>
            <w:tcBorders/>
            <w:tcMar>
              <w:bottom w:w="0" w:type="dxa"/>
            </w:tcMar>
            <w:vAlign w:val="center"/>
          </w:tcPr>
          <w:p>
            <w:pPr>
              <w:pStyle w:val="TableContents"/>
              <w:bidi w:val="0"/>
              <w:spacing w:before="0" w:after="283"/>
              <w:jc w:val="center"/>
              <w:rPr/>
            </w:pPr>
            <w:r>
              <w:rPr/>
              <w:t>Robert B. Chess</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Jeffrey R. Ajer</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2090" w:type="dxa"/>
            <w:tcBorders/>
            <w:tcMar>
              <w:bottom w:w="0" w:type="dxa"/>
            </w:tcMar>
            <w:vAlign w:val="center"/>
          </w:tcPr>
          <w:p>
            <w:pPr>
              <w:pStyle w:val="TableContents"/>
              <w:bidi w:val="0"/>
              <w:spacing w:before="0" w:after="283"/>
              <w:jc w:val="center"/>
              <w:rPr/>
            </w:pPr>
            <w:r>
              <w:rPr/>
              <w:t>Jeffrey R. Ajer</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R. Scott Greer</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2090" w:type="dxa"/>
            <w:tcBorders/>
            <w:tcMar>
              <w:bottom w:w="0" w:type="dxa"/>
            </w:tcMar>
            <w:vAlign w:val="center"/>
          </w:tcPr>
          <w:p>
            <w:pPr>
              <w:pStyle w:val="TableContents"/>
              <w:bidi w:val="0"/>
              <w:spacing w:before="0" w:after="283"/>
              <w:jc w:val="center"/>
              <w:rPr/>
            </w:pPr>
            <w:r>
              <w:rPr/>
              <w:t>R. Scott Greer</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Roy A. Whitfield</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2090" w:type="dxa"/>
            <w:tcBorders/>
            <w:tcMar>
              <w:bottom w:w="0" w:type="dxa"/>
            </w:tcMar>
            <w:vAlign w:val="center"/>
          </w:tcPr>
          <w:p>
            <w:pPr>
              <w:pStyle w:val="TableContents"/>
              <w:bidi w:val="0"/>
              <w:spacing w:before="0" w:after="283"/>
              <w:jc w:val="center"/>
              <w:rPr/>
            </w:pPr>
            <w:r>
              <w:rPr/>
              <w:t>Roy A. Whitfield</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Diana M. Brainard</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14, 2026</w:t>
            </w:r>
          </w:p>
        </w:tc>
      </w:tr>
      <w:tr>
        <w:trPr/>
        <w:tc>
          <w:tcPr>
            <w:tcW w:w="2090" w:type="dxa"/>
            <w:tcBorders/>
            <w:tcMar>
              <w:bottom w:w="0" w:type="dxa"/>
            </w:tcMar>
            <w:vAlign w:val="center"/>
          </w:tcPr>
          <w:p>
            <w:pPr>
              <w:pStyle w:val="TableContents"/>
              <w:bidi w:val="0"/>
              <w:spacing w:before="0" w:after="283"/>
              <w:jc w:val="center"/>
              <w:rPr/>
            </w:pPr>
            <w:r>
              <w:rPr/>
              <w:t>Diana M. Brainard</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 w:name="ea030150401ex5-1.htm"/>
      <w:bookmarkStart w:id="4" w:name="ksea030150401ex51"/>
      <w:bookmarkEnd w:id="3"/>
      <w:bookmarkEnd w:id="4"/>
      <w:r>
        <w:rPr>
          <w:b/>
        </w:rPr>
        <w:t>Exhibit 5.1</w:t>
      </w:r>
      <w:r>
        <w:br w:type="page"/>
      </w:r>
    </w:p>
    <w:p>
      <w:pPr>
        <w:pStyle w:val="TextBody"/>
        <w:bidi w:val="0"/>
        <w:spacing w:before="0" w:after="283"/>
        <w:jc w:val="left"/>
        <w:rPr/>
      </w:pPr>
      <w:r>
        <w:rPr/>
        <w:t> </w:t>
      </w:r>
    </w:p>
    <w:tbl>
      <w:tblPr>
        <w:tblW w:w="5345" w:type="dxa"/>
        <w:jc w:val="left"/>
        <w:tblInd w:w="0" w:type="dxa"/>
        <w:tblLayout w:type="fixed"/>
        <w:tblCellMar>
          <w:top w:w="0" w:type="dxa"/>
          <w:left w:w="0" w:type="dxa"/>
          <w:bottom w:w="0" w:type="dxa"/>
          <w:right w:w="0" w:type="dxa"/>
        </w:tblCellMar>
      </w:tblPr>
      <w:tblGrid>
        <w:gridCol w:w="3135"/>
        <w:gridCol w:w="60"/>
        <w:gridCol w:w="2150"/>
      </w:tblGrid>
      <w:tr>
        <w:trPr/>
        <w:tc>
          <w:tcPr>
            <w:tcW w:w="3135" w:type="dxa"/>
            <w:tcBorders/>
            <w:vAlign w:val="center"/>
          </w:tcPr>
          <w:p>
            <w:pPr>
              <w:pStyle w:val="TableContents"/>
              <w:bidi w:val="0"/>
              <w:spacing w:before="0" w:after="283"/>
              <w:jc w:val="left"/>
              <w:rPr/>
            </w:pPr>
            <w:r>
              <w:rPr/>
              <w:drawing>
                <wp:inline distT="0" distB="0" distL="0" distR="0">
                  <wp:extent cx="19812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1981200" cy="4953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Marshall St.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goodwinlaw.com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+1 650 752 3100</w:t>
            </w:r>
          </w:p>
        </w:tc>
      </w:tr>
    </w:tbl>
    <w:p>
      <w:pPr>
        <w:pStyle w:val="TextBody"/>
        <w:bidi w:val="0"/>
        <w:spacing w:before="0" w:after="0"/>
        <w:ind w:left="0" w:right="0" w:firstLine="7200"/>
        <w:jc w:val="right"/>
        <w:rPr>
          <w:caps w:val="false"/>
          <w:smallCaps w:val="false"/>
        </w:rPr>
      </w:pPr>
      <w:r>
        <w:rPr>
          <w:caps w:val="false"/>
          <w:smallCaps w:val="false"/>
        </w:rPr>
        <w:t>  </w:t>
      </w:r>
    </w:p>
    <w:p>
      <w:pPr>
        <w:pStyle w:val="TextBody"/>
        <w:bidi w:val="0"/>
        <w:spacing w:before="0" w:after="0"/>
        <w:ind w:left="0" w:right="0" w:firstLine="720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Nektar Therapeutics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 Mission Bay Boulevard South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Securities Being Registered under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your counsel in connection with your filing of a Registration Statement on Form S-8 (the “Registration Statement”) pursuant to the Securities Act of 1933, as amended (the “Securities Act”), on or about the date hereof relating to an aggregate of 3,000,000 shares (the “Shares”) of Common Stock, par value $0.0001 per share (“Common Stock”), of Nektar Therapeutics, a Delaware corporation (the “Company”), that may be issued pursuant to the Company’s Amended and Restated 2017 Performance Incentive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when delivered against payment therefor in accordance with the terms of the Plans,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and the opinion it contains shall be interpreted in accordance with the Core Opinion Principles as published in 74 Business Lawyer 815 (Summer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Goodwin Procter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extBody"/>
        <w:bidi w:val="0"/>
        <w:spacing w:before="0" w:after="283"/>
        <w:jc w:val="left"/>
        <w:rPr/>
      </w:pPr>
      <w:r>
        <w:rPr/>
        <w:t> </w:t>
      </w:r>
    </w:p>
    <w:p>
      <w:pPr>
        <w:pStyle w:val="TextBody"/>
        <w:bidi w:val="0"/>
        <w:spacing w:before="0" w:after="0"/>
        <w:ind w:left="0" w:right="0" w:hanging="0"/>
        <w:jc w:val="right"/>
        <w:rPr>
          <w:b/>
        </w:rPr>
      </w:pPr>
      <w:bookmarkStart w:id="5" w:name="ea030150401ex23-1.htm"/>
      <w:bookmarkStart w:id="6" w:name="ksea030150401ex231"/>
      <w:bookmarkEnd w:id="5"/>
      <w:bookmarkEnd w:id="6"/>
      <w:r>
        <w:rPr>
          <w:b/>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Nektar Therapeutics Amended and Restated 2017 Performance Incentive Plan of our report dated March 12, 2026, with respect to the consolidated financial statements of Nektar Therapeutics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Mateo,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7" w:name="ea030150401ex-fee.htm"/>
      <w:bookmarkStart w:id="8" w:name="ksea0301504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Nektar Therapeutics</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38"/>
        <w:gridCol w:w="60"/>
        <w:gridCol w:w="1046"/>
        <w:gridCol w:w="60"/>
        <w:gridCol w:w="575"/>
        <w:gridCol w:w="60"/>
        <w:gridCol w:w="1117"/>
        <w:gridCol w:w="60"/>
        <w:gridCol w:w="1060"/>
        <w:gridCol w:w="60"/>
        <w:gridCol w:w="214"/>
        <w:gridCol w:w="857"/>
        <w:gridCol w:w="60"/>
        <w:gridCol w:w="146"/>
        <w:gridCol w:w="1589"/>
        <w:gridCol w:w="60"/>
        <w:gridCol w:w="1040"/>
        <w:gridCol w:w="60"/>
        <w:gridCol w:w="151"/>
        <w:gridCol w:w="1092"/>
      </w:tblGrid>
      <w:tr>
        <w:trPr/>
        <w:tc>
          <w:tcPr>
            <w:tcW w:w="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r>
      <w:tr>
        <w:trPr/>
        <w:tc>
          <w:tcPr>
            <w:tcW w:w="838"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46"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17"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6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r>
      <w:tr>
        <w:trPr/>
        <w:tc>
          <w:tcPr>
            <w:tcW w:w="838"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Common Stock, $0.0001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3,000,000</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7" w:type="dxa"/>
            <w:tcBorders/>
            <w:vAlign w:val="center"/>
          </w:tcPr>
          <w:p>
            <w:pPr>
              <w:pStyle w:val="TableContents"/>
              <w:bidi w:val="0"/>
              <w:spacing w:before="0" w:after="283"/>
              <w:jc w:val="right"/>
              <w:rPr/>
            </w:pPr>
            <w:r>
              <w:rPr/>
              <w:t>74.85</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589" w:type="dxa"/>
            <w:tcBorders/>
            <w:vAlign w:val="center"/>
          </w:tcPr>
          <w:p>
            <w:pPr>
              <w:pStyle w:val="TableContents"/>
              <w:bidi w:val="0"/>
              <w:spacing w:before="0" w:after="283"/>
              <w:jc w:val="right"/>
              <w:rPr/>
            </w:pPr>
            <w:r>
              <w:rPr/>
              <w:t>224,550,000.00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092" w:type="dxa"/>
            <w:tcBorders/>
            <w:vAlign w:val="center"/>
          </w:tcPr>
          <w:p>
            <w:pPr>
              <w:pStyle w:val="TableContents"/>
              <w:bidi w:val="0"/>
              <w:spacing w:before="0" w:after="283"/>
              <w:jc w:val="right"/>
              <w:rPr/>
            </w:pPr>
            <w:r>
              <w:rPr/>
              <w:t>31,010.36</w:t>
            </w:r>
          </w:p>
        </w:tc>
      </w:tr>
      <w:tr>
        <w:trPr/>
        <w:tc>
          <w:tcPr>
            <w:tcW w:w="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158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07"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589" w:type="dxa"/>
            <w:tcBorders/>
            <w:vAlign w:val="center"/>
          </w:tcPr>
          <w:p>
            <w:pPr>
              <w:pStyle w:val="TableContents"/>
              <w:bidi w:val="0"/>
              <w:spacing w:before="0" w:after="283"/>
              <w:jc w:val="right"/>
              <w:rPr/>
            </w:pPr>
            <w:r>
              <w:rPr/>
              <w:t>224,550,000.00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right"/>
              <w:rPr/>
            </w:pPr>
            <w:r>
              <w:rPr/>
              <w:t>31,010.36</w:t>
            </w:r>
          </w:p>
        </w:tc>
      </w:tr>
      <w:tr>
        <w:trPr/>
        <w:tc>
          <w:tcPr>
            <w:tcW w:w="6007"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007"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double" w:sz="8" w:space="0" w:color="000000"/>
            </w:tcBorders>
            <w:tcMar>
              <w:bottom w:w="28" w:type="dxa"/>
            </w:tcMar>
            <w:vAlign w:val="center"/>
          </w:tcPr>
          <w:p>
            <w:pPr>
              <w:pStyle w:val="TableContents"/>
              <w:bidi w:val="0"/>
              <w:spacing w:before="0" w:after="283"/>
              <w:jc w:val="left"/>
              <w:rPr/>
            </w:pPr>
            <w:r>
              <w:rPr/>
              <w:t>$</w:t>
            </w:r>
          </w:p>
        </w:tc>
        <w:tc>
          <w:tcPr>
            <w:tcW w:w="1092" w:type="dxa"/>
            <w:tcBorders>
              <w:bottom w:val="double" w:sz="8" w:space="0" w:color="000000"/>
            </w:tcBorders>
            <w:tcMar>
              <w:bottom w:w="28" w:type="dxa"/>
            </w:tcMar>
            <w:vAlign w:val="center"/>
          </w:tcPr>
          <w:p>
            <w:pPr>
              <w:pStyle w:val="TableContents"/>
              <w:bidi w:val="0"/>
              <w:spacing w:before="0" w:after="283"/>
              <w:jc w:val="right"/>
              <w:rPr/>
            </w:pPr>
            <w:r>
              <w:rPr/>
              <w:t>31,010.36</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pPr>
            <w:r>
              <w:rPr/>
              <w:t>Pursuant to Rule 416(a) under the Securities Act of 1933, as amended (the “Securities Act”), the number of shares of common stock, par value $0.0001 per share (“Common Stock”), of Nektar Therapeutics (the “Registrant”) registered hereunder includes an indeterminable number of shares of Common Stock that become issuable by reason of any share dividend, share split or other similar transaction.</w:t>
              <w:br/>
              <w:br/>
              <w:t>The amount to be registered represents 3,000,000 additional shares of Common Stock issuable under the Nektar Therapeutics Amended and Restated 2017 Performance Incentive Plan (as amended), pursuant to an amendment approved by the Board of Directors of the Registrant on March 19, 2026 and approved by the Stockholders of the Registrant at the 2026 Annual Meeting of Stockholders on June 4, 2026.</w:t>
              <w:br/>
              <w:br/>
              <w:t>The proposed maximum offering price per unit is estimated solely for the purpose of calculating the registration fee pursuant to Rules 457(c) and 457(h) under the Securities Act on the basis of the average of the high and low sales prices of the Common Stock as reported on the Nasdaq Capital Market on August 11,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06709/0001047469-98-031070.txt" TargetMode="External"/><Relationship Id="rId3" Type="http://schemas.openxmlformats.org/officeDocument/2006/relationships/hyperlink" Target="http://www.sec.gov/Archives/edgar/data/906709/000091205700037283/ex-3_3.txt" TargetMode="External"/><Relationship Id="rId4" Type="http://schemas.openxmlformats.org/officeDocument/2006/relationships/hyperlink" Target="http://www.sec.gov/Archives/edgar/data/906709/000104746903002325/a2101294zex-3_1.htm" TargetMode="External"/><Relationship Id="rId5" Type="http://schemas.openxmlformats.org/officeDocument/2006/relationships/hyperlink" Target="http://www.sec.gov/Archives/edgar/data/906709/000114420410011093/v176023_ex3-6.htm" TargetMode="External"/><Relationship Id="rId6" Type="http://schemas.openxmlformats.org/officeDocument/2006/relationships/hyperlink" Target="http://www.sec.gov/Archives/edgar/data/906709/000121390025052141/ea024492901ex3-1_nektar.htm" TargetMode="External"/><Relationship Id="rId7" Type="http://schemas.openxmlformats.org/officeDocument/2006/relationships/hyperlink" Target="http://www.sec.gov/Archives/edgar/data/906709/000121390025052141/ea024492901ex3-2_nektar.htm" TargetMode="External"/><Relationship Id="rId8" Type="http://schemas.openxmlformats.org/officeDocument/2006/relationships/hyperlink" Target="http://www.sec.gov/Archives/edgar/data/906709/000121390022080498/ea170222ex3-1_nektartherap.htm" TargetMode="External"/><Relationship Id="rId9" Type="http://schemas.openxmlformats.org/officeDocument/2006/relationships/hyperlink" Target="http://www.sec.gov/Archives/edgar/data/906709/000104746903002325/a2101294zex-4_1.htm" TargetMode="External"/><Relationship Id="rId10" Type="http://schemas.openxmlformats.org/officeDocument/2006/relationships/hyperlink" Target="http://www.sec.gov/Archives/edgar/data/906709/000090670920000004/nktr20191231ex44.htm" TargetMode="External"/><Relationship Id="rId11" Type="http://schemas.openxmlformats.org/officeDocument/2006/relationships/hyperlink" Target="https://www.sec.gov/Archives/edgar/data/906709/000119312526349805/nktr-ex10_1.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2006</Words>
  <Characters>11018</Characters>
  <CharactersWithSpaces>13165</CharactersWithSpaces>
  <Paragraphs>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