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nktr-20250930.htm"/>
        <w:bookmarkStart w:id="1" w:name="ksnktr202509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quarterly period ended September 30, 2025</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REPORTS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 0-24006</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46"/>
        </w:rPr>
        <w:t>NEKTAR THERAPEUTICS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p>
      <w:pPr>
        <w:pStyle w:val="TextBody"/>
        <w:pBdr>
          <w:top w:val="single" w:sz="6" w:space="1" w:color="000000"/>
        </w:pBdr>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94-3134940</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455 Mission Bay Boulevard South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San Francisco, California</w:t>
      </w:r>
      <w:r>
        <w:rPr>
          <w:rFonts w:ascii="Times New Roman" w:hAnsi="Times New Roman"/>
          <w:color w:val="000000"/>
          <w:sz w:val="20"/>
        </w:rPr>
        <w:t xml:space="preserve"> </w:t>
      </w:r>
      <w:r>
        <w:rPr>
          <w:rFonts w:ascii="Times New Roman" w:hAnsi="Times New Roman"/>
          <w:b/>
          <w:color w:val="000000"/>
          <w:sz w:val="18"/>
        </w:rPr>
        <w:t>94158</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60" w:after="283"/>
        <w:jc w:val="center"/>
        <w:rPr>
          <w:rFonts w:ascii="Times New Roman" w:hAnsi="Times New Roman"/>
          <w:sz w:val="20"/>
        </w:rPr>
      </w:pPr>
      <w:r>
        <w:rPr>
          <w:rFonts w:ascii="Times New Roman" w:hAnsi="Times New Roman"/>
          <w:b/>
          <w:color w:val="000000"/>
          <w:sz w:val="18"/>
        </w:rPr>
        <w:t>415-482-5300</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tbl>
      <w:tblPr>
        <w:tblW w:w="7608" w:type="dxa"/>
        <w:jc w:val="left"/>
        <w:tblInd w:w="0" w:type="dxa"/>
        <w:tblLayout w:type="fixed"/>
        <w:tblCellMar>
          <w:top w:w="28" w:type="dxa"/>
          <w:left w:w="28" w:type="dxa"/>
          <w:bottom w:w="28" w:type="dxa"/>
          <w:right w:w="28" w:type="dxa"/>
        </w:tblCellMar>
      </w:tblPr>
      <w:tblGrid>
        <w:gridCol w:w="2596"/>
        <w:gridCol w:w="1531"/>
        <w:gridCol w:w="3481"/>
      </w:tblGrid>
      <w:tr>
        <w:trPr/>
        <w:tc>
          <w:tcPr>
            <w:tcW w:w="259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760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c>
      </w:tr>
      <w:tr>
        <w:trPr/>
        <w:tc>
          <w:tcPr>
            <w:tcW w:w="2596"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96"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w:t>
            </w:r>
          </w:p>
        </w:tc>
        <w:tc>
          <w:tcPr>
            <w:tcW w:w="15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NKTR</w:t>
            </w:r>
          </w:p>
        </w:tc>
        <w:tc>
          <w:tcPr>
            <w:tcW w:w="34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Wingdings;serif" w:hAnsi="Wingdings;serif"/>
          <w:color w:val="000000"/>
          <w:sz w:val="18"/>
        </w:rPr>
        <w:t>x</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Wingdings;serif" w:hAnsi="Wingdings;serif"/>
          <w:color w:val="000000"/>
          <w:sz w:val="18"/>
        </w:rPr>
        <w:t>x</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by Rule 12b-2 of the Exchange Act).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number of outstanding shares of the registrant’s Common Stock, $0.0001 par value, was 20,341,589 on October 31, 2025.</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805"/>
        <w:gridCol w:w="8858"/>
        <w:gridCol w:w="542"/>
      </w:tblGrid>
      <w:tr>
        <w:trPr/>
        <w:tc>
          <w:tcPr>
            <w:tcW w:w="805" w:type="dxa"/>
            <w:tcBorders/>
            <w:vAlign w:val="center"/>
          </w:tcPr>
          <w:p>
            <w:pPr>
              <w:pStyle w:val="TableContents"/>
              <w:bidi w:val="0"/>
              <w:spacing w:before="0" w:after="283"/>
              <w:jc w:val="left"/>
              <w:rPr>
                <w:sz w:val="4"/>
                <w:szCs w:val="4"/>
              </w:rPr>
            </w:pPr>
            <w:r>
              <w:rPr>
                <w:sz w:val="4"/>
                <w:szCs w:val="4"/>
              </w:rPr>
            </w:r>
          </w:p>
        </w:tc>
        <w:tc>
          <w:tcPr>
            <w:tcW w:w="885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summary_of_risks">
              <w:r>
                <w:rPr>
                  <w:rStyle w:val="InternetLink"/>
                  <w:rFonts w:ascii="Times New Roman" w:hAnsi="Times New Roman"/>
                  <w:color w:val="0000FF"/>
                  <w:sz w:val="20"/>
                  <w:u w:val="single"/>
                </w:rPr>
                <w:t>Summary of Risks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4</w:t>
            </w:r>
          </w:p>
        </w:tc>
      </w:tr>
      <w:tr>
        <w:trPr/>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75" w:after="30"/>
              <w:jc w:val="center"/>
              <w:rPr/>
            </w:pPr>
            <w:hyperlink w:anchor="part_i">
              <w:r>
                <w:rPr>
                  <w:rStyle w:val="InternetLink"/>
                  <w:rFonts w:ascii="Times New Roman" w:hAnsi="Times New Roman"/>
                  <w:b/>
                  <w:color w:val="0000FF"/>
                  <w:sz w:val="20"/>
                  <w:u w:val="single"/>
                </w:rPr>
                <w:t>PART I: FINANCIAL INFORMATION</w:t>
              </w:r>
            </w:hyperlink>
          </w:p>
        </w:tc>
      </w:tr>
      <w:tr>
        <w:trPr/>
        <w:tc>
          <w:tcPr>
            <w:tcW w:w="805"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1_condensed_consolidated_fin_stat">
              <w:r>
                <w:rPr>
                  <w:rStyle w:val="InternetLink"/>
                  <w:rFonts w:ascii="Times New Roman" w:hAnsi="Times New Roman"/>
                  <w:color w:val="0000FF"/>
                  <w:sz w:val="20"/>
                  <w:u w:val="single"/>
                </w:rPr>
                <w:t>Item 1.</w:t>
              </w:r>
            </w:hyperlink>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1_condensed_consolidated_fin_stat">
              <w:r>
                <w:rPr>
                  <w:rStyle w:val="InternetLink"/>
                  <w:rFonts w:ascii="Times New Roman" w:hAnsi="Times New Roman"/>
                  <w:color w:val="0000FF"/>
                  <w:sz w:val="20"/>
                  <w:u w:val="single"/>
                </w:rPr>
                <w:t>Condensed Consolidated Financial Statements — Unaudited:</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balance_sheets">
              <w:r>
                <w:rPr>
                  <w:rStyle w:val="InternetLink"/>
                  <w:rFonts w:ascii="Times New Roman" w:hAnsi="Times New Roman"/>
                  <w:color w:val="0000FF"/>
                  <w:sz w:val="20"/>
                  <w:u w:val="single"/>
                </w:rPr>
                <w:t>Condensed Consolidated Balance Sheets — September 30, 2025 and December 31, 2024</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statements_of_operations">
              <w:r>
                <w:rPr>
                  <w:rStyle w:val="InternetLink"/>
                  <w:rFonts w:ascii="Times New Roman" w:hAnsi="Times New Roman"/>
                  <w:color w:val="0000FF"/>
                  <w:sz w:val="20"/>
                  <w:u w:val="single"/>
                </w:rPr>
                <w:t>Condensed Consolidated Statements of Operations for the three and nine months ended September 30, 2025 and 2024</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7</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comprehensive_loss">
              <w:r>
                <w:rPr>
                  <w:rStyle w:val="InternetLink"/>
                  <w:rFonts w:ascii="Times New Roman" w:hAnsi="Times New Roman"/>
                  <w:color w:val="0000FF"/>
                  <w:sz w:val="20"/>
                  <w:u w:val="single"/>
                </w:rPr>
                <w:t>Condensed Consolidated Statements of Comprehensive Loss for the three and nine months ended September 30, 2025 and 2024</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8</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stockholders_equity">
              <w:r>
                <w:rPr>
                  <w:rStyle w:val="InternetLink"/>
                  <w:rFonts w:ascii="Times New Roman" w:hAnsi="Times New Roman"/>
                  <w:color w:val="0000FF"/>
                  <w:sz w:val="20"/>
                  <w:u w:val="single"/>
                </w:rPr>
                <w:t>Condensed Consolidated Statements of Stockholders’ Equity (Deficit) for the three and nine months ended September 30, 2025 and 2024</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9</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cash_flows">
              <w:r>
                <w:rPr>
                  <w:rStyle w:val="InternetLink"/>
                  <w:rFonts w:ascii="Times New Roman" w:hAnsi="Times New Roman"/>
                  <w:color w:val="0000FF"/>
                  <w:sz w:val="20"/>
                  <w:u w:val="single"/>
                </w:rPr>
                <w:t>Condensed Consolidated Statements of Cash Flows for the nine months ended September 30, 2025 and 2024</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11</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notes_to_condensed_consolidated_fin_st">
              <w:r>
                <w:rPr>
                  <w:rStyle w:val="InternetLink"/>
                  <w:rFonts w:ascii="Times New Roman" w:hAnsi="Times New Roman"/>
                  <w:color w:val="0000FF"/>
                  <w:sz w:val="20"/>
                  <w:u w:val="single"/>
                </w:rPr>
                <w:t>Notes to Condensed Consolidated Financial Statements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12</w:t>
            </w:r>
          </w:p>
        </w:tc>
      </w:tr>
      <w:tr>
        <w:trPr/>
        <w:tc>
          <w:tcPr>
            <w:tcW w:w="805"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2_mda">
              <w:r>
                <w:rPr>
                  <w:rStyle w:val="InternetLink"/>
                  <w:rFonts w:ascii="Times New Roman" w:hAnsi="Times New Roman"/>
                  <w:color w:val="0000FF"/>
                  <w:sz w:val="20"/>
                  <w:u w:val="single"/>
                </w:rPr>
                <w:t>Item 2.</w:t>
              </w:r>
            </w:hyperlink>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28</w:t>
            </w:r>
          </w:p>
        </w:tc>
      </w:tr>
      <w:tr>
        <w:trPr/>
        <w:tc>
          <w:tcPr>
            <w:tcW w:w="805"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3">
              <w:r>
                <w:rPr>
                  <w:rStyle w:val="InternetLink"/>
                  <w:rFonts w:ascii="Times New Roman" w:hAnsi="Times New Roman"/>
                  <w:color w:val="0000FF"/>
                  <w:sz w:val="20"/>
                  <w:u w:val="single"/>
                </w:rPr>
                <w:t>Item 3.</w:t>
              </w:r>
            </w:hyperlink>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40</w:t>
            </w:r>
          </w:p>
        </w:tc>
      </w:tr>
      <w:tr>
        <w:trPr/>
        <w:tc>
          <w:tcPr>
            <w:tcW w:w="805"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4">
              <w:r>
                <w:rPr>
                  <w:rStyle w:val="InternetLink"/>
                  <w:rFonts w:ascii="Times New Roman" w:hAnsi="Times New Roman"/>
                  <w:color w:val="0000FF"/>
                  <w:sz w:val="20"/>
                  <w:u w:val="single"/>
                </w:rPr>
                <w:t>Item 4.</w:t>
              </w:r>
            </w:hyperlink>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4">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40</w:t>
            </w:r>
          </w:p>
        </w:tc>
      </w:tr>
      <w:tr>
        <w:trPr/>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75" w:after="30"/>
              <w:jc w:val="center"/>
              <w:rPr/>
            </w:pPr>
            <w:hyperlink w:anchor="part_ii">
              <w:r>
                <w:rPr>
                  <w:rStyle w:val="InternetLink"/>
                  <w:rFonts w:ascii="Times New Roman" w:hAnsi="Times New Roman"/>
                  <w:b/>
                  <w:color w:val="0000FF"/>
                  <w:sz w:val="20"/>
                  <w:u w:val="single"/>
                </w:rPr>
                <w:t>PART II: OTHER INFORMATION</w:t>
              </w:r>
            </w:hyperlink>
          </w:p>
        </w:tc>
      </w:tr>
      <w:tr>
        <w:trPr/>
        <w:tc>
          <w:tcPr>
            <w:tcW w:w="805"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1_legal_proceedings">
              <w:r>
                <w:rPr>
                  <w:rStyle w:val="InternetLink"/>
                  <w:rFonts w:ascii="Times New Roman" w:hAnsi="Times New Roman"/>
                  <w:color w:val="0000FF"/>
                  <w:sz w:val="20"/>
                  <w:u w:val="single"/>
                </w:rPr>
                <w:t>Item 1.</w:t>
              </w:r>
            </w:hyperlink>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1_legal_proceedings">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41</w:t>
            </w:r>
          </w:p>
        </w:tc>
      </w:tr>
      <w:tr>
        <w:trPr/>
        <w:tc>
          <w:tcPr>
            <w:tcW w:w="805" w:type="dxa"/>
            <w:tcBorders/>
            <w:tcMar>
              <w:top w:w="0" w:type="dxa"/>
              <w:left w:w="0" w:type="dxa"/>
              <w:bottom w:w="0" w:type="dxa"/>
              <w:right w:w="0" w:type="dxa"/>
            </w:tcMar>
            <w:vAlign w:val="center"/>
          </w:tcPr>
          <w:p>
            <w:pPr>
              <w:pStyle w:val="TableContents"/>
              <w:bidi w:val="0"/>
              <w:spacing w:before="75" w:after="30"/>
              <w:jc w:val="left"/>
              <w:rPr/>
            </w:pPr>
            <w:hyperlink w:anchor="item_1a_risk_factors">
              <w:r>
                <w:rPr>
                  <w:rStyle w:val="InternetLink"/>
                  <w:rFonts w:ascii="Times New Roman" w:hAnsi="Times New Roman"/>
                  <w:color w:val="0000FF"/>
                  <w:sz w:val="20"/>
                  <w:u w:val="single"/>
                </w:rPr>
                <w:t>Item 1A.</w:t>
              </w:r>
            </w:hyperlink>
            <w:hyperlink w:anchor="item_1a_risk_factors">
              <w:r>
                <w:rPr>
                  <w:rStyle w:val="InternetLink"/>
                  <w:rFonts w:ascii="Times New Roman" w:hAnsi="Times New Roman"/>
                  <w:color w:val="0000FF"/>
                  <w:sz w:val="20"/>
                </w:rPr>
                <w:t xml:space="preserve"> </w:t>
              </w:r>
            </w:hyperlink>
          </w:p>
        </w:tc>
        <w:tc>
          <w:tcPr>
            <w:tcW w:w="8858" w:type="dxa"/>
            <w:tcBorders/>
            <w:tcMar>
              <w:top w:w="0" w:type="dxa"/>
              <w:left w:w="0" w:type="dxa"/>
              <w:bottom w:w="0" w:type="dxa"/>
              <w:right w:w="0" w:type="dxa"/>
            </w:tcMar>
            <w:vAlign w:val="center"/>
          </w:tcPr>
          <w:p>
            <w:pPr>
              <w:pStyle w:val="TableContents"/>
              <w:bidi w:val="0"/>
              <w:spacing w:before="75" w:after="30"/>
              <w:jc w:val="left"/>
              <w:rPr/>
            </w:pPr>
            <w:hyperlink w:anchor="item_1a_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41</w:t>
            </w:r>
          </w:p>
        </w:tc>
      </w:tr>
      <w:tr>
        <w:trPr/>
        <w:tc>
          <w:tcPr>
            <w:tcW w:w="805"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2_unregistered_sales_of_equity">
              <w:r>
                <w:rPr>
                  <w:rStyle w:val="InternetLink"/>
                  <w:rFonts w:ascii="Times New Roman" w:hAnsi="Times New Roman"/>
                  <w:color w:val="0000FF"/>
                  <w:sz w:val="20"/>
                  <w:u w:val="single"/>
                </w:rPr>
                <w:t>Item 2.</w:t>
              </w:r>
            </w:hyperlink>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2_unregistered_sales_of_equity">
              <w:r>
                <w:rPr>
                  <w:rStyle w:val="InternetLink"/>
                  <w:rFonts w:ascii="Times New Roman" w:hAnsi="Times New Roman"/>
                  <w:color w:val="0000FF"/>
                  <w:sz w:val="20"/>
                  <w:u w:val="single"/>
                </w:rPr>
                <w:t>Unregistered Sales of Equity Securities, Use of Proceeds and Issuer Purchases of Equity Securities</w:t>
              </w:r>
            </w:hyperlink>
            <w:r>
              <w:rPr>
                <w:rFonts w:ascii="Times New Roman" w:hAnsi="Times New Roman"/>
                <w:color w:val="000000"/>
                <w:sz w:val="20"/>
              </w:rPr>
              <w:t xml:space="preserve"> </w:t>
            </w:r>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66</w:t>
            </w:r>
          </w:p>
        </w:tc>
      </w:tr>
      <w:tr>
        <w:trPr/>
        <w:tc>
          <w:tcPr>
            <w:tcW w:w="805"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3_defaults_upon_senior_securities">
              <w:r>
                <w:rPr>
                  <w:rStyle w:val="InternetLink"/>
                  <w:rFonts w:ascii="Times New Roman" w:hAnsi="Times New Roman"/>
                  <w:color w:val="0000FF"/>
                  <w:sz w:val="20"/>
                  <w:u w:val="single"/>
                </w:rPr>
                <w:t>Item 3.</w:t>
              </w:r>
            </w:hyperlink>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66</w:t>
            </w:r>
          </w:p>
        </w:tc>
      </w:tr>
      <w:tr>
        <w:trPr/>
        <w:tc>
          <w:tcPr>
            <w:tcW w:w="805"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4_mine_safety_disclosures">
              <w:r>
                <w:rPr>
                  <w:rStyle w:val="InternetLink"/>
                  <w:rFonts w:ascii="Times New Roman" w:hAnsi="Times New Roman"/>
                  <w:color w:val="0000FF"/>
                  <w:sz w:val="20"/>
                  <w:u w:val="single"/>
                </w:rPr>
                <w:t>Item 4.</w:t>
              </w:r>
            </w:hyperlink>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4_mine_safety_disclosures">
              <w:r>
                <w:rPr>
                  <w:rStyle w:val="InternetLink"/>
                  <w:rFonts w:ascii="Times New Roman" w:hAnsi="Times New Roman"/>
                  <w:color w:val="0000FF"/>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66</w:t>
            </w:r>
          </w:p>
        </w:tc>
      </w:tr>
      <w:tr>
        <w:trPr/>
        <w:tc>
          <w:tcPr>
            <w:tcW w:w="805"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5_other_information">
              <w:r>
                <w:rPr>
                  <w:rStyle w:val="InternetLink"/>
                  <w:rFonts w:ascii="Times New Roman" w:hAnsi="Times New Roman"/>
                  <w:color w:val="0000FF"/>
                  <w:sz w:val="20"/>
                  <w:u w:val="single"/>
                </w:rPr>
                <w:t>Item 5.</w:t>
              </w:r>
            </w:hyperlink>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5_other_information">
              <w:r>
                <w:rPr>
                  <w:rStyle w:val="InternetLink"/>
                  <w:rFonts w:ascii="Times New Roman" w:hAnsi="Times New Roman"/>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66</w:t>
            </w:r>
          </w:p>
        </w:tc>
      </w:tr>
      <w:tr>
        <w:trPr/>
        <w:tc>
          <w:tcPr>
            <w:tcW w:w="805"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6_exhibits">
              <w:r>
                <w:rPr>
                  <w:rStyle w:val="InternetLink"/>
                  <w:rFonts w:ascii="Times New Roman" w:hAnsi="Times New Roman"/>
                  <w:color w:val="0000FF"/>
                  <w:sz w:val="20"/>
                  <w:u w:val="single"/>
                </w:rPr>
                <w:t>Item 6.</w:t>
              </w:r>
            </w:hyperlink>
          </w:p>
        </w:tc>
        <w:tc>
          <w:tcPr>
            <w:tcW w:w="8858"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6_exhibits">
              <w:r>
                <w:rPr>
                  <w:rStyle w:val="InternetLink"/>
                  <w:rFonts w:ascii="Times New Roman" w:hAnsi="Times New Roman"/>
                  <w:color w:val="0000FF"/>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75" w:after="30"/>
              <w:ind w:left="0" w:right="0" w:firstLine="180"/>
              <w:jc w:val="right"/>
              <w:rPr>
                <w:rFonts w:ascii="Times New Roman" w:hAnsi="Times New Roman"/>
                <w:color w:val="000000"/>
                <w:sz w:val="20"/>
              </w:rPr>
            </w:pPr>
            <w:r>
              <w:rPr>
                <w:rFonts w:ascii="Times New Roman" w:hAnsi="Times New Roman"/>
                <w:color w:val="000000"/>
                <w:sz w:val="20"/>
              </w:rPr>
              <w:t>67</w:t>
            </w:r>
          </w:p>
        </w:tc>
      </w:tr>
      <w:tr>
        <w:trPr/>
        <w:tc>
          <w:tcPr>
            <w:tcW w:w="9663"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hyperlink w:anchor="signatures">
              <w:r>
                <w:rPr>
                  <w:rStyle w:val="InternetLink"/>
                  <w:rFonts w:ascii="Times New Roman" w:hAnsi="Times New Roman"/>
                  <w:color w:val="0000FF"/>
                  <w:sz w:val="20"/>
                  <w:u w:val="single"/>
                </w:rPr>
                <w:t>Signatures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related to our strategic reorganization and cost restructuring plans, any statements regarding potential future financing alternatives, any statements concerning proposed drug candidates and our future research and development plans, any statements regarding the timing for the start or end of clinical trials or submission of regulatory approval filings, any statements regarding future economic conditions or performance, any statements regarding the initiation, formation, or success of any collaboration arrangements, commercialization activities and product sales levels and future payments that may come due to us under these arrangements, any statements regarding our plans and objectives to initiate or continue clinical trials, any statements related to potential, anticipated, or ongoing litigation (including the timing for court hearings and trials) and any statements of assumptions underlying any of the foregoing. In some cases, forward-looking statements can be identified by the use of terminology such as “believe,”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Quarterly Report on Form 10-Q, the “Company,” “Nektar,” “we,” “us,” and “our” refer to Nektar Therapeutics, a Delaware corporation, and, where appropriate, its subsidiaries.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Trademarks</w:t>
      </w:r>
    </w:p>
    <w:p>
      <w:pPr>
        <w:pStyle w:val="TextBody"/>
        <w:bidi w:val="0"/>
        <w:spacing w:before="180" w:after="283"/>
        <w:jc w:val="left"/>
        <w:rPr>
          <w:rFonts w:ascii="Times New Roman" w:hAnsi="Times New Roman"/>
          <w:sz w:val="20"/>
        </w:rPr>
      </w:pPr>
      <w:r>
        <w:rPr>
          <w:rFonts w:ascii="Times New Roman" w:hAnsi="Times New Roman"/>
          <w:color w:val="000000"/>
          <w:sz w:val="20"/>
        </w:rPr>
        <w:t>The Nektar brand and product names, including but not limited to Nektar</w:t>
      </w:r>
      <w:r>
        <w:rPr>
          <w:rFonts w:ascii="Times New Roman" w:hAnsi="Times New Roman"/>
          <w:color w:val="000000"/>
          <w:sz w:val="12"/>
        </w:rPr>
        <w:t>®</w:t>
      </w:r>
      <w:r>
        <w:rPr>
          <w:rFonts w:ascii="Times New Roman" w:hAnsi="Times New Roman"/>
          <w:color w:val="000000"/>
          <w:sz w:val="20"/>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bookmarkStart w:id="3" w:name="summary_of_risks"/>
      <w:bookmarkEnd w:id="3"/>
      <w:r>
        <w:rPr>
          <w:rFonts w:ascii="Times New Roman" w:hAnsi="Times New Roman"/>
          <w:b/>
          <w:color w:val="000000"/>
          <w:sz w:val="20"/>
        </w:rPr>
        <w:t>Summary of Risks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Risks to our business are more fully described below in Item IA in this Form 10-Q, which risks include, among others: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u w:val="single"/>
        </w:rPr>
        <w:t>Risks Related to our Research and Development Efforts</w:t>
      </w:r>
      <w:r>
        <w:rPr>
          <w:rFonts w:ascii="Times New Roman" w:hAnsi="Times New Roman"/>
          <w:b/>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clinical drug development is a lengthy and uncertain process and we may not be able to generate and develop successful drug candidates for commercial use;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highly dependent on the success of rezpegaldesleukin (previously referred to as NKTR-358) and our business will be significantly harmed if rezpegaldesleukin does not continue to advance in clinical studies;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outcomes from competitive immunotherapy clinical trials, and the discovery and development of new potential immunotherapies could have a material and adverse impact on the value of our pipeline;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significant competition for our products and drug candidates could make our drug products or drug candidates obsolete or uncompetitive;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preliminary and interim data from our clinical studies are subject to audit and verification procedures that could result in material changes in the final data and may change as more patient data become available;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clinical trials for any of our drug candidates could be delayed for a variety of reasons, including delays associated with activating clinical sites and lower than anticipated patient enrollment rates, which are often outside of our control;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depend on third parties to conduct laboratory experiments, preclinical studies and clinical trials for our drug candidates and any failure of those parties to fulfill their obligations according to our instructions and protocol standards could harm our research and development plans and adversely affect our business.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u w:val="single"/>
        </w:rPr>
        <w:t>Risks Related to our Financial Condition and Capital Requirements</w:t>
      </w:r>
      <w:r>
        <w:rPr>
          <w:rFonts w:ascii="Times New Roman" w:hAnsi="Times New Roman"/>
          <w:b/>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is no guarantee that our prior strategic reorganization plan and cost restructuring plans will achieve their intended benefits and we may need to undertake additional cost-saving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substantial future capital requirements and there is a risk we may not have access to sufficient capital to meet our current business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significant source of our revenue and capital for research and development has been derived from our collaboration agreements, and if we are unable to establish and maintain collaboration partnerships with attractive commercial terms, including significant development milestones and research and development cost-sharing, our business, results of operations and financial condition could suffer;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continue to incur substantial net losses from operations and may not achieve or sustain profitability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u w:val="single"/>
        </w:rPr>
        <w:t>Risks Related to Supply and Manufacturing</w:t>
      </w:r>
      <w:r>
        <w:rPr>
          <w:rFonts w:ascii="Times New Roman" w:hAnsi="Times New Roman"/>
          <w:b/>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our contract manufacturers are not able to manufacture drugs or drug substances in sufficient quantities that meet applicable quality standards, our business, financial condition and results of operations could be harmed;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purchase some of the starting material for drugs and drug candidates from a single source or a limited number of suppliers, and the partial or complete loss of one of these suppliers could cause delays, loss of revenue and contract liability.</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u w:val="single"/>
        </w:rPr>
        <w:t>Risks Related to Intellectual Property, Litigation and Regulatory Concerns</w:t>
      </w:r>
      <w:r>
        <w:rPr>
          <w:rFonts w:ascii="Times New Roman" w:hAnsi="Times New Roman"/>
          <w:b/>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or our partners may not obtain regulatory approval for our drug candidates on a timely basis,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patents may not issue from our patent applications for our drug candidates, patents that have issued may not be enforceable, or additional intellectual property licenses from third parties may be required, which may not be available to us on commercially reasonable terms;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are involved in legal proceedings and may incur substantial litigation costs and liabilities that could adversely affect our business, financial condition and results of operations.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u w:val="single"/>
        </w:rPr>
        <w:t>Risks Related to our Collaboration Partners</w:t>
      </w:r>
      <w:r>
        <w:rPr>
          <w:rFonts w:ascii="Times New Roman" w:hAnsi="Times New Roman"/>
          <w:b/>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highly dependent on advancing rezpegaldesleukin in clinical trials, and while we believe we currently have the documents, records and data that are necessary for us to continue clinical development of rezpegaldesleukin, our ability to perform important development and regulatory activities will be significantly harmed if Eli Lilly and Company fails to continue to cooperate with us in the transfer of all documents, records and data associated with the rezpegaldesleukin program;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rely on academic and private non-academic institutions to conduct investigator-sponsored clinical studies or trials of our drug candidates and any failure by the investigator-sponsor to meet its obligations with respect to the clinical development of our drug candidates may delay or impair our ability to enter into collaboration agreements, obtain regulatory approval and commercialize for our drug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above-mentioned risks, our business is subject to a number of additional risks faced by businesses generally.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 FINANCIAL INFORMATION</w:t>
      </w:r>
    </w:p>
    <w:p>
      <w:pPr>
        <w:pStyle w:val="TextBody"/>
        <w:bidi w:val="0"/>
        <w:jc w:val="center"/>
        <w:rPr/>
      </w:pPr>
      <w:r>
        <w:rPr/>
        <w:t> </w:t>
      </w:r>
    </w:p>
    <w:p>
      <w:pPr>
        <w:pStyle w:val="TextBody"/>
        <w:bidi w:val="0"/>
        <w:jc w:val="left"/>
        <w:rPr>
          <w:rFonts w:ascii="Times New Roman" w:hAnsi="Times New Roman"/>
          <w:sz w:val="20"/>
        </w:rPr>
      </w:pPr>
      <w:bookmarkStart w:id="5" w:name="item_1_condensed_consolidated_fin_stat"/>
      <w:bookmarkEnd w:id="5"/>
      <w:r>
        <w:rPr>
          <w:rFonts w:ascii="Times New Roman" w:hAnsi="Times New Roman"/>
          <w:b/>
          <w:color w:val="000000"/>
          <w:sz w:val="20"/>
        </w:rPr>
        <w:t>Item 1. Condensed Consolidated</w:t>
      </w:r>
      <w:r>
        <w:rPr>
          <w:rFonts w:ascii="Times New Roman" w:hAnsi="Times New Roman"/>
          <w:color w:val="000000"/>
          <w:sz w:val="20"/>
        </w:rPr>
        <w:t xml:space="preserve"> </w:t>
      </w:r>
      <w:r>
        <w:rPr>
          <w:rFonts w:ascii="Times New Roman" w:hAnsi="Times New Roman"/>
          <w:b/>
          <w:color w:val="000000"/>
          <w:sz w:val="20"/>
        </w:rPr>
        <w:t>Financial Statements—Unaudited:</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6" w:name="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08"/>
        <w:gridCol w:w="146"/>
        <w:gridCol w:w="220"/>
        <w:gridCol w:w="1036"/>
        <w:gridCol w:w="166"/>
        <w:gridCol w:w="146"/>
        <w:gridCol w:w="222"/>
        <w:gridCol w:w="1046"/>
        <w:gridCol w:w="615"/>
      </w:tblGrid>
      <w:tr>
        <w:trPr/>
        <w:tc>
          <w:tcPr>
            <w:tcW w:w="6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December 31, 2024</w:t>
            </w:r>
            <w:r>
              <w:rPr>
                <w:rFonts w:ascii="Times New Roman" w:hAnsi="Times New Roman"/>
                <w:b/>
                <w:color w:val="000000"/>
                <w:sz w:val="11"/>
              </w:rPr>
              <w:t>(1)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210,974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 (including $177 and $0 as of September 30, 2025 and December 31, 2024, respectively,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261,292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13,869</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 in Gannet BioChem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303,850</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(including $316 and $3,403 as of September 30, 2025 and December 31, 2024, respectively, to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82,696</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related to the sales of future royalties,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243,113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stock, $0.0001 par value; 10,000,000 shares authorized; no shares designated or outstanding at September 30, 2025 or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$0.0001 par value; 390,000,000 shares and 300,000,000 shares authorized at September 30, 2025 and December 31, 2024; 19,652,513 shares and 12,937,308 shares issued at September 30, 2025 and December 31, 2024, respectively; 19,652,513 shares and 12,385,001 shares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3,659,885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stock, at cost; 0 shares and 552,307 shares as of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(3,596,210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303,850</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i/>
          <w:color w:val="000000"/>
          <w:sz w:val="12"/>
        </w:rPr>
        <w:t>(1)</w:t>
      </w:r>
      <w:r>
        <w:rPr>
          <w:rFonts w:ascii="Times New Roman" w:hAnsi="Times New Roman"/>
          <w:i/>
          <w:color w:val="000000"/>
          <w:sz w:val="18"/>
        </w:rPr>
        <w:t>All share and per share amounts have been retrospectively adjusted to reflect a one-for-fifteen</w:t>
      </w:r>
      <w:r>
        <w:rPr>
          <w:rFonts w:ascii="Times New Roman" w:hAnsi="Times New Roman"/>
          <w:color w:val="000000"/>
          <w:sz w:val="18"/>
        </w:rPr>
        <w:t xml:space="preserve"> </w:t>
      </w:r>
      <w:r>
        <w:rPr>
          <w:rFonts w:ascii="Times New Roman" w:hAnsi="Times New Roman"/>
          <w:i/>
          <w:color w:val="000000"/>
          <w:sz w:val="18"/>
        </w:rPr>
        <w:t>reverse stock split</w:t>
      </w:r>
      <w:r>
        <w:rPr>
          <w:rFonts w:ascii="Times New Roman" w:hAnsi="Times New Roman"/>
          <w:color w:val="000000"/>
          <w:sz w:val="20"/>
        </w:rPr>
        <w:t xml:space="preserve"> </w:t>
      </w:r>
      <w:r>
        <w:rPr>
          <w:rFonts w:ascii="Times New Roman" w:hAnsi="Times New Roman"/>
          <w:i/>
          <w:color w:val="000000"/>
          <w:sz w:val="18"/>
        </w:rPr>
        <w:t>(see Note 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7" w:name="statements_of_operations"/>
      <w:bookmarkEnd w:id="7"/>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royalty revenue related to the sales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collaboration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(including $421 and $0 for the three months ended September 30, 2025 and 2024, respectively, from a related party; and $1,242 and $0 for the nine months ended September 30, 2025 and 2024, respectively, from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58,469</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145,862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188,798</w:t>
            </w:r>
          </w:p>
        </w:tc>
        <w:tc>
          <w:tcPr>
            <w:tcW w:w="4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liabilities related to the sales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 (including income of $190 and $0 for the three months ended September 30, 2025 and 2024, respectively, from a related party; and income of $1,051 and $0 for the nine months ended September 30, 2025 and 2024, respectively, from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(benefit) for income taxes and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used in computing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18,946,559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13,949,851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15,716,396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13,619,270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i/>
          <w:color w:val="000000"/>
          <w:sz w:val="12"/>
        </w:rPr>
        <w:t>(1)</w:t>
      </w:r>
      <w:r>
        <w:rPr>
          <w:rFonts w:ascii="Times New Roman" w:hAnsi="Times New Roman"/>
          <w:i/>
          <w:color w:val="000000"/>
          <w:sz w:val="18"/>
        </w:rPr>
        <w:t>All share and per share amounts have been retrospectively adjusted to reflect a one-for-fifteen</w:t>
      </w:r>
      <w:r>
        <w:rPr>
          <w:rFonts w:ascii="Times New Roman" w:hAnsi="Times New Roman"/>
          <w:color w:val="000000"/>
          <w:sz w:val="18"/>
        </w:rPr>
        <w:t xml:space="preserve"> </w:t>
      </w:r>
      <w:r>
        <w:rPr>
          <w:rFonts w:ascii="Times New Roman" w:hAnsi="Times New Roman"/>
          <w:i/>
          <w:color w:val="000000"/>
          <w:sz w:val="18"/>
        </w:rPr>
        <w:t>reverse stock split</w:t>
      </w:r>
      <w:r>
        <w:rPr>
          <w:rFonts w:ascii="Times New Roman" w:hAnsi="Times New Roman"/>
          <w:color w:val="000000"/>
          <w:sz w:val="20"/>
        </w:rPr>
        <w:t xml:space="preserve"> </w:t>
      </w:r>
      <w:r>
        <w:rPr>
          <w:rFonts w:ascii="Times New Roman" w:hAnsi="Times New Roman"/>
          <w:i/>
          <w:color w:val="000000"/>
          <w:sz w:val="18"/>
        </w:rPr>
        <w:t>(see Note 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8" w:name="comprehensive_loss"/>
      <w:bookmarkEnd w:id="8"/>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22"/>
        <w:gridCol w:w="146"/>
        <w:gridCol w:w="246"/>
        <w:gridCol w:w="861"/>
        <w:gridCol w:w="194"/>
        <w:gridCol w:w="170"/>
        <w:gridCol w:w="246"/>
        <w:gridCol w:w="861"/>
        <w:gridCol w:w="166"/>
        <w:gridCol w:w="146"/>
        <w:gridCol w:w="222"/>
        <w:gridCol w:w="889"/>
        <w:gridCol w:w="175"/>
        <w:gridCol w:w="153"/>
        <w:gridCol w:w="222"/>
        <w:gridCol w:w="889"/>
        <w:gridCol w:w="397"/>
      </w:tblGrid>
      <w:tr>
        <w:trPr/>
        <w:tc>
          <w:tcPr>
            <w:tcW w:w="4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foreign currency translation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(128,002</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(125,947</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9" w:name="stockholders_equity"/>
      <w:bookmarkEnd w:id="9"/>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1915" w:type="dxa"/>
        <w:jc w:val="left"/>
        <w:tblInd w:w="0" w:type="dxa"/>
        <w:tblLayout w:type="fixed"/>
        <w:tblCellMar>
          <w:top w:w="28" w:type="dxa"/>
          <w:left w:w="28" w:type="dxa"/>
          <w:bottom w:w="28" w:type="dxa"/>
          <w:right w:w="28" w:type="dxa"/>
        </w:tblCellMar>
      </w:tblPr>
      <w:tblGrid>
        <w:gridCol w:w="1431"/>
        <w:gridCol w:w="146"/>
        <w:gridCol w:w="146"/>
        <w:gridCol w:w="916"/>
        <w:gridCol w:w="166"/>
        <w:gridCol w:w="146"/>
        <w:gridCol w:w="260"/>
        <w:gridCol w:w="461"/>
        <w:gridCol w:w="146"/>
        <w:gridCol w:w="146"/>
        <w:gridCol w:w="146"/>
        <w:gridCol w:w="691"/>
        <w:gridCol w:w="146"/>
        <w:gridCol w:w="146"/>
        <w:gridCol w:w="196"/>
        <w:gridCol w:w="571"/>
        <w:gridCol w:w="166"/>
        <w:gridCol w:w="146"/>
        <w:gridCol w:w="196"/>
        <w:gridCol w:w="826"/>
        <w:gridCol w:w="146"/>
        <w:gridCol w:w="146"/>
        <w:gridCol w:w="377"/>
        <w:gridCol w:w="839"/>
        <w:gridCol w:w="166"/>
        <w:gridCol w:w="146"/>
        <w:gridCol w:w="196"/>
        <w:gridCol w:w="886"/>
        <w:gridCol w:w="166"/>
        <w:gridCol w:w="146"/>
        <w:gridCol w:w="242"/>
        <w:gridCol w:w="854"/>
        <w:gridCol w:w="411"/>
      </w:tblGrid>
      <w:tr>
        <w:trPr/>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Capital in</w:t>
              <w:br/>
              <w:t>Excess of</w:t>
              <w:br/>
              <w:t>Par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 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12,757,984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(3,477,249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equity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common stock from Bristol-Myers Squibb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prefunded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12,240,808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equity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12,269,903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equity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12,296,312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3,654,999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(3,603,471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i/>
          <w:color w:val="000000"/>
          <w:sz w:val="12"/>
        </w:rPr>
        <w:t>(1)</w:t>
      </w:r>
      <w:r>
        <w:rPr>
          <w:rFonts w:ascii="Times New Roman" w:hAnsi="Times New Roman"/>
          <w:i/>
          <w:color w:val="000000"/>
          <w:sz w:val="18"/>
        </w:rPr>
        <w:t>All share amounts have been retrospectively adjusted to reflect a one-for-fifteen reverse stock split (see Note 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1975" w:type="dxa"/>
        <w:jc w:val="left"/>
        <w:tblInd w:w="0" w:type="dxa"/>
        <w:tblLayout w:type="fixed"/>
        <w:tblCellMar>
          <w:top w:w="28" w:type="dxa"/>
          <w:left w:w="28" w:type="dxa"/>
          <w:bottom w:w="28" w:type="dxa"/>
          <w:right w:w="28" w:type="dxa"/>
        </w:tblCellMar>
      </w:tblPr>
      <w:tblGrid>
        <w:gridCol w:w="1431"/>
        <w:gridCol w:w="146"/>
        <w:gridCol w:w="146"/>
        <w:gridCol w:w="916"/>
        <w:gridCol w:w="146"/>
        <w:gridCol w:w="146"/>
        <w:gridCol w:w="260"/>
        <w:gridCol w:w="461"/>
        <w:gridCol w:w="146"/>
        <w:gridCol w:w="146"/>
        <w:gridCol w:w="146"/>
        <w:gridCol w:w="751"/>
        <w:gridCol w:w="166"/>
        <w:gridCol w:w="146"/>
        <w:gridCol w:w="196"/>
        <w:gridCol w:w="571"/>
        <w:gridCol w:w="166"/>
        <w:gridCol w:w="146"/>
        <w:gridCol w:w="196"/>
        <w:gridCol w:w="826"/>
        <w:gridCol w:w="146"/>
        <w:gridCol w:w="146"/>
        <w:gridCol w:w="439"/>
        <w:gridCol w:w="777"/>
        <w:gridCol w:w="166"/>
        <w:gridCol w:w="146"/>
        <w:gridCol w:w="196"/>
        <w:gridCol w:w="886"/>
        <w:gridCol w:w="166"/>
        <w:gridCol w:w="146"/>
        <w:gridCol w:w="242"/>
        <w:gridCol w:w="854"/>
        <w:gridCol w:w="411"/>
      </w:tblGrid>
      <w:tr>
        <w:trPr/>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Capital in</w:t>
              <w:br/>
              <w:t>Excess of</w:t>
              <w:br/>
              <w:t>Par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 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12,385,001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3,659,885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(3,596,210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equity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12,406,710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3,663,790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(3,647,092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equity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12,457,252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(3,688,685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equity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secondary offering, net of underwriting discounts and offering costs of $7,840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4,893,618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at-the-market offering, net of commissions and offering costs of $1,276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upon exercise of prefunded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19,652,513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85,086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i/>
          <w:color w:val="000000"/>
          <w:sz w:val="12"/>
        </w:rPr>
        <w:t>(1)</w:t>
      </w:r>
      <w:r>
        <w:rPr>
          <w:rFonts w:ascii="Times New Roman" w:hAnsi="Times New Roman"/>
          <w:i/>
          <w:color w:val="000000"/>
          <w:sz w:val="18"/>
        </w:rPr>
        <w:t>All share amounts have been retrospectively adjusted to reflect a one-for-fifteen reverse stock split (see Note 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10" w:name="cash_flows"/>
      <w:bookmarkEnd w:id="10"/>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32"/>
        <w:gridCol w:w="146"/>
        <w:gridCol w:w="211"/>
        <w:gridCol w:w="841"/>
        <w:gridCol w:w="166"/>
        <w:gridCol w:w="146"/>
        <w:gridCol w:w="211"/>
        <w:gridCol w:w="841"/>
        <w:gridCol w:w="411"/>
      </w:tblGrid>
      <w:tr>
        <w:trPr/>
        <w:tc>
          <w:tcPr>
            <w:tcW w:w="7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royalty revenue related to the sales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liabilities related to the sales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right-of-use assets and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net realizable value of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premiums (discounts),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transaction costs and working capital adjustment from the sale of the Huntsville manufacturing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shares issued under equity compensation plans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secondary offering, net of underwriting discounts of $6,900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at-the-market offering, net of commissions of $1,066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offering costs associated with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pre-funded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 from Bristol-Myers Squibb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11" w:name="notes_to_condensed_consolidated_fin_st"/>
      <w:bookmarkEnd w:id="11"/>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 — Organization and Summary of Significant Accounting Policies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Nektar Therapeutics (Nektar, we) is a clinical stage, research-based drug discovery biopharmaceutical company headquartered in San Francisco, California and incorporated in Delaware,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Our pipeline of clinical-stage and preclinical-stage immunomodulatory agents targets the treatment of autoimmune diseases (e.g. rezpegaldesleukin and NKTR-0165, respectively) and cancer (e.g. NKTR-255).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conducting Phase 2b trials of rezpegaldesleukin in patients with moderate-to-severe atopic dermatitis which we initiated in October 2023 (the Phase 2b REZOLVE-AD trial) and in patients with severe-to-very severe alopecia areata which we initiated in March 2024 (the Phase 2b REZOLVE-AA trial). On February 24, 2025, we announced that we had entered into a collaboration agreement with TrialNet to evaluate rezpegaldesleukin in patients with new onset stage 3 type 1 diabetes mellitus in a Phase 2 study. TrialNet will conduct the study with funding from the National Institutes of Health, primarily through the Special Statutory Funding Program for Type 1 Diabetes through the National Institute of Diabetes and Digestive and Kidney Diseases. Nektar will supply rezpegaldesleukin for the study and will retain all rights to the rezpegaldesleukin program under the collaboration.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June 24, 2025, we announced data from the 16-week induction period of the ongoing Phase 2b REZOLVE-AD trial being conducted in 393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cash generated from licensing, collaboration and manufacturing agreements and financing transactions. As of September 30, 2025, we had approximately $270.2 million in cash and investments in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our research and development activities, we will need additional cash to fund our operations. Accordingly, we may enter into new collaboration agreements or other similar transactions, and we may also seek financing transactions, which may include dilutive equity-based financings, such as an offering of our common stock. There can be no assurance that any additional collaboration agreements or financings will be available to us on commercially reasonable terms. We believe we have sufficient cash and investments in marketable securities to fund operations through at least the next twelve months from the date of the filing of these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filed a shelf registration statement on Form S-3 and a related prospectus (the Shelf Registration Statement) that was declared effective by the Securities and Exchange Commission (the SEC) on April 1, 2025. Pursuant to the Shelf Registration Statement, we may offer and sell common stock, preferred stock, debt securities, warrants and or units having an aggregate public offering price of up to $300.0 million. In connection with the filing of the Shelf Registration Statement, we also entered into an equity distribution agreement (the ATM Sales Agreement) with Piper Sandler &amp; Co. and BTIG, LLC, relating to the sale of our common stock having an aggregate offering price of up to $75.0 million (the ATM Shares). The sales of the ATM Shares will be made by any method permitted that is deemed to be an “at-the-market” equity offering as defined in Rule 415(a)(4) promulgated under the Securities Act, including sales made directly on or through Nasdaq or on any other existing trading market for our common stock. We have agreed to pay Piper Sandler &amp; Co. and BTIG, LLC a commission equal to 3.0% of the gross sales price of all common stock sold through them as sales agents.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 2025, pursuant to the Shelf Registration Statement, we completed the sale and issuance of 4,893,618 shares of our common stock in an underwritten public offering (the 2025 Offering) at a price of $23.50 per share. The net proceeds to the Company from the 2025 Offering totaled approximately $107.2 million, after deducting underwriting discounts and commissions and offering costs. See Note 6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2025, we issued 600,198 shares of our common stock under the ATM Sales Agreement at a weighted average price of $59.24 per share for net proceeds of $34.3 million after deducting related commissions and offering costs. In October 2025, we issued an additional 673,725 shares of our common stock under the ATM Sales Agreement at a weighted average price of $58.55 for net proceeds of $38.3 million after deducting related commissions. No ATM shares remain available for issuance under the ATM Sales Agreement.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Sale of Manufacturing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 2024, we completed the sale of our manufacturing facility located in Huntsville, Alabama (the Facility) and certain other manufacturing assets related thereto, including the assignment of our existing manufacturing and supply obligations, to Gannet BioChem, an affiliate of Ampersand Management LLC d/b/a Ampersand Capital Partners (Ampersand), via an Asset Purchase Agreement (the APA), for consideration of $64.7 million in cash, net of transaction costs, and an approximate 20% equity ownership at the time of close in Gannet BioChem. See Note 4 for additional information. As a result of the sale of the Facility, we no longer recognize product sales or cost of goods sold.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prepared our Condensed Consolidated Financial Statements pursuant to U.S. generally accepted accounting principles (U.S. GAAP) and the rules and regulations of the SEC for interim reporting. As permitted under those rules, we may condense or omit certain footnotes or other financial information that are normally required by U.S. GAAP for annual periods. In the opinion of management, these financial statements include all normal and recurring adjustments that we consider necessary for the fair presentation of our financial position and operating results.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Condensed Consolidated Financial Statements include the financial position, results of operations and cash flows of our wholly-owned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interests in any variable interest entities of which we are the primary beneficiary. We have eliminated all intercompany accounts and transactions in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comprehensive loss consists of our net loss plus our foreign currency translation gains and losses (to the extent recognized in other comprehensive income (loss)) and unrealized gains and losses on available-for-sale securities. There were no significant reclassifications out of accumulated other comprehensive income (loss) to the statements of operations during the three and nine months ended September 30, 2025 and 2024. We include translation gains and losses in accumulated other comprehensive income (loss) in the stockholders’ equity section of our Condensed Consolidated Balance Sheets. However, if we have concluded that we have substantially liquidated the entity, such as for our subsidiary in India, we recognize subsequent translation gains and losses in other income (expense) in our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are unaudited. The Condensed Consolidated Balance Sheet data as of December 31, 2024 was derived from the audited consolidated financial statements which are included in our Annual Report on Form 10-K for the year ended December 31, 2024 filed with the SEC on March 14, 2025. The information included in this Quarterly Report on Form 10-Q should be read in conjunction with the consolidated financial statements and the accompanying notes to those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expenses, assets, and liabilities can vary during each quarter of the year. The results and trends in these interim Condensed Consolidated Financial Statements are not necessarily indicative of the results to be expected for the full year or any other period.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results could differ materially from those estimates and assumptions. As appropriate, we assess estimates each period, update them to reflect current information, and generally reflect any changes in estimates in the period first identified.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Transactions between related parties are considered to be related party transactions even though they may not be given accounting recognition. Accounting Standards Codification (ASC) 850, Related Party Disclosures (ASC 850) requires that transactions with related parties that would make a difference in decision making shall be disclosed so that users of the financial statements can evaluate their significance. See Note 4 regarding our related party transactions with Gannet BioChem.</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Significant Concentrations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customers are primarily pharmaceutical and biotechnology companies with whom we have multi-year arrangements. Before the sale of the Facility, our accounts receivable balance primarily contained trade receivables from product sales. We have not recorded provisions for credit losses for the three and nine months ended September 30, 2025 and 2024. Accounts receivable at September 30, 2025 and December 31, 2024 are immaterial due to the sale of the Facility in December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our suppliers and contract manufacturers to provide raw materials and drugs of appropriate quality and reliability and to meet applicable contract and regulatory requirements. In certain cases, our suppliers and contract manufacturers may rely on single sources of supply of one or more critical materials. As a result of the sale of the Facility, we are dependent on Gannet BioChem for the supply of the polyethylene glycol reagents (PEG reagents) used in the manufacture of rezpegaldesleukin and NKTR-255. Consequently, in the event that supplies are delayed or interrupted for any reason, our ability to develop and produce our drug candidates or our ability to meet our supply obligations could be significantly impaired,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available-for-sale securities, we have significant concentrations of issuers in the banking and financial services industries. While our investment policy requires that we only invest in highly-rated securities and limit our exposure to any single issuer, various factors may materially affect the financial condition of issuers. Additionally, pursuant to our investment policy, we may sell securities before maturity if the issuer’s credit rating has been downgraded below our minimum credit rating requirements, which may result in a loss on the sale. Accordingly, if various factors result in downgrades below our minimum credit rating requirements and if we decide to sell these securities, we may experience losses on such sales.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June 6, 2025, we filed a Certificate of Amendment to the Certificate of Incorporation, or the Reverse Stock Split Amendment, to effect a reverse stock split of Nektar’s Common Stock at a ratio of one-for-fifteen, effective June 8, 2025. No fractional shares of common stock were issued as a result of the Reverse Stock Split. All share and per share figures in these financial statements have been adjusted to give retrospective effect to the Reverse Stock Split. See Note 6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record treasury stock activities under the cost method. Treasury stock is included in authorized and issued shares but excluded from outstanding shares. The re-issuance of treasury stock is accounted for on a first-in, first-out basis and any differences between the cost of treasury stock and the re-issuance proceeds are charged or credited to additional paid-in capital. In connection with the 2025 Offering, we re-issued all shares held in treasury stock. See Note 6 for additional information.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Restructuring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April 2022 and April 2023, we announced certain restructuring plans (the 2022 Restructuring Plan and the 2023 Restructuring Plan, respectively), pursuant to which we terminated significant portions of our workforce and decided to sublease all of our leased premises in San Francisco, California, including our office space on Third St. (Third St. Facility) and our office and laboratory space on Mission Bay Blvd. South (Mission Bay Facility).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recognize restructuring charges related to reorganization plans that have been committed to by management when liabilities have been incurred. In connection with these activities, we record restructuring charges at fair value for contract termination costs incurred when we cancel the contract in accordance with its terms, or for costs to be incurred over the remaining contract term without economic benefit to us at the cease-use date.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Long-Lived Asset Impairment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assess the impairment of long-lived assets whenever events or changes in business circumstances indicate that the carrying amounts of the assets may not be fully recoverable. In the case of property and equipment and right-of-use assets for our leases,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net cash flows associated with the asset, discounted at a rate that we believe a market participant would utilize to reflect the risks associated with the cash flows, such as credit risk.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July 4, 2025, the budget reconciliation bill H.R. 1, known as the One Big Beautiful Bill (OBBB), was signed into law. The OBBB contains several changes to corporate taxation including modifications to capitalization of research and development expenses, limitations on deductions for interest expense and accelerated fixed asset depreciation. We are in the process of evaluating the OBBB’s impact on our financial statements.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Equity Method Investment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investment in Gannet BioChem is considered a variable interest entity for which we are not the primary beneficiary. We use the equity method of accounting to account for our investment in Gannet BioChem, which is an entity that we do not control, but have the ability to exert significant influence. Judgments regarding the level of influence over the equity method investment include consideration of key factors such as our ownership interest, representation on the board of directors or participation in policy-making decisions.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equity method of accounting, our investment in Gannet BioChem is initially recorded at fair value. The carrying value of the investment is subsequently adjusted based on our share of the net income or loss of the entity which we present as gain or loss from equity method investment in our Condensed Consolidated Statements of Operations. We record our share of the equity method investment’s results of operations on a three-month lag basis.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Due to Ampersand’s right to receive a cumulative preferred dividend at a certain annual rate of return and return of capital before any distributions are made to us as further disclosed in Note 4, we record our gain or loss on our investment in Gannet BioChem under the hypothetical liquidation at book value (HLBV)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HLBV method is a balance sheet approach that calculates the change in the hypothetical amount Ampersand and we would be entitled to receive if Gannet BioChem were liquidated at book value at the end of each period, adjusted for any contributions made and distributions received during the period, as well as basis differences between the initial fair value of our investment in Gannet BioChem and our claim on the net assets of Gannet BioChem. Our maximum exposure to loss in Gannet BioChem is limited to the carrying value of our investment.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evaluate our equity method investment at the end of each reporting period to determine whether events or changes in business circumstances indicate that the carrying value of the investment may not be recoverable. This evaluation consists of several qualitative and quantitative factors that may include recent financial results, projected financial results and operating trends of the investees and other publicly available information that may affect the value of our investment.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all periods presented in the Condensed Consolidated Statements of Operations, the net loss available to common stockholders is equal to the reported net loss. We calculate basic net loss per share based on the weighted-average number of common shares outstanding, including the pre-funded warrant, as further disclosed in Note 4, during the periods presented. Shares of common stock into which the pre-funded warrant may be exercised are considered outstanding for the purposes of computing basic net loss per share because the shares may be issued for little or no consideration, are fully vested and are exercisable after the original issuance date. For the three and nine months ended September 30, 2025 and 2024, basic and diluted net loss per share are the same due to our net losses and the requirement to exclude potentially dilutive securities which would have an antidilutive effect on net loss per share. We excluded shares underlying the weighted average outstanding stock options, restricted stock units (RSUs) and performance stock units (PSUs), as follows (in thousands):</w:t>
      </w:r>
    </w:p>
    <w:p>
      <w:pPr>
        <w:pStyle w:val="TextBody"/>
        <w:bidi w:val="0"/>
        <w:jc w:val="left"/>
        <w:rPr/>
      </w:pPr>
      <w:r>
        <w:rPr/>
        <w:t> </w:t>
      </w:r>
    </w:p>
    <w:tbl>
      <w:tblPr>
        <w:tblW w:w="8426" w:type="dxa"/>
        <w:jc w:val="left"/>
        <w:tblInd w:w="0" w:type="dxa"/>
        <w:tblLayout w:type="fixed"/>
        <w:tblCellMar>
          <w:top w:w="28" w:type="dxa"/>
          <w:left w:w="28" w:type="dxa"/>
          <w:bottom w:w="28" w:type="dxa"/>
          <w:right w:w="28" w:type="dxa"/>
        </w:tblCellMar>
      </w:tblPr>
      <w:tblGrid>
        <w:gridCol w:w="2521"/>
        <w:gridCol w:w="146"/>
        <w:gridCol w:w="160"/>
        <w:gridCol w:w="1022"/>
        <w:gridCol w:w="160"/>
        <w:gridCol w:w="160"/>
        <w:gridCol w:w="160"/>
        <w:gridCol w:w="1022"/>
        <w:gridCol w:w="146"/>
        <w:gridCol w:w="146"/>
        <w:gridCol w:w="154"/>
        <w:gridCol w:w="988"/>
        <w:gridCol w:w="154"/>
        <w:gridCol w:w="154"/>
        <w:gridCol w:w="154"/>
        <w:gridCol w:w="988"/>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Potentially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2,202,024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2,256,665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will require incremental income tax disclosures on an annual basis for all public entities.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We are currently evaluating the incremental disclosures that will be required in our consolidated financial statements.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an accounting standard update that requires the Company to disclose more detailed information about the types of expenses (including employee compensation, depreciation, and amortization) included in each relevant income statement expense caption. In January 2025, the FASB issued ASU 2025-01,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to clarify the effective date of ASU 2024-03. The ASU is effective for fiscal years beginning after December 15, 2026, and interim reporting periods beginning after December 15, 2027. Early adoption is permitted. We are currently evaluating the incremental disclosures that will be required in our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2 — Cash and Investments in Marketable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Cash and investments in marketable securities, including cash equivalents, are as follows (in thousands):</w:t>
      </w:r>
    </w:p>
    <w:p>
      <w:pPr>
        <w:pStyle w:val="TextBody"/>
        <w:bidi w:val="0"/>
        <w:jc w:val="left"/>
        <w:rPr/>
      </w:pPr>
      <w:r>
        <w:rPr/>
        <w:t> </w:t>
      </w:r>
    </w:p>
    <w:tbl>
      <w:tblPr>
        <w:tblW w:w="8365" w:type="dxa"/>
        <w:jc w:val="left"/>
        <w:tblInd w:w="0" w:type="dxa"/>
        <w:tblLayout w:type="fixed"/>
        <w:tblCellMar>
          <w:top w:w="28" w:type="dxa"/>
          <w:left w:w="28" w:type="dxa"/>
          <w:bottom w:w="28" w:type="dxa"/>
          <w:right w:w="28" w:type="dxa"/>
        </w:tblCellMar>
      </w:tblPr>
      <w:tblGrid>
        <w:gridCol w:w="4491"/>
        <w:gridCol w:w="146"/>
        <w:gridCol w:w="328"/>
        <w:gridCol w:w="1217"/>
        <w:gridCol w:w="146"/>
        <w:gridCol w:w="146"/>
        <w:gridCol w:w="319"/>
        <w:gridCol w:w="1181"/>
        <w:gridCol w:w="391"/>
      </w:tblGrid>
      <w:tr>
        <w:trPr/>
        <w:tc>
          <w:tcPr>
            <w:tcW w:w="4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at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investments in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portfolio of cash and investments in marketable securities consists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3"/>
        <w:gridCol w:w="146"/>
        <w:gridCol w:w="1099"/>
        <w:gridCol w:w="146"/>
        <w:gridCol w:w="221"/>
        <w:gridCol w:w="819"/>
        <w:gridCol w:w="146"/>
        <w:gridCol w:w="146"/>
        <w:gridCol w:w="425"/>
        <w:gridCol w:w="640"/>
        <w:gridCol w:w="146"/>
        <w:gridCol w:w="146"/>
        <w:gridCol w:w="384"/>
        <w:gridCol w:w="687"/>
        <w:gridCol w:w="166"/>
        <w:gridCol w:w="146"/>
        <w:gridCol w:w="211"/>
        <w:gridCol w:w="781"/>
        <w:gridCol w:w="146"/>
        <w:gridCol w:w="146"/>
        <w:gridCol w:w="231"/>
        <w:gridCol w:w="858"/>
        <w:gridCol w:w="396"/>
      </w:tblGrid>
      <w:tr>
        <w:trPr/>
        <w:tc>
          <w:tcPr>
            <w:tcW w:w="1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notes and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119,542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2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229,253</w:t>
            </w:r>
          </w:p>
        </w:tc>
        <w:tc>
          <w:tcPr>
            <w:tcW w:w="3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14,027</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4" w:type="dxa"/>
            <w:gridSpan w:val="6"/>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269,095</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and nine months ended September 30, 2025 and 2024, there were no transfers between Level 1 and Level 2 of the fair value hierarchy. As of September 30, 2025, we had 29 investments in unrealized loss positions and no investments had been in continuous unrealized loss positions for 12 months or longer. At December 31, 2024, our gross unrealized gains and losses were insignificant.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3 — Condensed Consolidated Financial Statement Details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Other Current Assets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current assets consist of the following (in thousands):</w:t>
      </w:r>
    </w:p>
    <w:tbl>
      <w:tblPr>
        <w:tblW w:w="7550" w:type="dxa"/>
        <w:jc w:val="left"/>
        <w:tblInd w:w="0" w:type="dxa"/>
        <w:tblLayout w:type="fixed"/>
        <w:tblCellMar>
          <w:top w:w="28" w:type="dxa"/>
          <w:left w:w="28" w:type="dxa"/>
          <w:bottom w:w="28" w:type="dxa"/>
          <w:right w:w="28" w:type="dxa"/>
        </w:tblCellMar>
      </w:tblPr>
      <w:tblGrid>
        <w:gridCol w:w="3676"/>
        <w:gridCol w:w="146"/>
        <w:gridCol w:w="367"/>
        <w:gridCol w:w="1178"/>
        <w:gridCol w:w="146"/>
        <w:gridCol w:w="146"/>
        <w:gridCol w:w="403"/>
        <w:gridCol w:w="1097"/>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non-trade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tbl>
      <w:tblPr>
        <w:tblW w:w="7610" w:type="dxa"/>
        <w:jc w:val="left"/>
        <w:tblInd w:w="0" w:type="dxa"/>
        <w:tblLayout w:type="fixed"/>
        <w:tblCellMar>
          <w:top w:w="28" w:type="dxa"/>
          <w:left w:w="28" w:type="dxa"/>
          <w:bottom w:w="28" w:type="dxa"/>
          <w:right w:w="28" w:type="dxa"/>
        </w:tblCellMar>
      </w:tblPr>
      <w:tblGrid>
        <w:gridCol w:w="3736"/>
        <w:gridCol w:w="146"/>
        <w:gridCol w:w="367"/>
        <w:gridCol w:w="1178"/>
        <w:gridCol w:w="146"/>
        <w:gridCol w:w="146"/>
        <w:gridCol w:w="357"/>
        <w:gridCol w:w="1143"/>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termination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Liabilities Related to the Sales of Future Royalties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2012 and 2020, we sold to RPI Finance Trust (RPI) and entities managed by Healthcare Royalty Management, LLC (HCR), respectively, our rights to receive royalties under our license and manufacturing agreements with certain pharmaceutical partners under the 2012 Purchase and Sale Agreement and the 2020 Purchase and Sale Agreement, respectively. We account for these transactions as debt and recognize non-cash royalty revenue and non-cash interest expense to amortize the proceeds over the lives of the respective arrangements. We periodically update our prospective non-cash interest rate based on our estimates of future royalties. As of September 30, 2025, our imputed interest rate for the arrangement with HCR was 28%.</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original 2020 Purchase and Sale Agreement was to expire -- and wherein the right to receive royalties would revert to us -- if HCR received aggregate royalties of $210.0 million on or prior to December 31, 2025 (the 2025 Threshold), or, if the 2025 Threshold was not achieved by December 31, 2025, when HCR received aggregate royalties of $240.0 million. On March 4, 2024, Nektar and HCR amended the original 2020 Purchase and Sale Agreement (the Amendment), pursuant to which the parties agreed to remove our reversionary rights in the royalties in exchange for a $15.0 million payment from HCR. Accordingly, HCR will receive all future royalties of the products, and none of these royalties will return to Nektar. We accounted for the Amendment as a modification of the existing arrangement and therefore recorded the $15.0 million proceeds as an increase to the liability.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reconciliation of the changes in our liabilities related to the sales of future royalties for the nine months ended September 30, 2025 (in thousands):</w:t>
      </w:r>
    </w:p>
    <w:tbl>
      <w:tblPr>
        <w:tblW w:w="10205" w:type="dxa"/>
        <w:jc w:val="left"/>
        <w:tblInd w:w="0" w:type="dxa"/>
        <w:tblLayout w:type="fixed"/>
        <w:tblCellMar>
          <w:top w:w="28" w:type="dxa"/>
          <w:left w:w="28" w:type="dxa"/>
          <w:bottom w:w="28" w:type="dxa"/>
          <w:right w:w="28" w:type="dxa"/>
        </w:tblCellMar>
      </w:tblPr>
      <w:tblGrid>
        <w:gridCol w:w="4157"/>
        <w:gridCol w:w="146"/>
        <w:gridCol w:w="487"/>
        <w:gridCol w:w="1463"/>
        <w:gridCol w:w="166"/>
        <w:gridCol w:w="146"/>
        <w:gridCol w:w="438"/>
        <w:gridCol w:w="1530"/>
        <w:gridCol w:w="166"/>
        <w:gridCol w:w="146"/>
        <w:gridCol w:w="211"/>
        <w:gridCol w:w="736"/>
        <w:gridCol w:w="413"/>
      </w:tblGrid>
      <w:tr>
        <w:trPr/>
        <w:tc>
          <w:tcPr>
            <w:tcW w:w="4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2012 Purchase and Sale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Purchase and Sale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related to the sales of future royalties, net –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related to the sales of future royalties, net – 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4 — Equity Method Investment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discussed in Note 1, on December 2, 2024, we completed the sale of the Facility and certain other manufacturing assets related thereto, including the assignment of our existing manufacturing and supply obligations, to Gannet BioChem, an affiliate of Ampersand, via the APA, for consideration of $64.7 million in cash, net of transaction costs, and an equity interest in Gannet BioChem.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own 20.0 million common units of Gannet BioChem at $1.00 per unit, representing 100% of the common units outstanding at both closing of the sale of the Facility and at September 30, 2025, and Ampersand owns 81.5 million preferred units at $1.00 per unit, representing 100% of the preferred units outstanding at closing and 99.7% of the preferred units outstanding as of September 30, 2025. Gannet BioChem has reserved 11.3 million appreciation rights for issuance to its officers, employees, directors and consultants, which may only be settled upon a “company sale” as defined by Gannet BioChem’s equity plan and convert to common units in determining their distribution, less the “base value”, which is equal to the fair value of the common units as determined by Gannet BioChem’s board of directors. As of September 30, 2025, Gannet BioChem has issued 8.2 million stock appreciation rights, which have a $1.00 base value.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the event of a distribution, to the extent available, the preferred unitholders have priority rights to a cumulative preferred dividend at a certain annual rate of return and a return of their investment before any distributions to common unitholders. After such priority distribution to the preferred unitholders, to the extent available, common unitholders are to receive a distribution of both a cumulative dividend at the same rate as the preferred unitholders’ dividend and a return of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investment, which, for our common units, is equal to $20.0 million (or $1.00 per unit). Any distributions in excess of both of these distributions, if available, are distributed to preferred and common unitholders pro rata.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have significant influence, but do not control, Gannet BioChem through our noncontrolling representation on Gannet BioChem’s board of directors and our equity interests in Gannet BioChem. Accordingly, we do not consolidate Gannet BioChem and account for our investment in Gannet BioChem using the equity method of accounting. At closing of the sale of the Facility, we estimated the fair value of our equity investment in Gannet BioChem to be $12.2 million, which reflected Ampersand’s liquidation preferences described above. We record our share of Gannet BioChem’s gains and losses under the HLBV basis, which reflects Ampersand’s liquidation preferences as described above. The HLBV method is a balance sheet approach that calculates the change in the hypothetical amount we and Ampersand would be entitled to receive if Gannet BioChem were liquidated at book value, adjusted for any contributions made and distributions received during the period, as well as basis differences between the initial fair value of our investment in Gannet BioChem and our claim on the net assets of Gannet BioChem. Our loss from our investment in Gannet BioChem for the three and nine months ended September 30, 2025 is as follows (in thousands): </w:t>
      </w:r>
    </w:p>
    <w:tbl>
      <w:tblPr>
        <w:tblW w:w="10205" w:type="dxa"/>
        <w:jc w:val="left"/>
        <w:tblInd w:w="0" w:type="dxa"/>
        <w:tblLayout w:type="fixed"/>
        <w:tblCellMar>
          <w:top w:w="28" w:type="dxa"/>
          <w:left w:w="28" w:type="dxa"/>
          <w:bottom w:w="28" w:type="dxa"/>
          <w:right w:w="28" w:type="dxa"/>
        </w:tblCellMar>
      </w:tblPr>
      <w:tblGrid>
        <w:gridCol w:w="4226"/>
        <w:gridCol w:w="146"/>
        <w:gridCol w:w="700"/>
        <w:gridCol w:w="1897"/>
        <w:gridCol w:w="166"/>
        <w:gridCol w:w="146"/>
        <w:gridCol w:w="601"/>
        <w:gridCol w:w="1929"/>
        <w:gridCol w:w="394"/>
      </w:tblGrid>
      <w:tr>
        <w:trPr/>
        <w:tc>
          <w:tcPr>
            <w:tcW w:w="4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Claim on net assets of Gannet BioChem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Claim on net assets of Gannet BioChem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claim on net assets of Gannet BioChem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Gannet BioChem is considered a related party to Nektar. Concurrently with the closing of the transaction, we entered into certain ancillary agreements with Gannet BioChem, including supply agreements for rezpegaldesleukin and NKTR-255, and certain services agreements.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Supply Agreements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Under the terms of the supply agreements, Gannet BioChem has agreed to manufacture and supply the PEG reagents for use in clinical trials of these drug candidates at prices defined within the agreements. There are no minimum purchase commitments and Nektar can terminate the agreement for convenience upon prior written notice. For the three and nine months ended September 30, 2025, we did not make any purchases from Gannet BioChem.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Services Agreements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Pursuant to a transition services agreement and full-time employee equivalent agreement, Nektar is performing certain transition services for the benefit of Gannet BioChem, primarily related to information technology and accounting, and Gannet BioChem is performing certain transition services for the benefit of Nektar, primarily to support research and development activities. The terms of these agreements are no more than two years, subject to certain termination provisions. For the three and nine months ended September 30, 2025, we recorded $0.4 million and $1.2 million, respectively, as research and development expense for services provided by Gannet BioChem to us in our Condensed Consolidated Statements of Operations. For the three and nine months ended September 30, 2025, we recorded $0.2 million and $1.1 million as other income in our Condensed Consolidated Statements of Operations for services provided by us to Gannet BioChem.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of September 30, 2025, we recorded a net receivable of $0.2 million from Gannet BioChem and a payable of $0.3 million to Gannet BioChem, consisting of amounts billable under the services agreements. We report the net receivable and payable in other current asset and accrued expenses, respectively, in our Condensed Consolidated Balance Sheets. </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5 — Commitments and Contingencies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Legal Matters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From time to time, we are involved in lawsuits, arbitrations, claims, investigations and proceedings, consisting of intellectual property, commercial, employment and other matters, which arise in the ordinary course of business. We make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provisions for liabilities when it is both probable that a liability has been incurred and the amount of the loss can be reasonably estimated. Such provisions are reviewed at each reporting date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for that period and on our cash flows and liquidity.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August 7, 2023, we filed a complaint in the United States District Court for the Northern District of California (the Court) against Eli Lilly and Company (Lilly)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On September 19, 2025, Lilly filed a motion to voluntarily dismiss its counterclaims with prejudice, which the Court granted on October 7, 2025. Lilly has filed a motion for summary judgment, and the court has not yet issued a decision on this motion, as well as other pre-trial motions filed by both parties that remain pending before the Court. Following the shutdown of the federal government, on October 14, 2025, the Court postponed the previously calendared October 27, 2025 starting date of the jury trial, and scheduled a status conference for the parties on December 11, 2025, following which we expect to learn additional details concerning the new starting date of the jury trial.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After previously authorizing good and service tax (GST) refunds of approximately $3.3 million for the period of July 2017 to September 2019, the Indian GST authorities issued a show cause notice in October 2023 seeking to recover this refund, plus penalties and interest, for which we have subsequently received a demand in September 2025 seeking payment to Indian GST authorities. We have not paid the demand in view of an appeal we filed with the Indian authorities, and believe the basis for both the show cause notice and demand is without merit. We believe a loss is not probable and therefore have not accrued a liability as of September 30, 2025.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have recorded no liability for any litigation matters in our Condensed Consolidated Balance Sheets at either September 30, 2025 or December 31, 2024.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Indemnifications in Connection with Commercial Agreements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part of our collaboration agreements with our partners related to the license, development, manufacture and supply of our proprietary drug candidates,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commencing after execution of the agreement. There is generally no limitation on the potential amount of future payments we could be required to make under these indemnification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enter into other strategic agreements such as divestitures and financing transactions pursuant to which we are required to make representations and warranties and undertake to perform or comply with certain covenants. For example, we made certain intellectual property representations in connection with our RPI and HCR transactions, however, the time limitation we have to indemnify RPI with respect to any breach of these intellectual property-based representations and warranties has passed. In the event it is determined that we breached certain of the representations and warranties or covenants made by us in any such agreements or certain express indemnification provisions are applicable, we could incur substantial indemnification liabilities depending on the timing, nature, and amount of any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incurred any costs to defend lawsuits or settle claims related to these indemnification obligations, nor any breaches of representations or warranties or covenants. Because the aggregate amount of any potential indemnification obligation is not a stated amount, we cannot reasonably estimate the overall maximum amount of any such obligations.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6 —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6, 2025, we filed a Certificate of Amendment to the Certificate of Incorporation, or the Increase in Shares Amendment, to increase the number of authorized shares of the Company’s common stock from 300,000,000 shares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390,000,000 shares. The increase in authorized shares amendment was previously approved by our stockholders at the Annual Meeting of Stockholders held on May 23, 2025 and became effective upon its filing.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June 6, 2025, we also filed a Certificate of Amendment to Nektar’s Certificate of Incorporation (the Reverse Stock Split Amendment) to effect a reverse stock split of our common stock at a ratio of one-for-fifteen (the Reverse Stock Split). The Reverse Stock Split Amendment became effective as of 11:59 p.m. Eastern Time on June 8, 2025 (the Effective Time), at which time every fifteen shares of our common stock issued and outstanding immediately prior to the Effective Time were combined into one share of common stock. No fractional shares of our common stock were issued as a result of the Reverse Stock Split. Instead, any fractional shares resulting from the Reverse Stock Split were rounded up at the participant level if such shares of our common stock (including shares subject to issuance upon exercise of the pre-funded warrant) were held directly or rounded down to the nearest whole share of our common stock, if such shares were subject to an award granted under the 2017 Amended and Restated Performance Incentive Plan. Upon effectiveness of the Reverse Stock Split, the number of shares of common stock for which each outstanding option and pre-funded warrant to purchase common stock is exercisable was adjusted, and the exercise price of each outstanding option and pre-funded warrant to purchase common stock was adjusted. The Reverse Stock Split did not change the par value per share or the authorized number of shares of common stock and preferred stock. As a result of the Reverse Stock Split, we have retrospectively recast prior periods for shares of our common stock, including those issued, outstanding and treasury stock, weighted-average shares outstanding and loss per share.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May 23, 2025, our shareholders approved an amendment to the Amended and Restated 2017 Performance Incentive Plan to increase the aggregate number of shares of common stock authorized for issuance thereunder by 6,000,000 shares, which were subsequently adjusted to 400,000 shares due to the effect of the Reverse Stock Split.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 result of the Reverse Stock Split, shares reserved for issuance under our employee stock plans are as follows:</w:t>
      </w:r>
    </w:p>
    <w:tbl>
      <w:tblPr>
        <w:tblW w:w="10205" w:type="dxa"/>
        <w:jc w:val="left"/>
        <w:tblInd w:w="0" w:type="dxa"/>
        <w:tblLayout w:type="fixed"/>
        <w:tblCellMar>
          <w:top w:w="28" w:type="dxa"/>
          <w:left w:w="28" w:type="dxa"/>
          <w:bottom w:w="28" w:type="dxa"/>
          <w:right w:w="28" w:type="dxa"/>
        </w:tblCellMar>
      </w:tblPr>
      <w:tblGrid>
        <w:gridCol w:w="6145"/>
        <w:gridCol w:w="346"/>
        <w:gridCol w:w="283"/>
        <w:gridCol w:w="1253"/>
        <w:gridCol w:w="146"/>
        <w:gridCol w:w="146"/>
        <w:gridCol w:w="275"/>
        <w:gridCol w:w="1217"/>
        <w:gridCol w:w="394"/>
      </w:tblGrid>
      <w:tr>
        <w:trPr/>
        <w:tc>
          <w:tcPr>
            <w:tcW w:w="61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2,203,927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exercise price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grant under the 2017 Performance Incentive Plan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551,727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 under the employee stock purchase plan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reserved for issuance under our employee stock plans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2,904,561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Prefunded Warrant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March 2024, we issued a pre-funded warrant to purchase an aggregate of 1,666,667 shares of our common stock to TCG Crossover Fund II, L.P. (TCG) at a price of $18.00 per share for gross proceeds of $30.0 million. Transaction costs were immaterial. The pre-funded warrant had an exercise price of $0.0015 per share and was exercisable at any time after the original issuance date. TCG could not exercise the warrant if TCG, together with its affiliates, would beneficially own more than 9.99% of the number of shares of our common stock outstanding immediately after giving effect to such exercise. TCG could increase or decrease this percentage not in excess of 19.99% by providing at least 61 days prior notice to the Company. On May 28, 2024, we filed with the SEC a registration statement on Form S-3 (file no. 333-279760) registering for resale of up to 1,666,667 shares of our common stock issuable upon exercise of the pre-funded warrant. The registration statement became effective on June 5, 2024.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classified the pre-funded warrant as a component of permanent equity in our Condensed Consolidated Balance Sheets as it is a freestanding financial instrument that was immediately exercisable, does not embody an obligation for the Company to repurchase its own shares and permits the holder to receive a fixed number of shares of common stock upon exercise. All of the shares underlying the pre-funded warrant have been included in the weighted-average number of shares of common stock used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calculate net loss per share attributable to common stockholders because the shares may be issued for little or no consideration, are fully vested and are exercisable after the original issuance date of the pre-funded warrant.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July 1, and July 11, 2025, TCG exercised the pre-funded warrant to purchase 780,000 and 886,667 shares of common stock, respectively. Exercise proceeds are immaterial. As a result of these exercises, no shares remain issuable under the warrant.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Secondary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 2025, pursuant to the Shelf Registration Statement, we completed the sale and issuance of 4,893,618 shares of our common stock in an underwritten public offering (the 2025 Offering) at a price of $23.50 per share, which included 638,298 shares sold upon exercise in full by the underwriters of their option to purchase additional shares of common stock in the 2025 Offering. The net proceeds to the Company from the 2025 Offering totaled approximately $107.2 million, after deducting underwriting discounts and commissions and other offering costs. The 2025 Offering was underwritten by Jefferies LLC, pursuant to an underwriting agreement that Nektar and Jefferies LLC had entered into on June 30,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2025 Offering, we re-issued all 552,307 shares held in treasury stock as of June 30,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2025, we issued 600,198 shares of our common stock under the ATM Sales Agreement at a weighted average price of $59.24 per share for net proceeds of $34.3 million after deducting related commissions and offering costs. In October 2025, we issued an additional 673,725 shares of our common stock under the ATM Sales Agreement at a weighted average price of $58.55 for net proceeds of $38.3 million after deducting related commissions of approximately $1.2 million. No ATM shares remain available for issuance under the ATM Sales Agreement.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 License and Collaboration Agreements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We have entered into various collaboration agreements including license agreements and collaborative research, development and commercialization agreements with various pharmaceutical and biotechnology companies. Under these collaboration arrangements, we are entitled to receive license fees, upfront payments, milestone and other contingent payments, royalties, sales milestone payments, reimbursements for research and development activities and (before the sale of the Facility) payments for the manufacture and supply of our PEG reagents. We generally include our costs of performing these services in research and development expense, except for costs for product sales to our collaboration partners which we include in cost of goods sold. We analyze our agreements to determine whether we should account for the agreements within the scope of ASC 808 </w:t>
      </w:r>
      <w:r>
        <w:rPr>
          <w:rFonts w:ascii="Times New Roman" w:hAnsi="Times New Roman"/>
          <w:i/>
          <w:color w:val="000000"/>
          <w:sz w:val="20"/>
        </w:rPr>
        <w:t>Collaborative Arrangements</w:t>
      </w:r>
      <w:r>
        <w:rPr>
          <w:rFonts w:ascii="Times New Roman" w:hAnsi="Times New Roman"/>
          <w:color w:val="000000"/>
          <w:sz w:val="20"/>
        </w:rPr>
        <w:t xml:space="preserve">, and, if so, we analyze whether we should account for any elements under ASC 606 </w:t>
      </w:r>
      <w:r>
        <w:rPr>
          <w:rFonts w:ascii="Times New Roman" w:hAnsi="Times New Roman"/>
          <w:i/>
          <w:color w:val="000000"/>
          <w:sz w:val="20"/>
        </w:rPr>
        <w:t>Revenue from Contracts with Customers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Biolojic Design, Ltd. (Biolojic)</w:t>
      </w:r>
      <w:r>
        <w:rPr>
          <w:rFonts w:ascii="Times New Roman" w:hAnsi="Times New Roman"/>
          <w:i/>
          <w:color w:val="000000"/>
          <w:sz w:val="20"/>
        </w:rPr>
        <w:t>: NKTR-0165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2021, we entered into a research collaboration and license option agreement with Biolojic to discover and develop agonistic antibodies that activate a novel and previously un-drugged target for the treatment of autoimmune diseases. In 2023, we exercised an option to gain an exclusive license to specified agonistic antibodies and other materials that were developed pursuant to this arrangement in all fields of use (other than in the field of oncology). As a result of exercising the option to gain an exclusive license, we may be required to pay up to $18.0 million based on the achievement of certain development milestones, including the first milestone of $3.0 million payable upon the acceptance of the first investigational new drug application, and up to $35.0 million based on the achievement of certain regulatory approval milestones. Each milestone is payable only once, regardless of the number of indications for which we develop the licensed product. We record a liability when a milestone payment becomes probable. As of September 30, 2025, no milestones have been achieved or are considered probable, and no liability has been recorded. </w:t>
      </w:r>
    </w:p>
    <w:p>
      <w:pPr>
        <w:pStyle w:val="TextBody"/>
        <w:bidi w:val="0"/>
        <w:spacing w:before="120" w:after="283"/>
        <w:jc w:val="left"/>
        <w:rPr>
          <w:rFonts w:ascii="Times New Roman" w:hAnsi="Times New Roman"/>
          <w:sz w:val="20"/>
        </w:rPr>
      </w:pPr>
      <w:r>
        <w:rPr>
          <w:rFonts w:ascii="Times New Roman" w:hAnsi="Times New Roman"/>
          <w:b/>
          <w:i/>
          <w:color w:val="000000"/>
          <w:sz w:val="20"/>
        </w:rPr>
        <w:t>Bristol-Myers Squibb Company (BMS)</w:t>
      </w:r>
      <w:r>
        <w:rPr>
          <w:rFonts w:ascii="Times New Roman" w:hAnsi="Times New Roman"/>
          <w:i/>
          <w:color w:val="000000"/>
          <w:sz w:val="20"/>
        </w:rPr>
        <w:t>: Bempegaldesleukin, also referred to as NKTR-214</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Effective April 3, 2018, we entered into a Strategic Collaboration Agreement (the BMS Collaboration Agreement) and a Share Purchase Agreement with BMS. Pursuant to the BMS Collaboration Agreement, we and BMS jointly developed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bempegaldesleukin in combination with BMS’ Opdivo</w:t>
      </w:r>
      <w:r>
        <w:rPr>
          <w:rFonts w:ascii="Times New Roman" w:hAnsi="Times New Roman"/>
          <w:color w:val="000000"/>
          <w:sz w:val="13"/>
        </w:rPr>
        <w:t>®</w:t>
      </w:r>
      <w:r>
        <w:rPr>
          <w:rFonts w:ascii="Times New Roman" w:hAnsi="Times New Roman"/>
          <w:color w:val="000000"/>
          <w:sz w:val="20"/>
        </w:rPr>
        <w:t>. The parties shared the internal and external development costs for bempegaldesleukin in combination regimens based on each party’s relative ownership interest in the compounds included in the regimens.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effective date of the BMS Collaboration Agreement in April 2018, BMS paid us a non-refundable upfront cash payment of $1.0 billion and purchased 552,307 shares of our common stock pursuant to the Share Purchase Agreement for total additional cash consideration of $850.0 million. In 2020, we received additional non-refundable milestone payments of $50.0 million.</w:t>
      </w:r>
    </w:p>
    <w:p>
      <w:pPr>
        <w:pStyle w:val="TextBody"/>
        <w:bidi w:val="0"/>
        <w:spacing w:before="120" w:after="283"/>
        <w:jc w:val="left"/>
        <w:rPr>
          <w:rFonts w:ascii="Times New Roman" w:hAnsi="Times New Roman"/>
          <w:sz w:val="20"/>
        </w:rPr>
      </w:pPr>
      <w:r>
        <w:rPr>
          <w:rFonts w:ascii="Times New Roman" w:hAnsi="Times New Roman"/>
          <w:color w:val="000000"/>
          <w:sz w:val="20"/>
        </w:rPr>
        <w:t>In April 2022, we announced that BMS and we decided to discontinue all development of bempegaldesleukin in combination with Opdivo</w:t>
      </w:r>
      <w:r>
        <w:rPr>
          <w:rFonts w:ascii="Times New Roman" w:hAnsi="Times New Roman"/>
          <w:color w:val="000000"/>
          <w:sz w:val="13"/>
        </w:rPr>
        <w:t>®</w:t>
      </w:r>
      <w:r>
        <w:rPr>
          <w:rFonts w:ascii="Times New Roman" w:hAnsi="Times New Roman"/>
          <w:color w:val="000000"/>
          <w:sz w:val="20"/>
        </w:rPr>
        <w:t>. On September 6, 2023, BMS and we terminated the BMS Collaboration Agreement, and pursuant to the surviving provisions of the BMS Collaboration Agreement, the cost sharing provisions continued to remain in effect as BMS and we have wound down the bempegaldesleukin program. On February 12, 2024, we repurchased the 552,307 shares previously sold to BMS for total cash consideration of $3.0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determined that the BMS Collaboration Agreement falls within the scope of ASC 808. Based on the cost sharing provisions described above, we recognize the net reimbursement to (from) BMS as an increase (decrease) to the applicable expense. For the three months ended September 30, 2025 and 2024, such amounts are immaterial and are included in research and development expense.</w:t>
      </w:r>
    </w:p>
    <w:p>
      <w:pPr>
        <w:pStyle w:val="TextBody"/>
        <w:bidi w:val="0"/>
        <w:spacing w:before="120" w:after="283"/>
        <w:jc w:val="left"/>
        <w:rPr>
          <w:rFonts w:ascii="Times New Roman" w:hAnsi="Times New Roman"/>
          <w:sz w:val="20"/>
        </w:rPr>
      </w:pPr>
      <w:r>
        <w:rPr>
          <w:rFonts w:ascii="Times New Roman" w:hAnsi="Times New Roman"/>
          <w:b/>
          <w:i/>
          <w:color w:val="000000"/>
          <w:sz w:val="20"/>
        </w:rPr>
        <w:t>Eli Lilly and Company (Lilly)</w:t>
      </w:r>
      <w:r>
        <w:rPr>
          <w:rFonts w:ascii="Times New Roman" w:hAnsi="Times New Roman"/>
          <w:i/>
          <w:color w:val="000000"/>
          <w:sz w:val="20"/>
        </w:rPr>
        <w:t>: Rezpegaldesleukin (previously referred to as NKTR-358)</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July 23, 2017, we entered into a worldwide license agreement (the Lilly Agreement) with Lilly to co-develop rezpegaldesleukin, a novel immunological drug candidate that we invented, pursuant to which we received an initial payment of $150.0 million and were eligible for up to $250.0 million in additional development and regulatory milestones. On April 23, 2023, we received from Lilly a notice of at-will termination of the Lilly Agreement. We regained full rights to rezpegaldesleukin from Lilly, and the Lilly Agreement subsequently terminated. Following the return of our rights to develop rezpegaldesleukin, we bear all costs of development.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other collaboration agreements that have resulted in commercialized products for our collaborations partners. Under these agreements, we are entitled to receive royalties based on net sales of these products as well as sales milestones. As discussed in Note 3, we have sold our rights to receive royalties from these other collaboration agreements. Our non-cash royalty revenue, which totaled $11.5 million and $33.1 million for the three and nine months ended September 30, 2025, respectively and $15.7 million and $48.0 million for the three and nine months ended September 30, 2024, respectively, represents revenue for granting licenses which we had satisfied in prior periods.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have a collaboration agreement with UCB for dapirolizumab pegol, under which we are entitled to a total of up to $40.0 million of regulatory approval milestones, as well as royalties in the low single digits based on net sales of commercialized products, if any. UCB is developing dapirolizumab pegol, a PEGylated antibody fragment, with Biogen, Inc. for the treatment of systemic lupus erythematosus. However, given the current phase of development of this product and the uncertainty in clinical development, we have excluded these milestones from the transaction price for this agreement. </w:t>
      </w:r>
    </w:p>
    <w:p>
      <w:pPr>
        <w:pStyle w:val="TextBody"/>
        <w:bidi w:val="0"/>
        <w:spacing w:before="180" w:after="283"/>
        <w:jc w:val="left"/>
        <w:rPr>
          <w:rFonts w:ascii="Times New Roman" w:hAnsi="Times New Roman"/>
          <w:sz w:val="20"/>
        </w:rPr>
      </w:pPr>
      <w:r>
        <w:rPr>
          <w:rFonts w:ascii="Times New Roman" w:hAnsi="Times New Roman"/>
          <w:color w:val="000000"/>
          <w:sz w:val="20"/>
        </w:rPr>
        <w:t>We have not sold our rights to receive these milestones or royalties from dapirolizumab pegol under the APA for the sale of the Facility, and the assignment of the supply agreements to Gannet BioChem does not alter the potential milestones and potential royalties payable by UCB to us pursuant to the collaboration agreement for dapirolizumab pegol nor the non-cash royalties payable under our collaboration agreement for CIMZIA</w:t>
      </w:r>
      <w:r>
        <w:rPr>
          <w:rFonts w:ascii="Times New Roman" w:hAnsi="Times New Roman"/>
          <w:color w:val="000000"/>
          <w:sz w:val="13"/>
        </w:rPr>
        <w:t>®</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8 — Restructuring and Impairment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our 2022 and 2023 Restructuring Plans, restructuring and impairment includes the following (in thousands):</w:t>
      </w:r>
    </w:p>
    <w:tbl>
      <w:tblPr>
        <w:tblW w:w="10205" w:type="dxa"/>
        <w:jc w:val="left"/>
        <w:tblInd w:w="0" w:type="dxa"/>
        <w:tblLayout w:type="fixed"/>
        <w:tblCellMar>
          <w:top w:w="28" w:type="dxa"/>
          <w:left w:w="28" w:type="dxa"/>
          <w:bottom w:w="28" w:type="dxa"/>
          <w:right w:w="28" w:type="dxa"/>
        </w:tblCellMar>
      </w:tblPr>
      <w:tblGrid>
        <w:gridCol w:w="4586"/>
        <w:gridCol w:w="146"/>
        <w:gridCol w:w="340"/>
        <w:gridCol w:w="679"/>
        <w:gridCol w:w="235"/>
        <w:gridCol w:w="235"/>
        <w:gridCol w:w="340"/>
        <w:gridCol w:w="558"/>
        <w:gridCol w:w="146"/>
        <w:gridCol w:w="146"/>
        <w:gridCol w:w="279"/>
        <w:gridCol w:w="558"/>
        <w:gridCol w:w="193"/>
        <w:gridCol w:w="193"/>
        <w:gridCol w:w="279"/>
        <w:gridCol w:w="897"/>
        <w:gridCol w:w="395"/>
      </w:tblGrid>
      <w:tr>
        <w:trPr/>
        <w:tc>
          <w:tcPr>
            <w:tcW w:w="4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right-of-use assets and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termination and other 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14,310</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80" w:after="200"/>
        <w:jc w:val="left"/>
        <w:rPr>
          <w:rFonts w:ascii="Times New Roman" w:hAnsi="Times New Roman"/>
          <w:color w:val="000000"/>
          <w:sz w:val="20"/>
        </w:rPr>
      </w:pPr>
      <w:r>
        <w:rPr>
          <w:rFonts w:ascii="Times New Roman" w:hAnsi="Times New Roman"/>
          <w:color w:val="000000"/>
          <w:sz w:val="20"/>
        </w:rPr>
        <w:t xml:space="preserve">As a result of our 2022 and 2023 Restructuring Plans, we decided to seek a sublease for all of our leased spaces in the Third St. Facility and the Mission Bay Facility. Accordingly, we evaluate each space for impairment at each reporting date, as facts and circumstances change. The significant assumptions in our impairment analysis relate to sublease income, including the length of time to enter into a sublease, sublease rental payments, free rent periods, tenant improvement allowances and broker commissions. When available, we use sublease negotiations or agreements, but in the absence of such information, we develop our own subjective estimates based on current real estate trends and market conditions. Accordingly, our estimates are subject to significant risk, and the terms of sublease agreements, if any, and the resulting amount and timing of sublease income, if ever realized, may be materially different than our estimates.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As part of our evaluation of each sublease space, we separately compare the estimated undiscounted sublease income, as described above, for each sublease to the net book value of the related long-term assets, which include right-of-use assets and certain property, plant and equipment, primarily for leasehold improvements (collectively, sublease assets). If such sublease income exceeds the net book value of the sublease assets, we do not record an impairment charge. Otherwise, we record an impairment charge by reducing the net book value of the sublease assets to their estimated fair value, which we determined by discounting the estimated sublease income using the estimated borrowing rate of a market participant subtenant.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During the three months ended June 30, 2024, as the life sciences and office lease markets continued to deteriorate, we recorded non-cash impairment charges totaling $8.3 million, consisting of $3.9 million for our office and laboratory leased space in the Mission Bay Facility and $4.4 million for our office lease space in the Third St. Facility.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For these impairment charges, we developed our estimates of sublease income based on market participant assumptions as described above, and we discounted the sublease income using the estimated borrowing rate of a market participant subtenant, which we estimated to be 6.2% for the three months ended June 30, 2024. We recorded no impairment charges for three and nine months ended September 30, 2025, nor for the three months ended September 30, 2024.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the impairment charges we recorded for the three and nine months ended September 30, 2024, including the net book values of the sublease assets before the impairment and the fair values of the sublease assets (in thousands):</w:t>
      </w:r>
    </w:p>
    <w:tbl>
      <w:tblPr>
        <w:tblW w:w="10205" w:type="dxa"/>
        <w:jc w:val="left"/>
        <w:tblInd w:w="0" w:type="dxa"/>
        <w:tblLayout w:type="fixed"/>
        <w:tblCellMar>
          <w:top w:w="28" w:type="dxa"/>
          <w:left w:w="28" w:type="dxa"/>
          <w:bottom w:w="28" w:type="dxa"/>
          <w:right w:w="28" w:type="dxa"/>
        </w:tblCellMar>
      </w:tblPr>
      <w:tblGrid>
        <w:gridCol w:w="4281"/>
        <w:gridCol w:w="146"/>
        <w:gridCol w:w="481"/>
        <w:gridCol w:w="1304"/>
        <w:gridCol w:w="166"/>
        <w:gridCol w:w="146"/>
        <w:gridCol w:w="491"/>
        <w:gridCol w:w="1579"/>
        <w:gridCol w:w="166"/>
        <w:gridCol w:w="146"/>
        <w:gridCol w:w="211"/>
        <w:gridCol w:w="676"/>
        <w:gridCol w:w="412"/>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Plant and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 Right-of-Use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book value of impaired facilities before write-off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14,403</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Fair value of impaired facilities — Level 3 of Fair Value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impairment of right-of-use assets and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 Termination and Other Costs</w:t>
      </w:r>
    </w:p>
    <w:p>
      <w:pPr>
        <w:pStyle w:val="TextBody"/>
        <w:bidi w:val="0"/>
        <w:spacing w:before="180" w:after="200"/>
        <w:jc w:val="left"/>
        <w:rPr>
          <w:rFonts w:ascii="Times New Roman" w:hAnsi="Times New Roman"/>
          <w:color w:val="000000"/>
          <w:sz w:val="20"/>
        </w:rPr>
      </w:pPr>
      <w:r>
        <w:rPr>
          <w:rFonts w:ascii="Times New Roman" w:hAnsi="Times New Roman"/>
          <w:color w:val="000000"/>
          <w:sz w:val="20"/>
        </w:rPr>
        <w:t>We have incurred significant contract termination costs in connection with our Restructuring Plans. Because we continue to adjust the liability based on updates to our assumptions at each reporting date, we continue to recognize expense as our estimates change until settlement.</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are reconciliations of the contract termination and other costs for three and nine months ended September 30, 2025 and 2024 (in thousands): </w:t>
      </w:r>
    </w:p>
    <w:tbl>
      <w:tblPr>
        <w:tblW w:w="9281" w:type="dxa"/>
        <w:jc w:val="left"/>
        <w:tblInd w:w="0" w:type="dxa"/>
        <w:tblLayout w:type="fixed"/>
        <w:tblCellMar>
          <w:top w:w="28" w:type="dxa"/>
          <w:left w:w="28" w:type="dxa"/>
          <w:bottom w:w="28" w:type="dxa"/>
          <w:right w:w="28" w:type="dxa"/>
        </w:tblCellMar>
      </w:tblPr>
      <w:tblGrid>
        <w:gridCol w:w="5566"/>
        <w:gridCol w:w="146"/>
        <w:gridCol w:w="357"/>
        <w:gridCol w:w="968"/>
        <w:gridCol w:w="281"/>
        <w:gridCol w:w="247"/>
        <w:gridCol w:w="357"/>
        <w:gridCol w:w="968"/>
        <w:gridCol w:w="3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balances as of December 31, 2024 and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9,078</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balances as of March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balances as of June 30,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8,304</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balances as of September 30,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and December 31, 2024, we report $3.1 million and $2.8 million, respectively, within accrued expenses and the remaining amounts within other long-term liabilities on our Condensed Consolidated Balance Sheets.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9 — Stock-Based Compensation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recognized total stock-based compensation expense in our Condensed Consolidated Statements of Operations as follows (in thousands):</w:t>
      </w:r>
    </w:p>
    <w:tbl>
      <w:tblPr>
        <w:tblW w:w="9053" w:type="dxa"/>
        <w:jc w:val="left"/>
        <w:tblInd w:w="0" w:type="dxa"/>
        <w:tblLayout w:type="fixed"/>
        <w:tblCellMar>
          <w:top w:w="28" w:type="dxa"/>
          <w:left w:w="28" w:type="dxa"/>
          <w:bottom w:w="28" w:type="dxa"/>
          <w:right w:w="28" w:type="dxa"/>
        </w:tblCellMar>
      </w:tblPr>
      <w:tblGrid>
        <w:gridCol w:w="2946"/>
        <w:gridCol w:w="146"/>
        <w:gridCol w:w="305"/>
        <w:gridCol w:w="826"/>
        <w:gridCol w:w="211"/>
        <w:gridCol w:w="211"/>
        <w:gridCol w:w="305"/>
        <w:gridCol w:w="826"/>
        <w:gridCol w:w="146"/>
        <w:gridCol w:w="146"/>
        <w:gridCol w:w="265"/>
        <w:gridCol w:w="849"/>
        <w:gridCol w:w="183"/>
        <w:gridCol w:w="183"/>
        <w:gridCol w:w="265"/>
        <w:gridCol w:w="849"/>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w:t>
            </w:r>
          </w:p>
        </w:tc>
        <w:tc>
          <w:tcPr>
            <w:tcW w:w="1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10 — Segment Reporting</w:t>
      </w:r>
    </w:p>
    <w:p>
      <w:pPr>
        <w:pStyle w:val="TextBody"/>
        <w:bidi w:val="0"/>
        <w:spacing w:before="180" w:after="200"/>
        <w:jc w:val="left"/>
        <w:rPr>
          <w:rFonts w:ascii="Times New Roman" w:hAnsi="Times New Roman"/>
          <w:color w:val="000000"/>
          <w:sz w:val="20"/>
        </w:rPr>
      </w:pPr>
      <w:r>
        <w:rPr>
          <w:rFonts w:ascii="Times New Roman" w:hAnsi="Times New Roman"/>
          <w:color w:val="000000"/>
          <w:sz w:val="20"/>
        </w:rPr>
        <w:t xml:space="preserve">We operate in one business segment which focuses on applying our expertise to develop novel drug candidates. Our business offerings have similar economics and other characteristics, including the nature of products and manufacturing processes, types of customers, distribution methods and regulatory environment. We are comprehensively managed as one business segment by our Chief Executive Officer, who is our chief operating decision maker (CODM).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CODM assesses the performance of the Company and decides how to allocate resources based upon net loss that is also reported within the Condensed Consolidated Statements of Operations. The measure of segment assets that is reviewed by the CODM is reported within the Condensed Consolidated Balance Sheet as total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summary of the significant expense categories and consolidated net loss details provided to the CODM (in thousands):</w:t>
      </w:r>
    </w:p>
    <w:tbl>
      <w:tblPr>
        <w:tblW w:w="10205" w:type="dxa"/>
        <w:jc w:val="left"/>
        <w:tblInd w:w="0" w:type="dxa"/>
        <w:tblLayout w:type="fixed"/>
        <w:tblCellMar>
          <w:top w:w="28" w:type="dxa"/>
          <w:left w:w="28" w:type="dxa"/>
          <w:bottom w:w="28" w:type="dxa"/>
          <w:right w:w="28" w:type="dxa"/>
        </w:tblCellMar>
      </w:tblPr>
      <w:tblGrid>
        <w:gridCol w:w="4309"/>
        <w:gridCol w:w="146"/>
        <w:gridCol w:w="233"/>
        <w:gridCol w:w="815"/>
        <w:gridCol w:w="183"/>
        <w:gridCol w:w="161"/>
        <w:gridCol w:w="233"/>
        <w:gridCol w:w="815"/>
        <w:gridCol w:w="166"/>
        <w:gridCol w:w="146"/>
        <w:gridCol w:w="218"/>
        <w:gridCol w:w="871"/>
        <w:gridCol w:w="171"/>
        <w:gridCol w:w="150"/>
        <w:gridCol w:w="218"/>
        <w:gridCol w:w="871"/>
        <w:gridCol w:w="499"/>
      </w:tblGrid>
      <w:tr>
        <w:trPr/>
        <w:tc>
          <w:tcPr>
            <w:tcW w:w="4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69,252</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22,709</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development, contract manufacturing and other third party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Rezpegaldesleukin (IL-2 receptor agonist/regulatory T cell agent)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36,667</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NKTR-0165 (tumor necrosis factor receptor type II agonist)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7,751</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NKTR-255 (IL-15 receptor agonist)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12,790</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Discovery research and 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clinical development, contract manufacturing and other third party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59,077</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costs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29,915</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costs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12,417</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costs (a)(c)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31,238</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145,862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188,798</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(119,546</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liability related to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(17,959</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11,558</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(benefit) for income taxes and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(126,202</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(126,222</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(35,522</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(127,997</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(126,222</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segment expense items included within net loss include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57"/>
        <w:gridCol w:w="146"/>
        <w:gridCol w:w="280"/>
        <w:gridCol w:w="758"/>
        <w:gridCol w:w="193"/>
        <w:gridCol w:w="193"/>
        <w:gridCol w:w="280"/>
        <w:gridCol w:w="758"/>
        <w:gridCol w:w="146"/>
        <w:gridCol w:w="146"/>
        <w:gridCol w:w="250"/>
        <w:gridCol w:w="803"/>
        <w:gridCol w:w="173"/>
        <w:gridCol w:w="173"/>
        <w:gridCol w:w="250"/>
        <w:gridCol w:w="803"/>
        <w:gridCol w:w="396"/>
      </w:tblGrid>
      <w:tr>
        <w:trPr/>
        <w:tc>
          <w:tcPr>
            <w:tcW w:w="4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right-of-use assets and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termination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15,136</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costs, facilities costs, other operating costs, stock-based compensation expense and depreciation and amortization expense include amounts reported in research and development expense and general and administrative expense in our Condensed Consolidated Statements of Operations. Such amounts reported in cost of goods sold in our Condensed Consolidated Statements of Operations are included in cost of goods sold in the summary of significant segment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compensation and benefits for our employees and costs for our contractors and temporary workers.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legal and patent expenses, information technology infrastructure and other costs, professional accounting, insurance, travel and entertainment and other third party services and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11 —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2025, we issued an additional 673,725 shares of our common stock under the ATM Sales Agreement at a weighted average price of $58.55 for net proceeds of $38.3 million after deducting related commissions of approximately $1.2 million. No ATM shares remain available for issuance under the ATM Sales Agreement.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2" w:name="section20"/>
      <w:bookmarkEnd w:id="12"/>
      <w:r>
        <w:rPr>
          <w:rFonts w:ascii="Times New Roman" w:hAnsi="Times New Roman"/>
          <w:b/>
          <w:color w:val="000000"/>
          <w:sz w:val="20"/>
        </w:rPr>
        <w:t>Item 2. Management’s Discussion and A</w:t>
      </w:r>
      <w:bookmarkStart w:id="13" w:name="item_2_mda"/>
      <w:bookmarkEnd w:id="13"/>
      <w:r>
        <w:rPr>
          <w:rFonts w:ascii="Times New Roman" w:hAnsi="Times New Roman"/>
          <w:b/>
          <w:color w:val="000000"/>
          <w:sz w:val="20"/>
        </w:rPr>
        <w:t>nalysis of Financial Condition and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II, Item 1A “Risk Factors.”</w:t>
      </w:r>
    </w:p>
    <w:p>
      <w:pPr>
        <w:pStyle w:val="TextBody"/>
        <w:bidi w:val="0"/>
        <w:spacing w:before="180" w:after="283"/>
        <w:jc w:val="left"/>
        <w:rPr>
          <w:rFonts w:ascii="Times New Roman" w:hAnsi="Times New Roman"/>
          <w:b/>
          <w:color w:val="000000"/>
          <w:sz w:val="20"/>
        </w:rPr>
      </w:pPr>
      <w:bookmarkStart w:id="14" w:name="section21"/>
      <w:bookmarkEnd w:id="14"/>
      <w:r>
        <w:rPr>
          <w:rFonts w:ascii="Times New Roman" w:hAnsi="Times New Roman"/>
          <w:b/>
          <w:color w:val="000000"/>
          <w:sz w:val="20"/>
        </w:rPr>
        <w:t>Overview</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Strategic Direction of Our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Nektar Therapeutics is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targets the treatment of autoimmune diseases (e.g. rezpegaldesleukin and NKTR-0165, respectively) and cancer (e.g. NKTR-255). We continue to make significant investments in building and advancing our pipeline of drug candidates as we believe that this is the best strategy to build long-term shareholder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Autoimmune and inflammatory diseases cause the immune system to mistakenly attack and damage healthy cells in a person’s body. A failure of the body’s self-tolerance mechanisms enables the formation of the pathogenic T lymphocytes that conduct this attack. 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powerful inhibitory immune cells known as regulatory T cells (Treg cells). Describing the critical role of Treg cells in maintaining balance in the immune system earned Drs. Mary E. Brunkow, Fred Ramsdell and Shimon Sakaguchi, the Nobel Prize in medicine on October 6, 2025. By activating these Treg cells, rezpegaldesleukin may act to bring the immune system back into balance. Rezpegaldesleukin is being developed as a once or twice monthly self-administered injection for a number of autoimmune disorders and inflammatory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initiated a Phase 2b clinical study of rezpegaldesleukin in patients with moderate-to-severe atopic dermatitis (the Phase 2b RESOLVE-AD trial). On February 11, 2025, we announced that the FDA had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 In March 2024, we initiated a Phase 2b clinical study in patients with severe-to-very severe alopecia areata (the Phase 2b RESOLVE-AA trial). On July 29, 2025, we announced that the FDA had granted Fast Track designation for rezpegaldesleukin for the treatment of severe-to-very severe alopecia areata in adult and pediatric patients 12 years of age and older who weigh at least 40 kg. On February 24, 2025, we announced that we had entered into a collaboration agreement with TrialNet to evaluate rezpegaldesleukin in patients with new onset stage 3 type 1 diabetes mellitus in a Phase 2 study. TrialNet will conduct the study with funding from the National Institutes of Health, primarily through the Special Statutory Funding Program for Type 1 Diabetes through the National Institute of Diabetes and Digestive and Kidney Diseases. Nektar will supply rezpegaldesleukin for the study and will retain all rights to the rezpegaldesleukin program under the collaboration.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June 24, 2025, we announced statistically significant data from the 16-week induction period of the ongoing Phase 2b REZOLVE-AD trial being conducted in 393 patients. In the trial, patients were randomized (3:3:3:2) to receive subcutaneous treatment with one of three doses of rezpegaldesleukin: a high dose of 24 µg/kg every two weeks (q2w), a middle dose of 18 µg/kg every two weeks (q2w), and a low dose of 24 µg/kg every four weeks (q4w), or placebo q2w. The primary endpoint and secondary endpoints were assessed at week 16. Following the 16-week induction period, rezpegaldesleukin-treated patients who achieved Eczema Area and Severity Score (EASI) percent score reductions of &gt;50 were re-randomized (1:1) to continue at the same dose level on a q4w or q12w regimen through week 52 in a blinded maintenance period. Placebo patients with EASI percent score reductions of &gt;50 percent continue to receive placebo q4w.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announced on June 24, 2025, the Phase 2b REZOLVE-AD trial met its primary endpoint of the mean improvement in EASI from baseline at week 16 for all three dose arms of rezpegaldesleukin versus placebo (p&lt;0.001). All three dose arms also achieved statistical significance at week 16 for the key secondary endpoints of EASI-75 (percent of patients who achieve ≥75% reduction in EASI from baseline), EASI-50 (percent of patients who achieve ≥50% reduction in EASI from baseline) and BSA (mean percent improvement in Body Surface Area score from baseline). The q2w arms of rezpegaldesleukin (high and middle doses) achieved statistical significance at week 16 for the key secondary endpoints of vIGA-AD 0/1 (percent of patients achieving a score of 0 or 1 on the validated Investigator’s Global Assessment for Atopic Dermatitis with ≥ 2-point reduction from baseline) and Itch NRS (percent of patients with baseline ≥ 4 who experienced a ≥ 4-point reduction in the Itch Numerical Rating Score from baseline). In addition, at week 16, the high dose of 24 µg/kg q2w achieved statistical significance on EASI-90 (percent of patients who achieve ≥ 90% reduction in EASI from baseline). When evaluating EASI-75 and EASI-90 by disease severity using baseline vIGA-AD score, similar responses were observed in severe patients (baseline vIGA-AD of 4) as in moderate patients (baseline vIGA-AD of 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the safety profile for the 16-week induction period for rezpegaldesleukin in the Phase 2b REZOLVE-AD trial was consistent with previously reported results. The most common treatment-emergent adverse events (TEAEs) were local injection site reactions (ISRs), observed in 69.7% of all rezpegaldesleukin-treated patients, with the largest proportion of these being mild or moderate (99.6%). ISRs were self-resolving and &lt;1% of patients discontinued because of an ISR. Across all rezpegaldesleukin doses administered in the study over the 16-week induction period, 55.9% had no reports of ISRs, 30.1% had mild reports, 13.8% had moderate reports, and only 0.2% were severe. Other TEAEs more commonly observed (&gt;5%) in the study treatment arms (n=320) versus placebo (n=73) include eosinophilia (7.8% vs. 2.7%), pyrexia (6.3% vs 2.7%), headache (6.3% vs. 4.1%) and arthralgia (5.0% vs 1.4%). In the pooled rezpegaldesleukin arms, TEAEs, excluding ISRs, were reported in 60.3% of patients and in 57.5% of placebo-treated patients. There was no increased risk of conjunctivitis, oral ulcers, or infections, including oral herpes, in the rezpegaldesleukin arms.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September 18, 2025, we presented new data from the Phase 2b REZOLVE-AD trial at the European Academy of Dermatology and Venereology (EADV) 2025 Congress. Building on previously presented data, these data demonstrated that high dose rezpegaldesleukin achieved statistical significance on multiple patient-reported outcome assessments at completion of the 16-week induction period. Additionally, as observed interim data for patients who previously received placebo during the induction period and crossed over to receive 24 weeks of treatment with high dose rezpegaldesleukin had increased EASI-75 and vIGA-AD efficacy with extended dosing beyond week 16.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remain on track for a topline data readout from the Phase 2b RESOLVE-AA study in December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advance our most promising research drug candidates into preclinical development with the objective of advancing these early-stage research programs to human clinical studies over the next several years. Our lead research program is based on tumor necrosis factor (TNF) receptor type II (TNFR2) agonism, without modulation of the TNFR1 signaling, after we exercised an option in December 2023 to gain an exclusive license to specified agonistic antibodies and other materials that were developed pursuant to a research collaboration and license option agreement we entered into with Biolojic Design, Ltd. in 2021. TNFR2 signaling drives immunoregulatory function and can provide a direct protective effect for tissue cells. TNFR2 is highly expressed on Tregs, neuronal cells and endothelial cells and has been shown to potentiate the suppressive effects and overall functional properties of Tregs. Our focus on TNFR2 antibody candidates that show selective Treg cell binding and signaling profiles that may be developed for treatment of autoimmune diseases, such as ulcerative colitis, multiple sclerosis and vitiligo. Our first drug candidate in this program is NKTR-0165, which we believe is a unique bivalent antibody that selectively stimulates TNFR2 receptor activity, and we began Investigational New Drug (IND) enabling studies for NKTR-0165 in 2024. We are also designing a pipeline of bispecific molecules that pair TNFR2 agonism with other antibody targets and we have identified the first bispecific antibody, NKTR-0166, in this program. This first bispecific antibody incorporates the TNFR2 epitope with another validated antibody target, and we are initiating our preclinical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oncology, we focus on developing medicines that target biological pathways that stimulate and sustain the body’s immune response in order to fight cancer. Our drug candidate NKTR-255 is an investigational biologic that is designed to target the IL-15 pathway in order to activate the body’s innate and adaptive immunity. Through optimal engagement of the IL-15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receptor complex, NKTR-255 is designed to enhance functional NK cell populations and formation of long-term immunological memory, which may lead to sustained and durable anti-tumor immune response. We are continuing select developmental studies of NKTR-255 in combination with cell therapies and checkpoint inhibitors while we evaluate additional strategic partnership pathways for the program. </w:t>
      </w:r>
    </w:p>
    <w:p>
      <w:pPr>
        <w:pStyle w:val="TextBody"/>
        <w:bidi w:val="0"/>
        <w:spacing w:before="120" w:after="283"/>
        <w:jc w:val="left"/>
        <w:rPr>
          <w:rFonts w:ascii="Times New Roman" w:hAnsi="Times New Roman"/>
          <w:sz w:val="20"/>
        </w:rPr>
      </w:pPr>
      <w:r>
        <w:rPr>
          <w:rFonts w:ascii="Times New Roman" w:hAnsi="Times New Roman"/>
          <w:color w:val="000000"/>
          <w:sz w:val="20"/>
        </w:rPr>
        <w:t>In December 2024, we announced the results of our Phase 2 proof-of-concept study to evaluate NKTR-255 following Yescarta</w:t>
      </w:r>
      <w:r>
        <w:rPr>
          <w:rFonts w:ascii="Times New Roman" w:hAnsi="Times New Roman"/>
          <w:color w:val="000000"/>
          <w:sz w:val="13"/>
        </w:rPr>
        <w:t>®</w:t>
      </w:r>
      <w:r>
        <w:rPr>
          <w:rFonts w:ascii="Times New Roman" w:hAnsi="Times New Roman"/>
          <w:color w:val="000000"/>
          <w:sz w:val="20"/>
        </w:rPr>
        <w:t xml:space="preserve"> or Breyanzi</w:t>
      </w:r>
      <w:r>
        <w:rPr>
          <w:rFonts w:ascii="Times New Roman" w:hAnsi="Times New Roman"/>
          <w:color w:val="000000"/>
          <w:sz w:val="13"/>
        </w:rPr>
        <w:t>®</w:t>
      </w:r>
      <w:r>
        <w:rPr>
          <w:rFonts w:ascii="Times New Roman" w:hAnsi="Times New Roman"/>
          <w:color w:val="000000"/>
          <w:sz w:val="20"/>
        </w:rPr>
        <w:t xml:space="preserve"> CD19 CAR-T cell therapy in patients with large B-cell lymphoma at the 66th ASH Annual Meeting and Exposition in San Diego, California. In the fifteen-person clinical trial, the NKTR-255 combined treatment group demonstrated an improved complete response rate (CRR) at six months, achieving 73% compared to 50% for the placebo, as assessed by a blinded independent central radiology review. Additionally, two patients treated with NKTR-255 converted from stable disease or partial response to complete responses at six months. No conversions from stable disease or partial response to complete response were observed in the placebo arm of the trial. The Fred Hutchinson Cancer Center is evaluating NKTR-255 following Breyanzi</w:t>
      </w:r>
      <w:r>
        <w:rPr>
          <w:rFonts w:ascii="Times New Roman" w:hAnsi="Times New Roman"/>
          <w:color w:val="000000"/>
          <w:sz w:val="13"/>
        </w:rPr>
        <w:t>®</w:t>
      </w:r>
      <w:r>
        <w:rPr>
          <w:rFonts w:ascii="Times New Roman" w:hAnsi="Times New Roman"/>
          <w:color w:val="000000"/>
          <w:sz w:val="20"/>
        </w:rPr>
        <w:t xml:space="preserve"> CD19 CAR-T cell therapy in patients with relapsed/refractory large B-cell lymphoma as an investigator sponsored study. We are continuing our oncology clinical collaboration with Merck KGaA to evaluate the maintenance regimen of NKTR-255 in combination with avelumab, a PD-L1 inhibitor, in patients with locally advanced or metastatic urothelial carcinoma in the Phase II JAVELIN Bladder Medley study. We entered into a clinical study collaboration with AbelZeta Pharma, Inc. (AbelZeta) (formerly known as CBMG Holdings) to study NKTR-255 in combination with its C-TIL051, a tumor-infiltrating lymphocyte (TIL) therapy, in advanced non-small cell lung cancer (NSCLC) patients that are relapsed or refractory to anti-PD-1 therapy. Under the collaboration, we will contribute NKTR-255, and AbelZeta will add NKTR-255 to its ongoing AbelZeta-sponsored Phase 1 clinical trial. We also have an ongoing investigator sponsored study evaluating NKTR-255 in combination with IMFINZI (durvalumab) in patients with unresectable Stage 3 NSCLC who have received chemoradiation.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derived substantially all of our revenue and significant amounts of research and development operating capital from our collaboration agreements. We have received upfront and milestone payments and cost-sharing reimbursements under a number of previous collaboration agreements, and certain of our collaboration partners have borne substantial costs of developing our drug candidates. We expect we will continue our approach of entering into revenue-generating collaboration agreements to pay in whole or in part the development costs of our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Several of our historical collaboration agreements have resulted in approved drugs, for which we may be entitled to royalties for net sales of these approved drugs. However, we have sold our rights to receive royalties under these arrangements,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2012 Purchase and Sale Agreement: In 2012, we sold all of our rights to receive royalties from CIMZIA</w:t>
      </w:r>
      <w:r>
        <w:rPr>
          <w:rFonts w:ascii="Times New Roman" w:hAnsi="Times New Roman"/>
          <w:color w:val="000000"/>
          <w:sz w:val="13"/>
        </w:rPr>
        <w:t>®</w:t>
      </w:r>
      <w:r>
        <w:rPr>
          <w:color w:val="000000"/>
        </w:rPr>
        <w:t xml:space="preserve"> </w:t>
      </w:r>
      <w:r>
        <w:rPr>
          <w:rFonts w:ascii="Times New Roman" w:hAnsi="Times New Roman"/>
          <w:color w:val="000000"/>
          <w:sz w:val="20"/>
        </w:rPr>
        <w:t>(for the treatment of Crohn’s disease and other autoimmune indications) and MIRCERA</w:t>
      </w:r>
      <w:r>
        <w:rPr>
          <w:rFonts w:ascii="Times New Roman" w:hAnsi="Times New Roman"/>
          <w:color w:val="000000"/>
          <w:sz w:val="13"/>
        </w:rPr>
        <w:t>®</w:t>
      </w:r>
      <w:r>
        <w:rPr>
          <w:color w:val="000000"/>
        </w:rPr>
        <w:t xml:space="preserve"> </w:t>
      </w:r>
      <w:r>
        <w:rPr>
          <w:rFonts w:ascii="Times New Roman" w:hAnsi="Times New Roman"/>
          <w:color w:val="000000"/>
          <w:sz w:val="20"/>
        </w:rPr>
        <w:t>(for the treatment of anemia associated with chronic kidney disease) under our collaborations with UCB Pharma (UCB) and F. Hoffmann-La Roche Ltd, respectively, to RPI Finance Trust (RPI), an affiliate of Royalty Pharma for $124.0 million.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2020 Purchase and Sale Agreement: In December 2020, we sold our rights, subject to a cap, to receive royalties from MOVANTIK</w:t>
      </w:r>
      <w:r>
        <w:rPr>
          <w:rFonts w:ascii="Times New Roman" w:hAnsi="Times New Roman"/>
          <w:color w:val="000000"/>
          <w:sz w:val="13"/>
        </w:rPr>
        <w:t>®</w:t>
      </w:r>
      <w:r>
        <w:rPr>
          <w:color w:val="000000"/>
        </w:rPr>
        <w:t xml:space="preserve"> </w:t>
      </w:r>
      <w:r>
        <w:rPr>
          <w:rFonts w:ascii="Times New Roman" w:hAnsi="Times New Roman"/>
          <w:color w:val="000000"/>
          <w:sz w:val="20"/>
        </w:rPr>
        <w:t>/ MOVENTIG</w:t>
      </w:r>
      <w:r>
        <w:rPr>
          <w:rFonts w:ascii="Times New Roman" w:hAnsi="Times New Roman"/>
          <w:color w:val="000000"/>
          <w:sz w:val="13"/>
        </w:rPr>
        <w:t>®</w:t>
      </w:r>
      <w:r>
        <w:rPr>
          <w:color w:val="000000"/>
        </w:rPr>
        <w:t xml:space="preserve"> </w:t>
      </w:r>
      <w:r>
        <w:rPr>
          <w:rFonts w:ascii="Times New Roman" w:hAnsi="Times New Roman"/>
          <w:color w:val="000000"/>
          <w:sz w:val="20"/>
        </w:rPr>
        <w:t>(for the treatment of opioid-induced constipation), ADYNOVATE</w:t>
      </w:r>
      <w:r>
        <w:rPr>
          <w:rFonts w:ascii="Times New Roman" w:hAnsi="Times New Roman"/>
          <w:color w:val="000000"/>
          <w:sz w:val="13"/>
        </w:rPr>
        <w:t>®</w:t>
      </w:r>
      <w:r>
        <w:rPr>
          <w:color w:val="000000"/>
        </w:rPr>
        <w:t xml:space="preserve"> </w:t>
      </w:r>
      <w:r>
        <w:rPr>
          <w:rFonts w:ascii="Times New Roman" w:hAnsi="Times New Roman"/>
          <w:color w:val="000000"/>
          <w:sz w:val="20"/>
        </w:rPr>
        <w:t>/ ADYNOVI</w:t>
      </w:r>
      <w:r>
        <w:rPr>
          <w:rFonts w:ascii="Times New Roman" w:hAnsi="Times New Roman"/>
          <w:color w:val="000000"/>
          <w:sz w:val="13"/>
        </w:rPr>
        <w:t>®</w:t>
      </w:r>
      <w:r>
        <w:rPr>
          <w:color w:val="000000"/>
        </w:rPr>
        <w:t xml:space="preserve"> </w:t>
      </w:r>
      <w:r>
        <w:rPr>
          <w:rFonts w:ascii="Times New Roman" w:hAnsi="Times New Roman"/>
          <w:color w:val="000000"/>
          <w:sz w:val="20"/>
        </w:rPr>
        <w:t>(a half-life extension product of Factor VIII) and other hemophilia products, under our arrangements with AstraZeneca AB, Baxalta, Inc. (a wholly owned-subsidiary of Takeda Pharmaceutical Company Ltd.), and Novo Nordisk A/S, respectively, for $150.0 million to entities managed by Healthcare Royalty Management, LLC (HCR) under a capped sale arrangement, such that all future royalties were to return to Nektar if HCR receives $210.0 million in royalties by December 31, 2025 (the 2025 Threshold) or $240.0 million if the 2025 Threshold is not met. On March 4, 2024, Nektar and HCR amended the 2020 Purchase and Sale Agreement to remove the cap on the royalties in exchange for $15.0 million.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continued to manufacture the polymer reagents used in the production of some of the drug products until the sale of our manufacturing facility in Huntsville, Alabama (the Facility) in December 2024. On December 2, 2024, we completed the sale of the Facility and assigned our manufacturing and supply agreements to Gannet BioChem, an affiliate of Ampersand Management LLC d/b/a Ampersand Capital Partners (Ampersand) for consideration of $64.7 million in cash, net of transaction costs, and an approximate 20% equity interest at the time of close in Gannet BioChem. See Note 4 to our Condensed Consolidated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Financial Statements for additional information. The sale of the Facility does not alter the royalties or other milestones payable under these agreements or our collaboration agreement with UCB for dapirolizumab pegol as further disclosed in Note 7 to our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significant risks, including the risks inherent in our development efforts, the results of our clinical trials, our dependence on the marketing efforts by our collaboration partners, uncertainties associated with obtaining and enforcing patents, the lengthy and expensive regulatory approval process and competition from other products. Drug research and development is an inherently uncertain process with a high risk of failure at every stage prior to approval.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opportunities. For a discussion of these and some of the other key risks and uncertainties affecting our business, see 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financing our near-term business needs, as set forth below in “Key Developments and Trends in Liquidity and Capital Resources,” we estimate we have working capital to fund our current business plans through at least the next twelve months. At September 30, 2025, we had approximately $270.2 million in cash and investments in marketable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 2025, we completed the sale and issuance of 4,893,618 shares of our common stock in an underwritten public offering (the 2025 Offering) at a price of $23.50 per share. The net proceeds to the Company from the 2025 Offering totaled approximately $107.2 million, after deducting underwriting discounts, commissions and offering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previously entered into an equity distribution agreement (the ATM Sales Agreement) with Piper Sandler &amp; Co. and BTIG, LLC to sell shares of our common stock by any method permitted that is deemed to be an “at-the-market” equity offering as defined in Rule 415(a)(4) promulgated under the Securities Act. During the three months ended September 30, 2025, we issued 600,198 shares of our common stock under the ATM Sales Agreement at a weighted average price of $59.24 per share for net proceeds of $34.3 million after deducting related commissions and offering costs. In October 2025, we issued an additional 673,725 shares of our common stock under the ATM Sales Agreement at a weighted average price of $58.55 for net proceeds of $38.3 million after deducting related commissions. No ATM shares remain available for issuance under the ATM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6 to our Condensed Consolidated Financial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bookmarkStart w:id="15" w:name="section22"/>
      <w:bookmarkEnd w:id="15"/>
      <w:r>
        <w:rPr>
          <w:rFonts w:ascii="Times New Roman" w:hAnsi="Times New Roman"/>
          <w:b/>
          <w:i/>
          <w:color w:val="000000"/>
          <w:sz w:val="20"/>
        </w:rPr>
        <w:t>Results of Operations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The following sets forth our Condensed Consolidated Statements of Operations data for each of the periods indicated </w:t>
      </w:r>
      <w:r>
        <w:rPr>
          <w:rFonts w:ascii="Times New Roman" w:hAnsi="Times New Roman"/>
          <w:i/>
          <w:color w:val="000000"/>
          <w:sz w:val="20"/>
        </w:rPr>
        <w:t>(in thousands, except percentages).</w:t>
      </w:r>
    </w:p>
    <w:tbl>
      <w:tblPr>
        <w:tblW w:w="10205" w:type="dxa"/>
        <w:jc w:val="left"/>
        <w:tblInd w:w="0" w:type="dxa"/>
        <w:tblLayout w:type="fixed"/>
        <w:tblCellMar>
          <w:top w:w="28" w:type="dxa"/>
          <w:left w:w="28" w:type="dxa"/>
          <w:bottom w:w="28" w:type="dxa"/>
          <w:right w:w="28" w:type="dxa"/>
        </w:tblCellMar>
      </w:tblPr>
      <w:tblGrid>
        <w:gridCol w:w="4358"/>
        <w:gridCol w:w="146"/>
        <w:gridCol w:w="236"/>
        <w:gridCol w:w="827"/>
        <w:gridCol w:w="186"/>
        <w:gridCol w:w="163"/>
        <w:gridCol w:w="236"/>
        <w:gridCol w:w="827"/>
        <w:gridCol w:w="166"/>
        <w:gridCol w:w="146"/>
        <w:gridCol w:w="231"/>
        <w:gridCol w:w="808"/>
        <w:gridCol w:w="166"/>
        <w:gridCol w:w="146"/>
        <w:gridCol w:w="233"/>
        <w:gridCol w:w="774"/>
        <w:gridCol w:w="556"/>
      </w:tblGrid>
      <w:tr>
        <w:trPr/>
        <w:tc>
          <w:tcPr>
            <w:tcW w:w="4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2025 vs.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2025 vs. 2024</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royalty revenue related to sales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collaboration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(31,672</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liability related to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(benefit) for income taxes and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(35,522</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24"/>
        <w:gridCol w:w="146"/>
        <w:gridCol w:w="219"/>
        <w:gridCol w:w="875"/>
        <w:gridCol w:w="172"/>
        <w:gridCol w:w="151"/>
        <w:gridCol w:w="219"/>
        <w:gridCol w:w="875"/>
        <w:gridCol w:w="166"/>
        <w:gridCol w:w="146"/>
        <w:gridCol w:w="231"/>
        <w:gridCol w:w="807"/>
        <w:gridCol w:w="166"/>
        <w:gridCol w:w="146"/>
        <w:gridCol w:w="233"/>
        <w:gridCol w:w="772"/>
        <w:gridCol w:w="557"/>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2025 vs.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2025 vs. 2024</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royalty revenue related to sales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collaboration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145,862</w:t>
            </w:r>
          </w:p>
        </w:tc>
        <w:tc>
          <w:tcPr>
            <w:tcW w:w="1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188,798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(42,936</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liability related to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(benefit) for income taxes and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revenue has historically been derived from our collaboration agreements, under which we may receive product sales revenue, royalties, and license fees, as well as development and sales milestones and other contingent payments. We recognize revenue when we transfer promised goods or services to our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Product sales and Cost of goods sold</w:t>
      </w:r>
      <w:r>
        <w:rPr>
          <w:rFonts w:ascii="Times New Roman" w:hAnsi="Times New Roman"/>
          <w:color w:val="000000"/>
          <w:sz w:val="20"/>
        </w:rPr>
        <w:t>: Product sales included predominantly fixed price manufacturing and supply agreements with our collaboration partners and are the result of firm purchase orders from those partners. Due to the sale of the Facility in December 2024, we no longer recognize product sales or costs of goods sold under these arrangements in 2025.</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Non-cash royalty revenue and Non-cash interest expense</w:t>
      </w:r>
      <w:r>
        <w:rPr>
          <w:rFonts w:ascii="Times New Roman" w:hAnsi="Times New Roman"/>
          <w:color w:val="000000"/>
          <w:sz w:val="20"/>
        </w:rPr>
        <w:t>: We recognize non-cash royalty revenue and non-cash interest expense resulting from royalties on several products for which we had previously sold our rights to receive royalties under the 2012 and 2020 Purchase and Sale Agreements. These non-cash revenues and expenses have no effect on our cash flows, and we do not consider them material to our operations. We expect non-cash royalty revenue to decrease for 2025 as compared to 2024 due to the decrease in the royalty rate from UCB and the end of the royalty term for US sales of MIRCERA</w:t>
      </w:r>
      <w:r>
        <w:rPr>
          <w:rFonts w:ascii="Times New Roman" w:hAnsi="Times New Roman"/>
          <w:color w:val="000000"/>
          <w:sz w:val="13"/>
        </w:rPr>
        <w:t xml:space="preserve">® </w:t>
      </w:r>
      <w:r>
        <w:rPr>
          <w:rFonts w:ascii="Times New Roman" w:hAnsi="Times New Roman"/>
          <w:color w:val="000000"/>
          <w:sz w:val="20"/>
        </w:rPr>
        <w:t>in late 2024, and we expect non-cash interest expense to decrease as a result of the lower liability balances.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March 4, 2024, Nektar and HCR amended the 2020 Purchase and Sale Agreement to remove the cap on the royalties in exchange for a $15.0 million payment to Nektar. See Note 3 to our Condensed Consolidated Financial Statements for additional information.</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 xml:space="preserve">License, collaboration and other revenue: </w:t>
      </w:r>
      <w:r>
        <w:rPr>
          <w:rFonts w:ascii="Times New Roman" w:hAnsi="Times New Roman"/>
          <w:color w:val="000000"/>
          <w:sz w:val="20"/>
        </w:rPr>
        <w:t xml:space="preserve">License, collaboration and other revenue includes the recognition of upfront payments, milestone and other contingent payments received in connection with our license and collaboration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agreements. The amount of revenue depends in part upon the estimated recognition period of the upfront payments allocated to continuing performance obligations, the achievement of milestones and other contingent events, the continuation of existing collaborations, the amount of research and development work, and entering into new collaboration agreements, if any. License, collaboration and other revenue was not material for the periods presented or for the full year 2024, and unless we enter into a new collaboration agreement with upfront payments, we do not expect to recognize significant revenue for the full year 2025.</w:t>
      </w:r>
    </w:p>
    <w:p>
      <w:pPr>
        <w:pStyle w:val="TextBody"/>
        <w:bidi w:val="0"/>
        <w:spacing w:before="18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Research and development expense consists primarily of direct third party costs for each of our drug candidates (including clinical study costs; contract manufacturing costs and other materials and supplies; direct costs of outside clinical, regulatory, preclinical and research services; licenses; and other fees), personnel costs (including salaries, benefits, non-cash stock-based compensation costs, and costs for consultants and temporary workers), and certain overhead support allocations.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Research and development expense decreased for the three and nine months ended September 30, 2025 as compared to the three and nine months ended September 30, 2024, respectively, as reported in the following table, which presents expenses incurred for direct third party costs for each of our drug candidates; personnel, overhead and other direct costs, as we utilize our employee and infrastructure resources across our development and research programs; and non-cash stock-based compensation and depreciation (in thousands):</w:t>
      </w:r>
    </w:p>
    <w:tbl>
      <w:tblPr>
        <w:tblW w:w="10205" w:type="dxa"/>
        <w:jc w:val="left"/>
        <w:tblInd w:w="0" w:type="dxa"/>
        <w:tblLayout w:type="fixed"/>
        <w:tblCellMar>
          <w:top w:w="28" w:type="dxa"/>
          <w:left w:w="28" w:type="dxa"/>
          <w:bottom w:w="28" w:type="dxa"/>
          <w:right w:w="28" w:type="dxa"/>
        </w:tblCellMar>
      </w:tblPr>
      <w:tblGrid>
        <w:gridCol w:w="2732"/>
        <w:gridCol w:w="146"/>
        <w:gridCol w:w="220"/>
        <w:gridCol w:w="676"/>
        <w:gridCol w:w="164"/>
        <w:gridCol w:w="164"/>
        <w:gridCol w:w="220"/>
        <w:gridCol w:w="676"/>
        <w:gridCol w:w="166"/>
        <w:gridCol w:w="146"/>
        <w:gridCol w:w="226"/>
        <w:gridCol w:w="662"/>
        <w:gridCol w:w="166"/>
        <w:gridCol w:w="146"/>
        <w:gridCol w:w="217"/>
        <w:gridCol w:w="668"/>
        <w:gridCol w:w="162"/>
        <w:gridCol w:w="162"/>
        <w:gridCol w:w="217"/>
        <w:gridCol w:w="668"/>
        <w:gridCol w:w="146"/>
        <w:gridCol w:w="146"/>
        <w:gridCol w:w="226"/>
        <w:gridCol w:w="662"/>
        <w:gridCol w:w="421"/>
      </w:tblGrid>
      <w:tr>
        <w:trPr/>
        <w:tc>
          <w:tcPr>
            <w:tcW w:w="2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2025 vs.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2025 vs. 2024</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Rezpegaldesleukin (IL-2 receptor agonist/regulatory T cell agent)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37,888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NKTR-0165 (tumor necrosis factor receptor type II agonist)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NKTR-255 (IL-15 receptor agonist)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(7,756</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Discovery research and 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clinical development, contract manufacturing and other third party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15,850</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52,871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(6,206</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overhead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and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(2,992</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27,252</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87,618</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(4,545</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for rezpegaldesleukin increased for the nine months ended September 30, 2025 as compared to the nine months ended September 30, 2024, due to the increase in the patients enrolled and sites activated for our Phase 2b studies in patients with moderate-to-severe atopic dermatitis and in patients with severe-to-very severe alopecia areata, both of which completed enrollment in the three months ended March 31, 2025. This increase was partially offset by lower levels of manufacturing activities. Research and development expense for rezpegaldesleukin decreased for the three months ended September 30, 2025 as compared to the three months ended September 30, 2024, due to lower levels of manufacturing activities and a decrease in expense for our Phase 2b atopic dermatitis study as patients entered the maintenance phase. As a result of the data from our Phase 2b RESOLVE-AD trial, we expect research and development expense for rezpegaldesleukin for full year 2025 to increase as compared to 2024, as we commence certain activities to support a Phase 3 trial for this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for NKTR-0165 increased for the nine months ended September 30, 2025 as compared to the nine months ended September 30, 2024, as we are conducting IND enabling activities for this program. We expect development expense for NKTR-0165 for the full year 2025 to increase slightly as compared to the full year 2024 for this same reason. In December 2023, we exercised an option to gain an exclusive license to specified agonistic antibodies and other materials that were developed pursuant to a research collaboration and license option agreement we entered into with Biolojic Design, Ltd. (Biolojic) in 2021. As we continue development of NKTR-0165, we may owe additional milestone payments to Biolojic. See Note 7 to our Condensed Consolidated Financial Statements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 for NKTR-255 decreased for the three and nine months ended September 30, 2025 as compared to the three and nine months ended September 30, 2024, respectively, as we have completed our Phase 2 study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evaluate NKTR-255 following Yescarta</w:t>
      </w:r>
      <w:r>
        <w:rPr>
          <w:rFonts w:ascii="Times New Roman" w:hAnsi="Times New Roman"/>
          <w:color w:val="000000"/>
          <w:sz w:val="13"/>
        </w:rPr>
        <w:t>®</w:t>
      </w:r>
      <w:r>
        <w:rPr>
          <w:rFonts w:ascii="Times New Roman" w:hAnsi="Times New Roman"/>
          <w:color w:val="000000"/>
          <w:sz w:val="20"/>
        </w:rPr>
        <w:t xml:space="preserve"> or Breyanzi</w:t>
      </w:r>
      <w:r>
        <w:rPr>
          <w:rFonts w:ascii="Times New Roman" w:hAnsi="Times New Roman"/>
          <w:color w:val="000000"/>
          <w:sz w:val="13"/>
        </w:rPr>
        <w:t>®</w:t>
      </w:r>
      <w:r>
        <w:rPr>
          <w:rFonts w:ascii="Times New Roman" w:hAnsi="Times New Roman"/>
          <w:color w:val="000000"/>
          <w:sz w:val="20"/>
        </w:rPr>
        <w:t xml:space="preserve"> CD19 CAR-T cell therapy in patients with large B-cell lymphoma, and we expect development expense for NKTR-255 for full year 2025 to decrease as compared to 2024 for this same reason. Our development expense for NKTR-255 for the periods presented include our oncology clinical collaboration with Merck KGaA to evaluate the maintenance regimen of NKTR-255 in combination with avelumab, a PD-L1 inhibitor, in patients with locally advanced or metastatic urothelial carcinoma in the Phase II JAVELIN Bladder Medley study, and investigator-sponsored studies, one evaluating NKTR-255 following Breyanzi</w:t>
      </w:r>
      <w:r>
        <w:rPr>
          <w:rFonts w:ascii="Times New Roman" w:hAnsi="Times New Roman"/>
          <w:color w:val="000000"/>
          <w:sz w:val="13"/>
        </w:rPr>
        <w:t>®</w:t>
      </w:r>
      <w:r>
        <w:rPr>
          <w:rFonts w:ascii="Times New Roman" w:hAnsi="Times New Roman"/>
          <w:color w:val="000000"/>
          <w:sz w:val="20"/>
        </w:rPr>
        <w:t xml:space="preserve"> CD19 CAR-T cell therapy in patients with relapsed/refractory large B-cell lymphoma and one evaluating NKTR-255 in combination with IMFINZI (durvalumab) in patients with unresectable Stage 3 NSCLC who have received chemoradiation.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overhead and other costs increased for the three and nine months ended September 30, 2025 as compared to the three and nine months ended September 30, 2024, respectively, for increased personnel costs to support our rezpegaldesleukin program and increases in allocations of overhead costs to research and development expense as we no longer allocate such costs to costs of goods sold, following the sale of the Facility, and we expect these costs for full year 2025 to increase as compared to 2024 for these same reasons. Stock-based compensation expense decreased for the periods presented due to lower valuations on more recent grants as a result of a decrease in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research and development expense in total for full year 2025 to increase slightly as compared to 2024, as we commence certain activities to support a Phase 3 trial for rezpegaldesleukin, continue development of NKTR-0165 and initiate research activities for NKTR-0166.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our future clinical trial expenses will vary significantly based upon our evaluation of ongoing clinical results and the structure, timing, and scope of additional clinical development programs and potential clinical collaboration partnerships (if any) for these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drug candidates that we plan to evaluate in clinical development during 2025 and beyond, we believe it is vitally important to continue our investment in a pipeline of new drug candidates to continue to build the value of our drug candidate pipeline and our business. We continue our interest in identifying new drug candidates across a wide range of molecule classes, including small molecules and large proteins, peptides and antibodies, across multiple therapeutic areas. We also plan from time to time to evaluate opportunities to in-license potential drug candidates from third parties to add to our drug discovery and development pipeline. We plan to continue to advance our most promising early research drug candidates into preclinical development with the objective to advance these early-stage research programs to human clinical studies over the next several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expenditures on current and future preclinical and clinical development programs are subject to numerous uncertainties in timing and cost to completion. In order to advance our drug candidates through clinical development, each drug candidate must be tested in numerous preclinical safety, toxicology and efficacy studies. We then conduct clinical studies for our drug candidates that take several years to complete. The cost and time required to complete clinical trials may vary significantly over the life of a clinical development program as a result of a variety of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a given clinical study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time required to enroll clinical study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sites included in the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study designs required by the health authorities (i.e. primary and secondary endpoints as well as the size of the study population needed to demonstrate efficacy and safety outcomes);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changing standards of care for the target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competition faor patient recruitment from competitive drug candidates being studied in the same clinical setting;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producing supplies of the drug candidates needed for clinical trials and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and efficacy profile of the drug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clinical research organizations to assist with the management of the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and the ability to secure, approvals from government health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strategy includes the potential of entering into collaborations with third parties to participate in the development and commercialization of some of our drug candidates, or clinical collaborations where we would share costs and operational responsibility with a partner. In certain situations, the clinical development program and process for a drug candidate and the estimated completion date will largely be under the control of that third party and not under our control. We cannot forecast with any degree of certainty which of our drug candidates will be subject to future collaborations or how such arrangements would affect our development plans or capital requirements.</w:t>
      </w:r>
    </w:p>
    <w:p>
      <w:pPr>
        <w:pStyle w:val="TextBody"/>
        <w:bidi w:val="0"/>
        <w:spacing w:before="180" w:after="283"/>
        <w:jc w:val="left"/>
        <w:rPr>
          <w:rFonts w:ascii="Times New Roman" w:hAnsi="Times New Roman"/>
          <w:sz w:val="20"/>
        </w:rPr>
      </w:pPr>
      <w:r>
        <w:rPr>
          <w:rFonts w:ascii="Times New Roman" w:hAnsi="Times New Roman"/>
          <w:b/>
          <w:i/>
          <w:color w:val="000000"/>
          <w:sz w:val="20"/>
        </w:rPr>
        <w:t>General and Administrative Expense</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General and administrative expense includes the cost of administrative staffing, finance and legal activities, including certain overhead support allocations. Additionally, general and administrative expense includes our lease and other facilities expenses, net of sublease income.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General and administrative expense decreased for the three and nine months ended September 30, 2025 as compared to the three and nine months ended September 30, 2024, respectively. For the periods presented, facilities expense decreased primarily due to the impairment charges we recorded in 2024, resulting in decreased lease expense following the impairment, and stock-based compensation expense decreased due to lower valuations on more recent grants due to the decrease in our stock price. Legal expenses increased for the nine months ended September 30, 2025 as compared to the nine months ended September 30, 2024.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expect general and administrative expense for full year 2025 to be comparable to full year 2024.</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Restructuring and Impairment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our restructuring plans, we reported the following costs in restructuring and impairment as further described and disclosed in Note 8 to our Condensed Consolidated Financial Statements (in thousands):</w:t>
      </w:r>
    </w:p>
    <w:tbl>
      <w:tblPr>
        <w:tblW w:w="10205" w:type="dxa"/>
        <w:jc w:val="left"/>
        <w:tblInd w:w="0" w:type="dxa"/>
        <w:tblLayout w:type="fixed"/>
        <w:tblCellMar>
          <w:top w:w="28" w:type="dxa"/>
          <w:left w:w="28" w:type="dxa"/>
          <w:bottom w:w="28" w:type="dxa"/>
          <w:right w:w="28" w:type="dxa"/>
        </w:tblCellMar>
      </w:tblPr>
      <w:tblGrid>
        <w:gridCol w:w="4586"/>
        <w:gridCol w:w="146"/>
        <w:gridCol w:w="340"/>
        <w:gridCol w:w="679"/>
        <w:gridCol w:w="235"/>
        <w:gridCol w:w="235"/>
        <w:gridCol w:w="340"/>
        <w:gridCol w:w="558"/>
        <w:gridCol w:w="146"/>
        <w:gridCol w:w="146"/>
        <w:gridCol w:w="279"/>
        <w:gridCol w:w="558"/>
        <w:gridCol w:w="193"/>
        <w:gridCol w:w="193"/>
        <w:gridCol w:w="279"/>
        <w:gridCol w:w="897"/>
        <w:gridCol w:w="395"/>
      </w:tblGrid>
      <w:tr>
        <w:trPr/>
        <w:tc>
          <w:tcPr>
            <w:tcW w:w="4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right-of-use assets and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termination and other 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14,310</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right-of-use assets and property and equipment: We recognized $8.3 million in non-cash impairment charges for the full year 2024, primarily for our leased spaces in San Francisco, CA, including our office and laboratory space on Mission Bay Blvd. South (the Mission Bay Facility) and our office space on Third St. (the Third St. Facility), reflecting deteriorations in both the laboratory and office lease markets. While we continue to seek subleases for our remaining spaces, we will continue to update our estimates based on changes in market conditions, whether or not we are able to enter into subleases and, if we do enter into subleases, the economic terms of those subleases, and we may record incremental non-cash impairment charges in future periods as these estimates 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termination and other restructuring charges: We recognized $7.3 million in contract termination costs for the full year 2024 in connection with our Restructuring Plans. Because we continue to adjust the liability based on updates to our assumptions at each reporting date, we will continue to recognize expense as our estimates change until final settlement.</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Interest income decreased for the three and nine months ended September 30, 2025 as compared to the three and nine months ended September 30, 2024, respectively, primarily due to lower investment balances as we have utilized our investment balances to fund operations. We expect interest income to decrease for 2025 due to lower interest rates.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Loss from Equity Method Investment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discussed in Note 4 to our Condensed Consolidated Financial Statements, we determine our gain or loss on our equity method investment in Gannet BioChem using the hypothetical liquidation at book value (HLBV) due to Ampersand’s priority liquidation preference and right to receive a cumulative preferred dividend. The HLBV method is a balance sheet approach that calculates the change in the hypothetical amount we and Ampersand would be entitled to receive if Gannet BioChem were liquidated at book value at the end of each period, subject to certain adjustments for any contributions, distributions and basis differences. We report our gain or loss from our equity method investment in Gannet Biochem on a three-month lag. Therefore, our loss recorded for the three months ended September 30, 2025, reflects Gannet BioChem’s activities for the three months ended June 30, 2025, and our loss recorded for the nine months ended September 30, 2025, reflects Gannet BioChem’s activities from closing on December 2, 2024 through June 30, 2025. Our losses for these periods reflect Ampersand’s cumulative preferred dividend earned for such periods and Gannet BioChem’s net losses for such periods. Our loss of $7.4 million for the nine months ended September 30, 2025 includes $2.5 million of Ampersand’s transaction costs deducted from Ampersand’s cash investment in Gannet BioChem.</w:t>
      </w:r>
    </w:p>
    <w:p>
      <w:pPr>
        <w:pStyle w:val="TextBody"/>
        <w:bidi w:val="0"/>
        <w:spacing w:before="180" w:after="283"/>
        <w:jc w:val="left"/>
        <w:rPr>
          <w:rFonts w:ascii="Times New Roman" w:hAnsi="Times New Roman"/>
          <w:b/>
          <w:color w:val="000000"/>
          <w:sz w:val="20"/>
        </w:rPr>
      </w:pPr>
      <w:bookmarkStart w:id="16" w:name="section23"/>
      <w:bookmarkEnd w:id="16"/>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have financed our operations primarily through revenue from upfront and milestone payments under our strategic collaboration agreements, royalties and product sales, as well as public and private placements of debt and equity securities. As of September 30, 2025, we had approximately $270.2 million in cash and investments in marketable securities.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2024, we entered into the following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12, 2024, for total cash consideration paid of $3.0 million, we repurchased the 552,307 shares previously sold to BMS. See Note 7 to our Condensed Consolidated Financial Statements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4, 2024, we entered into a Securities Purchase Agreement with TCG Crossover Fund II, L.P. (TCG), pursuant to which we issued a pre-funded warrant to TCG to purchase 1,666,667 shares of Nektar’s common stock for gross proceeds of $30.0 million (or a purchase price of $18.00 per share of common stock that can be issued upon exercise of the pre-funded warrant). On May 28, 2024, we filed with the SEC a registration statement on Form S-3 (file no. 333-279760) registering for the resale of up to 1,666,667 shares of Nektar’s common stock upon exercise of the pre-funded warrant issued to TCG pursuant to the Securities Purchase Agreement. The registration statement became effective on June 5, 2024. In July 2025, TCG exercised the warrant in full. See Note 6 to our Condensed Consolidated Financial Statements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4, 2024, for total cash consideration received of $15.0 million, Nektar entered into an amendment with HCR to remove the cap under the 2020 Purchase and Sale Agreement. See Note 3 to our Condensed Consolidated Financial Statements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 2024, we completed the sale of the Facility which included the assignment of our manufacturing and supply agreements to Gannet BioChem, an affiliate of Ampersand Capital Partners, for consideration of $64.7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cash, net of transaction costs,and an approximate 20% equity interest at the time of close in Gannet BioChem. See Note 4 to our Condensed Consolidated Financial Statements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filed a shelf registration statement on Form S-3 and a related prospectus (the Shelf Registration Statement) that was declared effective by the Securities and Exchange Commission (the SEC) on April 1, 2025. Pursuant to the Shelf Registration Statement, we may offer and sell common stock, preferred stock, debt securities, warrants and or units having an aggregate public offering price of up to $300.0 million. In connection with the filing of the Shelf Registration Statement, we also entered into an equity distribution agreement (the ATM Sales Agreement) with Piper Sandler &amp; Co. and BTIG, LLC, relating to the sale of our common stock having an aggregate offering price of up to $75.0 million (the ATM Shares). The sales of the ATM Shares will be made by any method permitted that is deemed to be an “at-the-market” equity offering as defined in Rule 415(a)(4) promulgated under the Securities Act, including sales made directly on or through Nasdaq or on any other existing trading market for our common stock. We have agreed to pay Piper Sandler &amp; Co. and BTIG, LLC a commission equal to 3.0% of the gross sales price of all common stock sold through them as sales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 2025, pursuant to the Shelf Registration Statement, we completed the sale and issuance of 4,893,618 shares of our common stock in an underwritten public offering (the 2025 Offering) at a price of $23.50 per share. The net proceeds to the Company from the 2025 Offering totaled approximately $107.2 million, after deducting underwriting discounts, commissions and offering costs. See Note 6 to our Condensed Consolidated Financial Statements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and October 2025, we issued 1,273,923 shares of our common stock under the ATM Sales Agreement at a weighted average price of $58.87 per share for net proceeds of $72.5 million after deducting related commissions and offering costs of approximately $2.5 million. No ATM shares remain available for issuance under the ATM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we have working capital to fund our current business plans for at least the next twelve months from the date of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clinical development of our drug candidates, including rezpegaldesleukin, NKTR-255, NKTR-0165, and NKTR-0166 will continue to require significant investment to continue to advance in clinical development with the objective of obtaining regulatory approval or entering into one or more collaboration partnerships. In the past, we have received a number of significant payments from collaboration agreements and other significant transactions, including $1.9 billion in total consideration received under our arrangement with Bristol-Myers Squibb Company (BMS), development cost reimbursements from BMS, and a $150.0 million upfront payment from Eli Lilly and Company for our collaboration agreement for rezpegaldesleukin. Additionally, certain of our collaboration partners have borne substantial costs of developing our drug candidates. We expect we will continue our approach of entering into revenue-generating collaboration agreements to pay in whole or in part the development costs of our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business is subject to significant uncertainties and risks as a result of, among other factors, clinical and regulatory outcomes for rezpegaldesleukin, NKTR-255, NKTR-0165 and NKTR-0166; the sales levels for those products, if and when they are approved; whether, when and on what terms we are able to enter into new collaboration transactions; expenses being higher than anticipated, unplanned expenses and the need to satisfy contingent liabilities, including litigation matters and indemnification obligations; and cash receipts, including sublease income, being lower than anticipated.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credit facility or any other sources of committed capital. 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 commercial success of these drugs, as well as general capital market conditions. We may pursue various financing alternatives to fund the expansion of our business as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our restructuring plans, we are seeking to sublease all of our laboratory and office space in the Mission Bay Facility and our office space in the Third St. Facility, and we have current subleases for a portion of the Mission Bay Facility. The San Francisco Bay Area office lease market has been negatively impacted by economic uncertainties, particularly impacting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industry, and the change in work habits, as employees continue to work remotely. Accordingly, for the Third St. Facility, there is significant uncertainty as to whether or when we will be able to enter into a sublease as well as the economic terms of such subleases, if any. Meanwhile, the San Francisco Bay Area life sciences lease market continues to be weak as a significant amount of leasable space remains available in the San Francisco Bay Area. Accordingly, there is uncertainty as to whether or when we will be able to enter into a sublease as well as the economic terms of such subleases,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To date we have not experienced any liquidity issues with respect to these securities. We believe that, even allowing for potential liquidity issues with respect to these securities and the effect of various conditions on the financial markets, our remaining cash and investments in marketable securities will be sufficient to meet our anticipated cash needs for at least the next twelve months.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Cash flows used in operating activities for the nine months ended September 30, 2025 and 2024 totaled $143.6 million and $129.5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cash flows used in operating activities, excluding upfront, milestone and other contingent payments received, if any, will increase for 2025 as compared to 2024.</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nine months ended September 30, 2025, we purchased $0.7 million investments, net of maturities as we have invested the proceeds from our equity financings, offset by funding our operations. During the nine months ended September 30, 2024, the maturities of our investments, net of purchases, totaled $83.4 million, which we used to fund our operations. Our other investing activities were not significant for the periods presented.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than the financing activities described above, our cash flows from financing activities for the nine months ended September 30, 2025 and 2024 were not significant.</w:t>
      </w:r>
    </w:p>
    <w:p>
      <w:pPr>
        <w:pStyle w:val="TextBody"/>
        <w:bidi w:val="0"/>
        <w:spacing w:before="180" w:after="283"/>
        <w:jc w:val="left"/>
        <w:rPr>
          <w:rFonts w:ascii="Times New Roman" w:hAnsi="Times New Roman"/>
          <w:b/>
          <w:color w:val="000000"/>
          <w:sz w:val="20"/>
        </w:rPr>
      </w:pPr>
      <w:bookmarkStart w:id="17" w:name="section24"/>
      <w:bookmarkEnd w:id="17"/>
      <w:r>
        <w:rPr>
          <w:rFonts w:ascii="Times New Roman" w:hAnsi="Times New Roman"/>
          <w:b/>
          <w:color w:val="000000"/>
          <w:sz w:val="20"/>
        </w:rPr>
        <w:t>Critical Accounting Policies and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preparation and presentation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We evaluate our estimates on an ongoing basis. Actual results may differ from those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our policy for our gain or loss on equity method investment as discussed in Notes 1 and 4 to our Condensed Consolidated Financial Statements, there have been no material changes to our critical accounting policies and estimates discussed in our Annual Report on Form 10-K for the fiscal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sz w:val="20"/>
        </w:rPr>
      </w:pPr>
      <w:bookmarkStart w:id="18" w:name="item_3"/>
      <w:bookmarkEnd w:id="18"/>
      <w:r>
        <w:rPr>
          <w:rFonts w:ascii="Times New Roman" w:hAnsi="Times New Roman"/>
          <w:b/>
          <w:color w:val="000000"/>
          <w:sz w:val="20"/>
        </w:rPr>
        <w:t>Item 3. Quantitative and</w:t>
      </w:r>
      <w:r>
        <w:rPr>
          <w:rFonts w:ascii="Times New Roman" w:hAnsi="Times New Roman"/>
          <w:color w:val="000000"/>
          <w:sz w:val="20"/>
        </w:rPr>
        <w:t xml:space="preserve"> </w:t>
      </w:r>
      <w:r>
        <w:rPr>
          <w:rFonts w:ascii="Times New Roman" w:hAnsi="Times New Roman"/>
          <w:b/>
          <w:color w:val="000000"/>
          <w:sz w:val="20"/>
        </w:rPr>
        <w:t>Qualitative Disclosures about Market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market risks at September 30, 2025 have not changed materially from those discussed in Item 7A of our Annual Report on Form 10-K for the year ended December 31, 2024 on file with the SEC.</w:t>
      </w:r>
    </w:p>
    <w:p>
      <w:pPr>
        <w:pStyle w:val="TextBody"/>
        <w:bidi w:val="0"/>
        <w:spacing w:before="180" w:after="283"/>
        <w:jc w:val="left"/>
        <w:rPr>
          <w:rFonts w:ascii="Times New Roman" w:hAnsi="Times New Roman"/>
          <w:sz w:val="20"/>
        </w:rPr>
      </w:pPr>
      <w:bookmarkStart w:id="19" w:name="item_4"/>
      <w:bookmarkEnd w:id="19"/>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continuously seek to improve the efficiency and effectiveness of our internal controls. This results in refinements to processes throughout the Company. There was no change in our internal control over financial reporting that occurred in the three months ended September 30, 2025 that has materially affected, or is reasonably likely to materially affect, our internal control over financial reporting.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Inherent Limitations on the Effectiveness of Controls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0" w:name="part_ii"/>
      <w:bookmarkEnd w:id="20"/>
      <w:r>
        <w:rPr>
          <w:rFonts w:ascii="Times New Roman" w:hAnsi="Times New Roman"/>
          <w:b/>
          <w:color w:val="000000"/>
          <w:sz w:val="20"/>
        </w:rPr>
        <w:t>PART II: OTHER INFORMATION</w:t>
      </w:r>
    </w:p>
    <w:p>
      <w:pPr>
        <w:pStyle w:val="TextBody"/>
        <w:bidi w:val="0"/>
        <w:spacing w:before="180" w:after="283"/>
        <w:jc w:val="left"/>
        <w:rPr>
          <w:rFonts w:ascii="Times New Roman" w:hAnsi="Times New Roman"/>
          <w:b/>
          <w:color w:val="000000"/>
          <w:sz w:val="20"/>
        </w:rPr>
      </w:pPr>
      <w:bookmarkStart w:id="21" w:name="item_1_legal_proceedings"/>
      <w:bookmarkEnd w:id="21"/>
      <w:r>
        <w:rPr>
          <w:rFonts w:ascii="Times New Roman" w:hAnsi="Times New Roman"/>
          <w:b/>
          <w:color w:val="000000"/>
          <w:sz w:val="20"/>
        </w:rPr>
        <w:t>Item 1. Legal Proceedings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Reference is hereby made to our disclosures in “Legal Matters” under Note 5 to our Condensed Consolidated Financial Statements in this Quarterly Report on Form 10-Q and the information under the heading “Legal Matters” is incorporated by reference herein.</w:t>
      </w:r>
    </w:p>
    <w:p>
      <w:pPr>
        <w:pStyle w:val="TextBody"/>
        <w:bidi w:val="0"/>
        <w:spacing w:before="180" w:after="283"/>
        <w:jc w:val="left"/>
        <w:rPr>
          <w:rFonts w:ascii="Times New Roman" w:hAnsi="Times New Roman"/>
          <w:sz w:val="20"/>
        </w:rPr>
      </w:pPr>
      <w:bookmarkStart w:id="22" w:name="item_1a_risk_factors"/>
      <w:bookmarkEnd w:id="22"/>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 The risks described below may not be the only ones relating to our company. This description includes any material changes to and supersedes the description of the risk factors associated with our business previously disclosed in Item 1A of our Annual Report on Form 10-K for the year ended December 31, 2024.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highly dependent on the success of drug candidates, particularly rezpegaldesleukin (previously referred to as NKTR-358). If these drug candidates fail in clinical development our business will be significantly harmed.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future success is highly dependent on the clinical success of our drug candidates, particularly rezpegaldesleukin. In general, most investigational drugs, including drug candidates designed to treat patients suffering from autoimmune disorders, such as rezpegaldesleukin, do not become approved drugs. Accordingly, there is a very meaningful risk that our drug candidates will not succeed in one or more clinical trials sufficient to support one or more regulatory approvals.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previously relied on Lilly (through the Lilly Agreement) to initiate, properly conduct, and prioritize clinical trials and other development-related activities for rezpegaldesleukin. In February 2023, we announced that the Phase 2 Lupus Study of rezpegaldesleukin in systemic lupus erythematosus (SLE) conducted by Lilly did not meet the study’s primary endpoint and that Lilly did not intend to advance rezpegaldesleukin to Phase 3 development in SLE. On April 27, 2023, we announced that we would be regaining the full rights to rezpegaldesleukin from Lilly, and the Lilly Agreement subsequently terminated. Following the return of our rights to develop rezpegaldesleukin, we bear all costs of development. We have initiated two Phase 2b rezpegaldesleukin studies: one in patients with moderate-to-severe atopic dermatitis, and another in patients with severe-to-very severe alopecia areata, and will collaborate with TrialNet to conduct a Phase 2 study of rezpegaldesleukin in patients with new onset stage 3 Type 1 diabetes mellitus. We will also explore other autoimmune indications for the development of rezpegaldesleukin. While we believe we currently have the documents, records, and data that are necessary for us to continue clinical development of rezpegaldesleukin, we may need or benefit from additional documents, records and data that Lilly generated as part of the early development of rezpegaldesleukin under the Lilly Agreement and for which Lilly has not yet transferred to us. In the event Lilly fails to promptly and completely transfer to us any additional needed materials or we are not able to independently source these documents, records and data (e.g., from vendors or third parties who may also have these materials), the continued clinical development of rezpegaldesleukin and our business may be significantly harmed. Even if the applicable agreement provides us with enforcement or other curative rights to address the harm caused by Lilly’s action (or failure to act), our efforts in pursuing a remedy would be costly and there is no guarantee that these efforts would succeed or be sufficient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 fully address the harm. If continued development of rezpegaldesleukin is not ultimately successful, our market valuation, prospects, financial condition and results of operations would be materially harmed.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Additionally, promising results from earlier trials may not predict similarly favorable outcomes in subsequent trials. For example, our drug candidates (particularly those being evaluated in the oncology setting and in connection with the placebo crossover patients in the Phase 2b REZOLVE-AD study) have been tested in clinical trials or parts of clinical trials that utilize an “open-label” approach. An “open-label” approach occurs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drug candidates for which we include an open-label clinical trial when studied in a controlled environment with a placebo or active control. Also, results from “double blinded” studies where both the patient and investigator do not know whether the patient is receiving the investigational drug candidate may not be predictive of future clinical trial results. One or more clinical failures of our drug candidates would jeopardize and could materially harm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Delays in clinical studies are common and have many causes, and any significant delay in clinical studies being conducted by us or our partners could result in delay in regulatory approvals and jeopardize the ability to proceed to commercialization.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or our partners may experience delays in conducting clinical trials of our drug candidates. Clinical studies may not begin on time, enroll a sufficient number of patients or be completed on schedule, if at all. Clinical trials for any of our drug candidates could be delayed for a variety of reasons, including: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in obtaining regulatory authorization to commence a clinical study;</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in reaching agreement with applicable regulatory authorities on a clinical study design;</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for drug candidates currently or previously partnered with other companies, delays caused by our partner;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caused by future health epidemics;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imposition of a clinical hold by the FDA or other health authorities, which may occur at any time including after any inspection of clinical trial operations or trial sites;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suspension or termination of a clinical study by us, our partners, the FDA or foreign regulatory authorities due to adverse side effects of a drug on subjects in the trial;</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in recruiting suitable patients to participate in a trial;</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clinical sites dropping out of a trial due to the detriment of enrollment rates;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in manufacturing and delivery of sufficient supply of clinical trial materials;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changes in regulatory authorities policies or guidance applicable to our drug candidates;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caused by changing standards of care or new treatment options;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associated with third parties, such as a past collaboration partner, failing to provide us with all the necessary documents, data and materials necessary to conduct clinical trials;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resulting from a shutdown, or uncertainty surrounding the potential for future shutdowns, of the U.S. government, including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initiation or completion of any of the planned clinical studies for our drug candidates is delayed for any of the above or other reasons, results for the studies would be delayed, and consequently the regulatory approval process would be delayed which would also delay the ability to commercialize these drug candidates,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drug candidates and may harm our business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currently rely on academic and private non-academic institutions to conduct investigator-sponsored clinical studies or trials of our drug candidates. Any failure by the investigator-sponsor to meet its obligations with respect to the clinical development of our drug candidates may delay or impair our ability to obtain regulatory approval or commercialize for other drug candidates.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currently rely on academic and private non-academic institutions to conduct and sponsor clinical studies or trials relating to our drug candidates. We do not control the design or conduct of the investigator-sponsored trials, and it is possible that the FDA or non-U.S. regulatory authorities will not view these investigator-sponsored studies or trials as providing adequate support for future clinical trials, whether controlled by us or independent investigators, for any one or more reasons, including elements of the design or execution of the trials or safety concerns or other trial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Such arrangements will likely provide us certain information concerning our drug candidates with respect to the investigator-sponsored studies or trials, including access to and the ability to use and reference the data, including for our own regulatory filings, resulting from the investigator-sponsored studies or trials. However, we would not have control over the timing and reporting of the data from investigator-sponsored trials, nor would we own the data from the investigator-sponsored studies or trials. If we are unable to confirm or replicate the results from the investigator-sponsored studies or trials or if negative results are obtained,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compared to the first-hand knowledge we might have gained had the investigator-sponsored studies or trials been sponsored and conducted by us, then our ability to design and conduct any future clinical trials ourselves may be adversely affected.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Additionally, the FDA or non-U.S. regulatory authorities may disagree with the sufficiency of our right of reference to the preclinical, manufacturing or clinical data generated by these investigator-sponsored studies or trials or our interpretation of preclinical, manufacturing or clinical data from these investigator-sponsored studies or trials. If so, the FDA or other non-U.S. regulatory authorities may require us to obtain and submit additional preclinical, manufacturing or clinical data before we may initiate our planned clinical trials and/or may not accept such additional data as adequate to initiate our planned clinical trials.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The outcomes from the clinical trials of drug candidates from others, and the discovery and development of new potential therapies in immunology and oncology, could have a material and adverse impact on the value of the drug candidates in our research and development pipeline.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research and development of immune-modulatory agents is a very competitive global segment in the biopharmaceutical industry attracting tens of billions of dollars of investment each year. Our clinical trial plans for rezpegaldesleukin, NKTR-255 and other drug candidates face substantial competition from other regimens already approved, and many more that are either ahead of or in parallel development in patient populations where we are studying our drug candidates. As immunotherapy represents a relatively new approach to treatment of autoimmune disorders and cancer and few have successfully completed late stage development, drug development in this area entails substantial risks and uncertainties that include rapidly changing standards of care, identifying contribution of components when therapeutic combinations are employed, patient enrollment competition, evolving regulatory frameworks to evaluate regimens, and varying risk-benefit profiles of competing therapies, any or all of which could have a material and adverse impact on the probability of success of our drug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The risk of clinical failure for any drug candidate remains high prior to regulatory approval and there can be no assurance that our drug candidates will obtain regulatory approval for any particular indications.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drug candidate may not predict the results that will be obtained in later phase clinical trials of the drug candidate. We, the FDA, an independent Institutional Review Board (IRB), an independent ethics committee (IEC), or other applicable regulatory authorities may suspend clinical trials of a drug candidate at any time for various reasons, including a belief that patients participating in such trials are being exposed to 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Significant competition could render our partnered and proprietary drugs and drug candidates obsolete or noncompetitive, which would negatively impact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partnered and proprietary products and drug candidates compete with various pharmaceutical and biotechnology companies. For rezpegaldesleukin, 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microbiome-based, or toleragenic-based therapies (Symbiotix, LLC, Apogee Therapeutics, Janssen, AstraZeneca and Tizona Therapeutics), regulatory T cell therapies (Sangamo Therapeutics, Inc., Quell Therapeutics, Ltd, TxCell, Inc., Sonoma Biotherapeutics, Inc., GentiBio, Inc. Kyvema Therapeutics, Inc. and Tract Therapeutics, Inc.), IL-2-based-therapies (Amgen Inc., BMS, Novartis, Inc., ILTOO Pharma, Xencor, Inc. Merck &amp; Co., through its acquisition of Pandion Therapeutics, and Sanofi SA, through its acquisition of Synthorx, Inc.) or OX40/OX40L class (Sanofi SA and Amgen Inc.). For NKTR-255, we believe companies that are currently researching and developing engineered IL-15 biologics and cell therapies that could compete with this drug candidate include Artiva Biotherapeutics, Fate Therapeutics, ImmunityBio, Inc., Nkarta Therapeutics, NKMax America, and Roche/Genentech (through its partnership with Xencor, Inc.). For NKTR-0165, we believe companies targeting the TNFR2 pathway for the treatment of patients with autoimmune disease include Dualyx, TRexBio, Inc., Odyssey Therapeutics, Inc. and Pfizer, Inc. There can be no assurance that we or our partners will successfully develop, obtain regulatory approvals for and commercialize next-generation or new products that will successfully compete with those 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noncompetitive or obsolete.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our Financial Condition and Capital Requirement</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Additional cost-savings measures may be necessary following implementation of our strategic reorganization plan and cost restructuring plans.</w:t>
      </w:r>
    </w:p>
    <w:p>
      <w:pPr>
        <w:pStyle w:val="TextBody"/>
        <w:bidi w:val="0"/>
        <w:spacing w:before="180" w:after="283"/>
        <w:jc w:val="left"/>
        <w:rPr>
          <w:rFonts w:ascii="Times New Roman" w:hAnsi="Times New Roman"/>
          <w:sz w:val="20"/>
        </w:rPr>
      </w:pPr>
      <w:r>
        <w:rPr>
          <w:rFonts w:ascii="Times New Roman" w:hAnsi="Times New Roman"/>
          <w:color w:val="000000"/>
          <w:sz w:val="20"/>
        </w:rPr>
        <w:t>Our 2022 and 2023 Restructuring Plans prioritized key research and development efforts that will impact the Company’s future business activities, including activities involving rezpegaldesleukin, NKTR-255, and NKTR-0165 and several core research programs. There is no guarantee that these Restructuring Plans and their associated cost restructuring measures will achieve their intended benefits or that our post-restructuring focus will be sufficient for us to achieve success. Consequently, we may need to undertake additional restructuring and cost-saving activities to further prioritize our key research and development efforts and these additional restructuring and cost-saving activities may not be successful, which could have a material adverse effect on our business, financial condition and prospects</w:t>
      </w:r>
      <w:r>
        <w:rPr>
          <w:rFonts w:ascii="Times New Roman" w:hAnsi="Times New Roman"/>
          <w:color w:val="008080"/>
          <w:sz w:val="20"/>
        </w:rPr>
        <w:t>.</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results of operations and financial condition depend significantly on the ability of our collaboration partners to successfully develop and market drugs and they may fail to do so.</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our collaboration agreements with various pharmaceutical or biotechnology companies, our collaboration partner is generally solely responsible for:</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designing and conducting large scale clinical studies;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preparing and filing documents necessary to obtain government approvals to sell a given drug candidate; and/or</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marketing and selling the drugs when and if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collaboration partners poses a number of significant risks to our business, including risks that: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very little control over the timing and level of resources that our collaboration partners dedicate to commercial marketing efforts such as the amount of investment in sales and marketing personnel, general 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even when the applicable contract mandates otherwise, collaboration partners with commercial rights may choose to devote fewer resources to the development or marketing of our partnered drugs than they devote to their own drugs or other drugs that they have in-licensed;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very little control over the timing and amount of resources our partners devote to development programs in one or more major markets;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disagreements with partners could lead to delays in, or termination of, the research, development or commercialization of drug candidates or to litigation or arbitration proceedings;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disputes may arise or escalate in the future with respect to the ownership of rights to technology or intellectual property developed with partners;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do not have the ability to unilaterally terminate agreements (or partners may have extension or renewal rights) that we believe are not on commercially reasonable terms or consistent with our current business strategy;</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partners may be unable to pay us as expected;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partners may terminate their agreements with us unilaterally for any or no reason, in some cases with the payment of a termination fee penalty and in other cases with no termination fee penalty;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partners may respond to natural disasters or health epidemics by ceasing all or some of their development responsibilities (including the responsibility to clinical develop our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risks, the success of our current and future collaboration partnerships is highly unpredictable and can have a substantial negative impact on our business. If the approved drugs fail to achieve commercial success or the drug candidates in development fail to have positive late stage clinical outcomes sufficient to support regulatory approval in major markets, it could significantly impair our access to capital necessary to fund our research and development efforts. If we are unable to obtain sufficient capital resources to advance our drug candidate pipeline, it would negatively impact the value of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have substantial future capital requirements and there is a risk that we may not have access to sufficient capital to meet our current business plan. If we do not receive substantial milestone or royalty payments from our existing collaboration agreements, execute new high value collaborations or other arrangements, or are unable to raise additional capital in one or more financing transactions, we would be unable to continue our current level of investment in research and development.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September 30, 2025, we had cash and investments in marketable securities valued at approximately $270.2 million. While we believe that our cash position will be sufficient to meet our liquidity requirements through at least the next 12 months, our future capital requirements will depend upon numerous unpredictable factors, including: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cost, timing and outcomes of clinical studies and regulatory reviews of our drug candidates, particularly rezpegaldesleukin;</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and when we receive potential milestone payments and royalties from our existing collaborations if the drug candidates subject to those collaborations achieve clinical, regulatory or commercial success;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progress, timing, cost and results of our clinical development programs;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number of patients, enrollment criteria, primary and secondary endpoints, and the number of clinical studies required by the regulatory authorities in order to consider for approval our drug candidates and those of our collaboration partners;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general and administrative expenses, capital expenditures and other uses of cash;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disputes concerning patents, proprietary rights, or license and collaboration agreements that could negatively impact our receipt of milestone payments or royalties or require us to make significant payments arising from licenses, settlements, adverse judgments or ongoing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choose to continue to advance our drug candidates to later stage research and development, we may need to pursue financing alternatives, including dilutive equity-based financings, such as an offering of convertible debt or common stock, which would dilute the percentage ownership of our current common stockholders and could significantly lower the market value of our common stock. If sufficient capital is not available to us or is not available on commercially reasonable terms, it could require us to delay or reduce one or more of our research and development programs.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unable to sufficiently advance our research and development programs, it could substantially impair the value of such programs and result in a material adverse effect on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It is very difficult to estimate the commercial potential of drug candidates due to important factors such as safety and efficacy compared to other available treatments, including changing standards of care, third party payer reimbursement standards, patient and physician preferences, the availability of competitive alternatives that may emerge either during the long drug development process or after commercial introduction, and the availability of generic and biosimilar versions of our drug candidates following approval by regulatory authorities based on the expiration of regulatory exclusivity or our inability to prevent generic or biosimilar versions from coming to market by asserting our patents. If due to one or more of these risks the 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 diminished and this would negatively impact our business, financial condition and results of operations. We may also depend on our relationships with other companies for sales and marketing performance and the commercialization of drug candidates. Poor performance by these companies, or disputes with these companies, could negatively impact our revenue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government and private insurance programs do not provide payment or reimbursement for our partnered drug or proprietary drugs, those drugs will not be widely accepted, which would have a negative impact on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the United States and markets in other countries, patients generally rely on third party payers to reimburse all or part of the costs associated with their treatment. In both domestic and foreign markets, sales of our partnered and proprietary products that receive regulatory approval will depend in part on market acceptance among physicians and patients, pricing approvals by government authorities and the availability of coverage and payment or reimbursement from third party payers, such as government programs, including Medicare and Medicaid in the U.S., managed care providers, private health insurers and other organizations. However, eligibility for coverage does not necessarily signify that a drug candidate will be adequately reimbursed in all cases or at a rate that covers costs related to research, development, manufacture, sale, and distribution. Third party payers are increasingly challenging the price and cost effectiveness of medical products and services. Therefore, significant uncertainty exists as to the coverage and pricing approvals for, and the payment or reimbursement status of, newly approved healthcare products. For more information, see “Business – Government Regulation – Coverage, Reimbursement, and Pricing” section in our Annual Report on Form 10-K for the year ended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payers tend to follow CMS to a substantial degree.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payers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net prices for drugs may be reduced by mandatory discounts or rebates required by government healthcare programs or private payers and by any future relaxation of laws that presently restrict imports of drugs from countries where they may be sold at lower prices than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Increasingly, third party payers are requiring that drug companies provide them with predetermined discounts from list prices and are challenging the prices charged for medical products. We cannot be sure that reimbursement will be available for any of our drug candidates that are commercialized and, if reimbursement is available, the level of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 party payers.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targets for spending cuts. New government legislation or regulations related to pricing or other fundamental changes to the healthcare delivery system as well as a government or third party payer decision not to approve pricing for, or provide adequate coverage or reimbursement of, our products hold the potential to severely limit market opportunities of such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drug candidates. Historically, products launched in the European Union do not follow price structures of the U.S. and generally prices tend to be significantly lower.</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are unable to establish and maintain collaboration partnerships on attractive commercial terms, our business, results of operations and financial condition could suffer.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drug candidates or the licensing of our intellectual property, or if any arrangements we negotiate, or have negotiated, are terminated, it could have a material adverse effect on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revenue has historically been exclusively derived from our collaboration agreements, which can result in significant fluctuation in our revenue from period to period, and our past revenue is therefore not necessarily indicative of our future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revenue has historically been exclusively derived from our collaboration agreements (whether based on our drug candidates or polymeric reagents), from which we receive upfront fees, research and development reimbursement and funding, milestone and other contingent payments based on clinical progress, regulatory progress or net sales achievements, royalties and product sales. Significant variations in the timing of receipt of cash payments and our recognition of revenue can result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 fails to develop, obtain regulatory approval for, manufacture or ultimately commercialize any drug candidate under our collaboration agreement, our business, financial condition, and results of operations could be materially and adversely affected.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expect to continue to incur substantial losses and negative cash flow from operations and may not achieve or sustain profitability in the future.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nine months ended September 30, 2025, we reported a net loss of $128.0 million. If and when we achieve profitability depends upon a number of factors, including the timing and recognition of milestones and other contingent payments and royalties received, the timing of revenue under our collaboration agreements, the amount of investments we make in our proprietary drug candidates and the regulatory approval and market success of our drug candidates. We may not be able to achieve and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that will affect whether we achieve and sustain profitability include our ability, alone or together with our partners, to:</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develop drugs utilizing our technologies, either independently or in collaboration with other pharmaceutical or biotechnology companies;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effectively estimate and manage clinical development costs, particularly the cost of the clinical studies for rezpegaldesleukin and NKTR-255;</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receive necessary regulatory and marketing approvals;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maintain or expand manufacturing at necessary levels;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achieve market acceptance of our partnered products;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receive revenue or royalties on products that have been approved, marketed or submitted for marketing approval with regulatory authorities;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maintain sufficient funds to finance our activities.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Supply and Manufacturing</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our contract manufacturers are not able to manufacture biologic substance or substances in sufficient quantities that meet applicable quality standards, it could delay clinical studies, result in reduced sales or constitute a breach of our contractual obligations, any of which could significantly harm our business, financial condition and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our contract manufacturing organizations (CMOs)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which could in turn reduce the potential commercial sales of our or our collaboration partners’ products. As a result, we could incur substantial costs and damages and any product sales or royalty revenue that we would otherwise be entitled to receive could be reduced, delayed or eliminated. In most cases, we rely on CMOs to manufacture and supply drug product for our clinical studies and those of our collaboration partners. As a result of the sale of the Facility, we are currently dependent on Gannet BioChem for the supply of the PEG reagents used in the manufacture of our PEG-conjugate drug candidates, including rezpegaldesleukin and NKTR-255.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manufacturing of biologics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We have faced and may in the future face significant difficulties, delays and unexpected expenses as we validate third party CMOs required for drug supply to support our clinical studies and the clinical studies and products of our collaboration partners. Failure by us or our CMOs to supply API or 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 submissions or result in reduced sales, any of which could significantly harm our business prospects,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a CMO or require us to obtain a license from such CMO in order to have another CMO manufacture our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which may cause significant delays in clinical development. There continues to be substantial and unpredictable risk and uncertainty related to manufacturing and supply until such time as the commercial supply chain is validated and proven.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purchase some of the starting material for biologics and biologic candidates from a single source or a limited number of suppliers, and the partial or complete loss of one of these suppliers could cause production delays, clinical trial delays, potential loss of revenue and contract liability to third parties.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often face very limited supply of a critical raw material that can only be obtained from a single, or a limited number of, suppliers, which could cause production delays, clinical trial delays, potential lost revenue opportunities or contract liabilities to third parties. For example, there are only a limited number of qualified suppliers, and in some cases single source suppliers, for the raw materials included in our PEGylation and advanced polymer conjugate drug formulations. Any interruption in supply, diminution in quality of raw materials supplied to us or failure to procure such raw materials on commercially feasible terms could harm our business by delaying our clinical trials, impeding commercialization of approved drugs or increasing our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The manufacturing operations of our contract manufacturers are subject to laws and other governmental regulatory requirements, which, if not met, would have a material adverse effect on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CMOs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or comparable agencies in other jurisdictions administering such requirements. We anticipate periodic regulatory inspections of the manufacturing facilities of our CMOs for compliance with applicable regulatory requirements. Any failure of our CMOs to follow and document adherence to such cGMP and other laws and governmental regulations or satisfy other manufacturing and product release regulatory requirements may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 substantial compliance with cGMP. Manufacturing delays for our CMOs pending resolution of regulatory deficiencies or suspensions could have a material adverse effect on our business, results of operations and financial condition.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Business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depend on third parties to conduct the preclinical studies and clinical trials for our drug candidates and any failure of those parties to fulfill their obligations according to protocol standards could harm our development plans and adversely affect our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depend on our collaboration partners, independent clinical investigators, contract research organizations and other third-party service providers to conduct preclinical studies and clinical trials for our drug candidates, including to monitor, record, manage and analyze data generated from these studies. We rely heavily on these parties for the successful execution of our preclinical studies and clinical trials. Though we are ultimately responsible for the results of their activities, many aspects of their activities are beyond our control, such as the timing, conduct and management of data developed through these studies and trials.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drug candidates to us in an untimely manner. Third parties may not complete activities on schedule or may not conduct our clinical trials in accordance with regulatory requirements, such as good laboratory practice or good clinical practice, or our stated protocols and any subsequent data generated may be deemed unacceptable. We rely on our collaboration partners and other third parties to manage, analyze and transmit clinical data, and those partners and third parties may not carry out the performance of their duties with the required degree of care or skill to ensure valid and scientifically reliable work products. The early termination of any of our clinical trial arrangements, the failure of third parties to comply with the regulations and requirements governing clinical trials, the failure of third parties to properly conduct our clinical trials, or erroneously reported data could hinder or delay the development, approval and commercialization of our product candidates and would adversely affect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future depends on the proper management of our current and future business operations and their associated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business strategy requires us to manage our business to provide for the continued development of our proprietary drug candidates. Our strategy also calls for us to manage the capital necessary to fund key programs through value-enhancing data and other milestones. If we are unable to manage effectively our current operations, our business, financial condition and results of operations may be adversely affected. If we are unable to effectively manage our expenses, we may find it necessary to reduce our personnel-related costs through reductions in our workforce, which could harm our operations, employee morale and impair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dilutive financing arrangements on unfavorable terms.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Because competition for highly qualified technical personnel is intense, we may not be able to attract and retain the personnel we need to support our operations and growth.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must attract and retain experts in the areas of research, development (including clinical testing), manufacturing,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awards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If we fail to attract new personnel or to retain and motivate our current personnel, our business and future growth prospects could be severely harmed.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dependent on our management team and key technical personnel, and the loss of any key manager or employee may impair our ability to develop our products effectively and may harm our business, operating results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success largely depends on the continued services of our executive officers and other key personnel. The loss of one or more members of our management team or other key employees could seriously harm our business, operating results 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Inflation has increased our operating costs and could negatively impact our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Increased price levels resulting from inflation have resulted in increased operating costs. In addition, the United States Federal Reserve has raised and held interest rates at higher levels than in the past decade in response to concerns about inflation. Increases in interest rates, especially if coupled with reduced government spending and volatility in financial markets, may further increase economic uncertainty and heighten these risks.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business could be adversely affected by the effects of future health epidemics.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business could be adversely affected, directly or indirectly, by health epidemics in regions where we have concentrations of clinical trial sites or other business operations, including the manufacturing operations of third parties upon whom we rely. Health epidemics can negatively affect our clinical trials and those run by our collaborators or other third parties through delays in investigator recruitment, clinical site initiation, patient screening, or patient enrollment. In addition, health epidemics may cause disruptions in our supply chain or shortages in raw materials and equipment, which would affect our ability to supply drug candidates for clinical trials.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the health epidemic is sufficiently severe and widespread, it may require us to change the way in which can conduct our business, which may negatively result in unexpected expenses, decreased employee productivity and availability and employee work culture. Further, a severe and widespread epidemic may have a broad impact on global financial markets and could reduce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ability to access capital, which could in the future negatively affect our liquidity. In addition, a recession or market correction resulting from a health epidemic could materially affect our business and the value of our common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ultimate effects of health epidemics is uncertain and subject to change and these effects could have a negative impact on our clinical trial timelines, operations, financial condition and prospects.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Intellectual Property, Litigation and Regulatory Concerns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or our partners do not obtain regulatory approval for our drug candidates on a timely basis, or at all, or if the terms of any approval impose significant restrictions or limitations on use, our business, results of operations and financial condition will be negatively affected.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or our partners may not obtain regulatory approval for drug candidates on a timely basis, or at all, or the terms of any approval (which in some countries includes pricing approval) may impose significant restrictions or limitations on use. Drug candidates must undergo rigorous animal and human testing and an extensive review process for safety and efficacy by the FDA and equivalent foreign regulatory authorities. The time required for obtaining regulatory decisions is uncertain and difficult to predict.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Further, regulatory authorities have the discretion to analyze data using their own methodologies that may differ from those used by us or our partners, which could lead such authorities to arrive at different conclusions regarding the safety or efficacy of a biologic candidate. In addition, undesirable side effects caused by our drug candidates could cause us or regulatory authorities to interrupt, delay or halt clinical trials and could result in a more restricted label or the delay or denial of regulatory approval by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drug candidates, any product marketing limitations or a product withdrawal would negatively impact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may seek orphan drug status or Breakthrough Therapy or Fast Track designations or other designation for one or more of our drug candidates, but even if any such designation or status is granted, it may not lead to a faster development process or regulatory review and may not increase the likelihood that our drug candidates will receive marketing approval, and we may be unable to maintain any benefits associated with such designations or status, including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been awarded Fast Track designations for rezpegaldesleukin for two different treatments: one for the treatment of adult and pediatric patients 12 years of age and older with moderate-to-severe atopic dermatitis whose disease is not adequately controlled with topical prescription therapies or when those therapies are not advisable; and another for the treatment of severe alopecia areata in adult and pediatric patients 12 years of age and older who weigh at least 40 kg. We may continue to seek Breakthrough Therapy and Fast Track designations for our current or future drug candidates. Receipt of a designation to facilitate drug candidate development is within the discretion of the FDA. Accordingly, even if we believe one of our drug candidates meets the criteria for a designation, the FDA may disagree. In any event, the receipt of such a designation for our drug candidates may not result in a faster development process, review, or approval compared to drug candidates considered for approval under conventional FDA procedures and does not ensure ultimate marketing approval by the FDA. In addition, the FDA may later decide that the product candidates no longer meet the designation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and Europe, may designate drugs for relatively small patient populations as orphan drugs. We may not be able to obtain orphan drug designation for any indications for our drug candidates, and we may not be able to maintain such designations if granted.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if a drug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indications for seven years. Even if we are able to obtain orphan drug designation or orphan drug exclusivity,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drug candidates, there is no guarantee that we will enjoy the benefits of such designations or exclusivity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decision of the U.S. Court of Appeals for the 11th Circuit in Catalyst Pharms., Inc. v. Becerra, 14 F.4th 1299 (11th Cir. 2021) has created uncertainty regarding the scope of orphan drug exclusivity. Although the FDA subsequently announced that it intends to continue to apply its longstanding interpretation of the regulations to matters outside of the scope of the Catalyst order and continue tying the scope of orphan drug exclusivity to the uses or indications for which a drug is approved, it is unclear how future litigation, legislation, agency decisions, and administrative actions will impact the scope of the orphan drug exclusivity. </w:t>
      </w:r>
    </w:p>
    <w:p>
      <w:pPr>
        <w:pStyle w:val="TextBody"/>
        <w:bidi w:val="0"/>
        <w:spacing w:before="180" w:after="283"/>
        <w:jc w:val="left"/>
        <w:rPr>
          <w:rFonts w:ascii="Times New Roman" w:hAnsi="Times New Roman"/>
          <w:sz w:val="20"/>
        </w:rPr>
      </w:pPr>
      <w:r>
        <w:rPr>
          <w:rFonts w:ascii="Times New Roman" w:hAnsi="Times New Roman"/>
          <w:b/>
          <w:i/>
          <w:color w:val="000000"/>
          <w:sz w:val="20"/>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applicable cGMP, GLP and GCP requirements,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Later discovery of previously unknown problems with our drug candidates, including adverse events of unanticipated severity or frequency, or with our third party manufacturers or manufacturing processes, or failure to comply with regulatory requirements, may result in, among other things: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drug candidates, withdrawal of the product from the market or voluntary or mandatory product recalls;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manufacturing delays and supply disruptions where regulatory inspections identify observations of noncompliance requiring remediation;</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revisions to the labeling, including limitation on approved uses or the addition of additional warnings, contraindications or other safety information, including boxed warnings;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imposition of a REMS, which may include distribution or use restrictions;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requirements to conduct additional post-market clinical trials to assess the safety of the product;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or suspension or revocation of approvals;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drug candidates; and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Further, if any of our drug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drug candidates, if approved, we could become subject to significant liability, which would materially adversely affect our business and financial condition.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Additionally,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or delay regulatory approval of our drug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derived, and expect to derive in the foreseeable future, substantially all of our revenue from collaboration agreements with biotechnology and pharmaceutical companies. These collaboration agreements contain complex commercial terms, including: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clinical development and commercialization obligations that are based on certain commercial reasonableness performance standards that can often be difficult to enforce if disputes arise as to adequacy of our partner’s performance;</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research and development performance and reimbursement obligations for our personnel and other resources allocated to partnered biologic candidate development programs;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clinical and commercial manufacturing agreements, some of which are priced on an actual cost basis for products supplied by us to our partners with complicated cost allocation formulas and methodologies;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intellectual property ownership allocation between us and our partners for improvements and new inventions developed during the course of the collaboration;</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royalties on drug sales based on a number of complex variables, including net sales calculations, geography, scope of patent claim coverage, patent life, generic competitors, bundled pricing and other factors;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indemnity obligations for intellectual property infringement, product liability and certain other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we could be subject to substantial liabilities, which would harm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 party license agreements that may ultimately result in costly litigation and unfavorable interpretation of contract terms, which would have a material adverse effect on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may not be able to obtain intellectual property licenses related to the development of our drug candidates on a commercially reasonable basis, if at all.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Numerous pending and issued U.S. and foreign patent rights and other proprietary rights owned by third parties relate to pharmaceutical compositions, methods of preparation and manufacturing, and methods of use and administration. We cannot predict with any certainty which, if any, patent rights will be considered relevant to our or our collaboration partners’ technology or drug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sufficiency of the scope and adequacy of these licenses is very uncertain in view of the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to avoid a need to secure a license. If we are required to enter into a license with a third party, our potential economic benefit for the products subject to the license will be diminished. If a license is not available on commercially reasonable terms or at all, we may be prevented from developing and commercializing the biologic, which could significantly harm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any of our pending patent applications do not issue, or are deemed invalid following issuance, we may lose valuable intellectual property protection.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patent positions of pharmaceutical and biotechnology companies, such as ours, are uncertain and involve complex legal and factual issues. We own more than 150 U.S. and 650 foreign patents and have a number of pending patent applications that cover various aspects of our technologies.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opposition, inter partes review, re-examinations or other proceedings that can result in the revocation of the patent or maintenance of the patent in amended form (and 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prior to the commercialization of the biologic. Moreover, even if a patent encompassing a biologic has not expired prior to the biologic’s commercialization, the patent may only provide a short period of protection following the commercialization of the covered product. In addition, our patents may be subject to post grant proceedings, such as inter partes review and re-examinations, before the U.S. Patent and Trademark Office (or equivalent proceedings in other jurisdictions), which could result in a loss of the patent and/or substantial cost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filed patent applications covering our drug candidates, and plan to file additional patent applications as we deem appropriate. There can be no assurance that the patent applications for which we apply will actually issue as patents, or do so with 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covered by our patents or patent applications. In addition, there is no guarantee that we will be the first to file a patent application directed to an invention.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rely on trade secret protection and other unpatented proprietary rights for important proprietary technologies, and any loss of such rights could harm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rely on trade secret protection and other unpatented proprietary rights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 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manufacture, clinical testing, marketing and sale of medical products involve inherent product liability risks. If product liability costs exceed our product liability insurance coverage (or if we cannot secure product liability insurance),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or current or future collaborators or service providers fail to comply with healthcare laws and regulations, we or they could be subject to enforcement actions and civil or criminal penalties.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Although we do not currently have any products on the market, once we begin commercializing our drug candidates, if approved, we will be subject to additional healthcare statutory and regulatory requirements and enforcement by the federal and state governments of the jurisdictions in which we conduct our business. Healthcare providers, physicians and third party payers play a primary role in the recommendation and prescription of any drug candidates for which we obtain marketing approval. Our current and future arrangements with third 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For more information, see “Business – Government Regulation - Other Healthcare Laws and Regulations.”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Ensuring that our future business arrangements with third parties comply with applicable healthcare laws and regulations could involve substantial costs. If our operations are found to be in violation of any such requirements, we may be subject to penalties, including administrative, civil or criminal penalties, imprisonment,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Healthcare legislative or regulatory reform measures may have a negative impact on our business and results of operations</w:t>
      </w:r>
      <w:r>
        <w:rPr>
          <w:rFonts w:ascii="Times New Roman" w:hAnsi="Times New Roman"/>
          <w:color w:val="000000"/>
          <w:sz w:val="2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Governmental policy can also change the commercial potential of our product candidates, including efforts to increase patient access to lower-cost generic and biosimilar drugs. 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For more information regarding the risks related to recently enacted and future legislation please see “Business – Government Regulation – Legislative and Regulatory Landscape” section in our Annual Report on Form 10-K for the year ended December 31, 2024.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 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pStyle w:val="TextBody"/>
        <w:bidi w:val="0"/>
        <w:spacing w:before="180" w:after="283"/>
        <w:jc w:val="left"/>
        <w:rPr>
          <w:rFonts w:ascii="Times New Roman" w:hAnsi="Times New Roman"/>
          <w:sz w:val="20"/>
        </w:rPr>
      </w:pPr>
      <w:r>
        <w:rPr>
          <w:rFonts w:ascii="Times New Roman" w:hAnsi="Times New Roman"/>
          <w:b/>
          <w:i/>
          <w:color w:val="000000"/>
          <w:sz w:val="20"/>
        </w:rPr>
        <w:t>Disruptions to the normal functioning of the FDA and other government agencies could hinder their ability to perform and carry out important roles and activities on which the operation of our business relies, which could negatively impact our business.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In particular, actions by the Trump administration to limit U.S. federal agency budgets or personnel may result in reductions to the FDA’s budget, employee and operations, which may lead to disruptions, slower response times and longer review periods (notwithstanding Fast Track designation), potentially affecting our ability to progress development of our drug candidates. In the past, average review times at the agency have fluctuated, and this may continue in the future. In addition, government funding of other agencies on which our operations may rely is subject to the political process, which is inherently fluid and unpredictable.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government shutdowns (including continuation of the current shutdown of the U.S. federal government that began on October 1, 2025), if prolonged, could significantly impact the ability of government agencies upon which we rely (such as the FDA and SEC) to timely review and process our regulatory submissions, which could have a material adverse effect on our business. Disruptions at the FDA and other agencies may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involved in legal proceedings and may incur substantial litigation costs and liabilities that will adversely affect our business, financial condition and results of operations.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From time to time, we are involved in legal proceedings where we or other third parties are enforcing or seeking intellectual property rights, invalidating or limiting patent rights that have already been allowed or issued, or otherwise asserting proprietary rights through one or more potential legal remedies. Third parties have asserted, and may in the future assert, that we or our partners infringe their proprietary rights, such as patents and trade secrets, or have otherwise breached our obligations to them. A third party often bases its assertions on a claim that its patents cover the technology we use or our drug candidates or that we have misappropriated its confidential or proprietary information. Similar assertions of infringement could be based on future patents that may issue to third parties.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 partners against any claims. We are also regularly involved in opposition proceedings at the European Patent Office and in </w:t>
      </w:r>
      <w:r>
        <w:rPr>
          <w:rFonts w:ascii="Times New Roman" w:hAnsi="Times New Roman"/>
          <w:i/>
          <w:color w:val="000000"/>
          <w:sz w:val="20"/>
        </w:rPr>
        <w:t>inter partes</w:t>
      </w:r>
      <w:r>
        <w:rPr>
          <w:rFonts w:ascii="Times New Roman" w:hAnsi="Times New Roman"/>
          <w:color w:val="000000"/>
          <w:sz w:val="20"/>
        </w:rPr>
        <w:t xml:space="preserve"> review and re-examination proceedings at the U.S. Patent and Trademark Office where third parties seek to invalidate or limit the scope of our allowed patent applications or issued patents covering (among other things) our drug candidates and technologies. If a third party obtains injunctive or other equitable relief against us or our partners, they could effectively prevent us, or our partners, from developing or commercializing, or deriving revenue from, certain drugs or drug candidates in the U.S. and abroad. Costs associated with litigation, substantial damage claims, indemnification claims or royalties paid for licenses from third parties could have a material adverse effect on our business, financial condition and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From time to time, we may also be involved in legal proceedings other than those related to intellectual property, including securities actions or derivative actions or other complaints.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August 7, 2023, we filed a complaint in the United States District Court for the Northern District of California (the Court) against Eli Lilly and Company (Lilly)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On September 19, 2025, Lilly filed a motion to voluntarily dismiss its counterclaims with prejudice, which the Court granted on October 7, 2025. Lilly has filed a motion for summary judgment, and the court has not yet issued a decision on this motion, as well as other pre-trial motions filed by both parties that remain pending before the Court. Following the shutdown of the federal government, on October 14, 2025, the Court postponed the previously calendared October 27, 2025, starting date of the jury trial, and scheduled a status conference for the parties on December 11, 2025, following which we expect to learn additional details concerning the new starting date of the jury trial.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cost to us in initiating or defending any litigation or other proceeding, even if resolved in our favor, could be substantial, and litigation would divert our management’s attention. Uncertainties resulting from the initiation and continuation of patent litigation or other proceedings could delay our research and development efforts or result in financial implications either in terms of seeking license arrangements or payment of damages or royalties. There is no guarantee that our insurance coverage for damages resulting from any litigation or the settlement would be sufficient and could result in substantial financial risk to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Given the nature of lawsuits and complaints, we cannot reasonably estimate a potential future loss or a range of potential future losses for any of the legal proceedings we may be involved in. However, an unfavorable resolution could potentially have a material adverse effect on our business, financial condition, and results of operations or prospects, and potentially result in paying monetary damages. We have recorded no liability for any litigation matters in our Condensed Consolidated Balance Sheets at September 30, 2025.</w:t>
      </w:r>
    </w:p>
    <w:p>
      <w:pPr>
        <w:pStyle w:val="TextBody"/>
        <w:bidi w:val="0"/>
        <w:spacing w:before="180" w:after="283"/>
        <w:jc w:val="left"/>
        <w:rPr>
          <w:rFonts w:ascii="Times New Roman" w:hAnsi="Times New Roman"/>
          <w:sz w:val="20"/>
        </w:rPr>
      </w:pPr>
      <w:r>
        <w:rPr>
          <w:rFonts w:ascii="Times New Roman" w:hAnsi="Times New Roman"/>
          <w:b/>
          <w:i/>
          <w:color w:val="000000"/>
          <w:sz w:val="20"/>
        </w:rPr>
        <w:t>If we are found in violation of privacy and data protection laws, we may be required to pay penalties, be subjected to scrutiny by regulators or governmental entities, or be suspended from participation in government healthcare programs, which may adversely affect our business, financial condition and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business is subject to many laws and regulations intended to protect the privacy rights of individuals participating in our clinical trials and our employees, among others. For example, with regard to individuals participating in our clinical trials, various laws and regulations govern the safeguarding the privacy, integrity, availability, security and transmission of individually identifiable health information. In addition to federal laws and regulations in the United States, such as the HIPAA requirements relating to the privacy, security and transmission of individually identifiable health information, many state and foreign laws also govern the privacy and security of health information. These laws often differ from each other in significant ways, thus complicating compliance efforts. The global data protection landscape is rapidly evolving, and implementation standards and enforcement practices are likely to remain uncertain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California enacted the California Consumer Privacy Act (CCPA), which granted California residents expanded rights to access and delete their personal information, limit the sharing, use and disclosure of personal information, and receive detailed information about how their personal information is used. The CCPA provides for civil penalties for violations, as well as a private right of action for certain data breaches that may increase the risk of data breach litigation. The CCPA has increased our compliance costs and may expose us to additional liability. Similarly comprehensive privacy laws have become effective in more than a dozen other U.S. states, including, for example, Colorado, Connecticut, New Jersey, New Hampshire, Utah and Virginia, with several more expected to pass in the coming year. Like the CCPA, these laws grant consumers rights in relation to their personal information and impose new privacy and data security obligations on regulated businesses but contain key differences, including in their scope and application. In addition, certain states have passed or proposed laws to specifically regulate health information. For example, Washington’s My Health My Data Act, which came into force in March 2024, requires regulated entities to obtain consent to collect health information, grants consumers certain rights, including to request deletion, and provides for robust enforcement mechanisms, including enforcement by the Washington state attorney-general and a private right of action for consumer claims. At the federal level, the FTC has used its authority over “unfair or deceptive acts or practices” to impose stringent requirements on the collection and disclosure of sensitive categories of personal information, including health information, which may increase our potential liability and compliance costs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European Regulation 2016/679, known as the General Data Protection Regulation (EU GDPR), the implementing legislation of EU Member States, which became effective on May 25, 2018, and the EU GDPR as incorporated into the laws of the United Kingdom (UK GDPR) (together with the EU GDPR, the GDPR) apply to the collection and processing of personal data, including health-related information, by companies located in the EU and UK, or in certain circumstances, by companies located outside of the EU or UK and processing personal information of individuals located in the EU or UK. The GDPR is wide-ranging in scope and imposes strict obligations on the ability to process personal data, including health-related information, in particular in relation to their collection, use, disclosure and transfer. These include several requirements relating to, for example, (i) ensuring a legal basis or condition applies to the processing of personal data and, in some situations where required, obtaining the consent of the individuals to whom the personal data relates, (ii) the information provided to the individuals about how their personal information is used, (iii) responding to data subject requests, (iv) imposing requirements to notify the competent national data protection authorities and data subjects of personal data breaches, (v) implementing safeguards in connection with the security and confidentiality of the personal data, (vi) accountability requirements and (vii) taking certain measures when engaging third party processors. The GDPR prohibits the transfer of personal data to countries outside of the European Economic Area (EEA) and UK, such as the United States, which are not considered by the European Commission to provide an adequate level of data protection. Potential pecuniary fines for noncompliant companies may be up to the greater of €20 million or 4% of annual global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Regulators and legislators in the U.S. are increasingly scrutinizing and restricting certain personal data transfers and transactions involving foreign countries. For example, Executive Order 14117, </w:t>
      </w:r>
      <w:r>
        <w:rPr>
          <w:rFonts w:ascii="Times New Roman" w:hAnsi="Times New Roman"/>
          <w:i/>
          <w:color w:val="000000"/>
          <w:sz w:val="20"/>
        </w:rPr>
        <w:t>Preventing Access to Americans’ Bulk Sensitive Personal Data and United States Government-Related Data by Countries of Concern</w:t>
      </w:r>
      <w:r>
        <w:rPr>
          <w:rFonts w:ascii="Times New Roman" w:hAnsi="Times New Roman"/>
          <w:color w:val="000000"/>
          <w:sz w:val="20"/>
        </w:rPr>
        <w:t>, as implemented by U.S. Department of Justice rule dated December 27,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alleged failure to comply with data protection law, including with respect to information relating to our employees and/or clinical patients, could result in reputational harm, monetary fines (such as those imposed by the GDPR and CCPA), civil suits, civil penalties or criminal sanctions and requirements to disclose the breach, and the development of our drug candidates could be delayed. In addition, we continue to be subject to new and evolving data protection laws and regulations from a variety of jurisdictions, and there is a risk that our systems and processes for managing and protecting data may be found to be inadequate, which could materially adversely affect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Like many companies, we may use artificial intelligence (AI) technologies, including generative AI, to efficiently grow and manage our business. These technologies have increasingly been the focus of attention for lawmakers and regulators around the globe.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new and evolving technologies, such as AI, may present risks and challenges that can impact our business, including by posing security and other risks to our confidential information and proprietary information. As a result, we may be exposed to reputational harm and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certain AI technology can give rise to intellectual property risks, including compromises to proprietary intellectual property and intellectual property infringement. Additionally, we expect to see increasing regulation related to AI use and ethics, which may also significantly increase the burden and cost of research, development and compliance in this area. For example, the EU’s Artificial Intelligence Act (AI Act) entered into force on August 1, 2024, with most provisions becoming effective on August 2, 2026. This sweeping legislation, with broad extraterritorial reach, imposes significant obligations on providers and deployers of artificial intelligence systems and encourages ethical principles in the development and use of these systems. If we develop or deploy AI systems that are governed by the AI Act, we may be required to adopt higher standards of data quality, transparency and human oversight, and adhere to specific and potentially burdensome and costly ethical, accountability and administrative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Likewise, in the U.S.,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The FDA, for example, issued guidance on the use of artificial intelligence in medical devices, requiring detailed risk management and review processes to obtain approvals.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rapid evolution of AI will require the application of significant resources to help ensure that AI is implemented in accordance with applicable law and regulation and in a socially responsible manner and to minimize any real or perceived harmful impacts.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AI, to engage in illegal activities such as the theft and misuse of personal or proprietary information. Any of these effects could damage our reputation, result in the loss of valuable property and information, cause us to breach applicable laws and regulations, and adversely impact our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 research-based biopharmaceutical company with significant research and development operations, we are subject to extensive environmental, health, and safety laws and regulations, including those governing the use of hazardous materials. Our research and development activities and those who conduct these activities on our behalf involve the controlled use of chemicals, radioactive compounds, and other hazardous materials. The cost of compliance with environmental, health, and safety regulations (including, but not limited to, the handling and disposal of both hazardous and non-hazardous waste) is substantial. If an accident involving these materials or an environmental discharge were to occur, we could be held liable for any resulting damages, or face regulatory actions, which could exceed our resources or insurance coverage.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 Related to Investment and Securities</w:t>
      </w:r>
    </w:p>
    <w:p>
      <w:pPr>
        <w:pStyle w:val="TextBody"/>
        <w:bidi w:val="0"/>
        <w:spacing w:before="180" w:after="283"/>
        <w:jc w:val="left"/>
        <w:rPr>
          <w:rFonts w:ascii="Times New Roman" w:hAnsi="Times New Roman"/>
          <w:sz w:val="20"/>
        </w:rPr>
      </w:pPr>
      <w:r>
        <w:rPr>
          <w:rFonts w:ascii="Times New Roman" w:hAnsi="Times New Roman"/>
          <w:b/>
          <w:i/>
          <w:color w:val="000000"/>
          <w:sz w:val="20"/>
        </w:rPr>
        <w:t>The price of our common stock has, and may continue to fluctuate significantly, which could result in substantial losses for investors and securities class action and shareholder derivative litigation.</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stock price is volatile. During the three months ended September 30, 2025, based on closing prices on the NASDAQ Capital Market, the closing price of our common stock ranged from $21.68 to $60.33 per share (on a post-reverse split basis). In response to volatility in the price of our common stock in the past, plaintiffs’ securities litigation firms have sought information from us and/or shareholders as part of their investigation into alleged securities violations and breaches of duties (among other corporate misconduct allegations). Following their investigations, plaintiffs’ securities litigation firms have often initiated legal action, including the filing of class action lawsuits, derivative lawsuits, and other forms of redress. We expect our stock price to remain volatile and we continue to expect the initiation of legal actions by plaintiffs’ securities litigation firms following share price fluctuations. A variety of factors may have a significant effect on the market price of our common stock, including the risks described in this section titled “Risk Factors” and the following: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announcement of our 2022 Restructuring Plan and 2023 Restructuring Plan;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announcements of data from, or material developments in, our clinical studies and those of our collaboration partners, including data regarding efficacy and safety, delays in clinical development, regulatory approval or commercial launch – in particular, the results from clinical studies of bempegaldesleukin and rezpegaldesleukin have had a significant impact on our stock price;</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timing of outcomes from our clinical trials which can be difficult to predict particularly for clinical studies that have event-driven end points such as progression-free survival and overall survival;</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announcements by collaboration partners as to their plans or expectations related to drug candidates and approved biologics in which we have a substantial economic interest;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announcements regarding terminations or disputes under our collaboration agreements;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fluctuations in our results of operations;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developments in patent or other proprietary rights, including intellectual property litigation or entering into intellectual property license agreements and the costs associated with those arrangements;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announcements of technological innovations or new therapeutic products that may compete with our approved partnered products or products under development;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announcements of changes in governmental regulation affecting us or our competitors;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litigation brought against us or third parties to whom we have indemnification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public concern as to the safety of drug formulations developed by us or others;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financing needs and activities;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including the impacts of rising inflation and interest rates and global geopolitical tensions.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times, our stock price has been volatile even in the absence of significant news or developments. The stock prices of biotechnology companies and securities markets generally have been subject to dramatic price swings in recent years. In addition, as a result of our lower stock price, we are no longer a well-known seasoned issuer, which otherwise would allow us to, among other things, file automatically effective shelf registration statements. As a result, any attempt to access the public capital markets will be more expensive and subject to delays.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have implemented certain anti-takeover measures, which make it more difficult to acquire us, even though such acquisitions may be beneficial to our stockholders.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establishment of a classified board of directors such that not all members of the board may be elected at one time;</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lack of a provision for cumulative voting in the election of directors, which would otherwise allow less than a majority of stockholders to elect director candidates;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ability of our board to authorize the issuance of “blank check” preferred stock to increase the number of outstanding shares and thwart a takeover attempt;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prohibition on stockholder action by written consent, thereby requiring all stockholder actions to be taken at a meeting of stockholders;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establishment of advance notice requirements for nominations for election to the board of directors or for proposing matters that can be acted upon by stockholders at stockholder meetings;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limitations on who may call a special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significantly rely on information technology systems and infrastructure, and any failure, inadequacy, damage, interruption, compromise or breach, or security lapse of that technology within our internal computer systems and infrastructure, or those of our partners, vendors, CROs, CMOs or other contractors or consultants, may result in a material disruption of our development programs and our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part of our business, we collect, store and transmit large amounts of confidential information, proprietary or other sensitive information, including intellectual property and personal data. Despite the implementation of security measures, our internal computer systems and infrastructure or those of our partners, vendors, contract research organizations (CROs), contract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manufacturing organizations (CMOs) and other contractors and consultants are vulnerable to loss, damage, compromise, interruption, denial-of-service, unauthorized access, or misappropriation.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Cybersecurity incidents and data breaches have been increasing in frequency, levels of persistence, sophistication and intensity, and can include unauthorized activity by our employees, contractors and other third parties, as well as by third parties who use cyberattack techniques involving malware, ransomeware, hacking and social engineering fraud (including phishing attacks) and business email compromises, among others. Additionally, the risk of data breaches, cybersecurity incidents, cyber-attacks or other security events may be heightened as a result of new technologies, including artificial intelligence, and an increase in the number of employees who adopted a remote working environment, which may be less secure and more susceptible to hacking attacks or other security compromises or breaches. Our information technology systems and infrastructure, and those of our partners, vendors, CROs, CMOs or other contractors or consultants are also vulnerable to intentional or inadvertent wrongful conduct by employees and vendors, natural disasters, terrorism, war, telecommunication and electrical failures and the types of interruption, compromise and damage described above. Any such compromise or disruption, no matter the origin, may cause an interruption of our operations. For instance, the loss or misappropriation of preclinical data or data from any clinical trial involving our drug candidates could result in delays in our development and regulatory filing efforts and significantly increase our costs. In addition, the loss, corruption or unauthorized disclosure or misuse of our trade secrets, personal data or other confidential and/or proprietary or sensitive information could compromise the commercial viability of one or more of our programs, which would negatively affect our business. Also, the costs to us to investigate, mitigate and remediate cybersecurity incidents or compromises and comply with applicable legal obligations, including breach notification obligations to individuals, regulators, partners and others, could be significant and our reputation could be materially damaged. We could also be exposed to litigation or regulatory investigations or actions by state and federal governmental authorities and non-U.S. authorities, including fines, penalties, and other legal and financial exposure and liabilities.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such changes have been made and changes are likely to continue to occur in the future. Future changes in tax laws could have a material adverse effect on our business, cash flow, financial condition or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Global economic and political conditions may negatively affect us and may magnify certain risks that affect our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operations and performance may be affected by global economic and political conditions. The global economy has recently experienced volatility and disruptions. Adverse macroeconomic conditions, including inflation, economic recession, volatility in the financial markets, supply chain shortages, changes to fiscal and monetary policy or government budget dynamics, promulgations of new executive orders under the Trump administration, and other challenges in the global economy may adversely affect our business and those of our partners. Our operations and performance (or the operations and performance of our partners and service providers) may be negatively affected by political or civil unrest or military action, terrorist activity, and unstable governments and legal systems. For example, in late February 2022, Russia commenced a military invasion of Ukraine, and the sustained conflict in Ukraine, including the potential effects of sanctions and retaliatory cyber-attacks on the world economy and markets, has contributed to increased market volatility and uncertainty. In particular, sanctions imposed by the U.S., EU and other countries in response to the conflict between Russia and Ukraine and the potential response to such sanctions may have an adverse impact on our business, including our clinical trials, the financial markets and the global economy. In addition, in October 2023, conflicts arose in Israel and Gaza following terrorist attacks in Israel. As the conflicts between Ukraine and Russia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and escalating conflicts in the Middle East continue, further sanctions, retaliatory attacks, market volatility and uncertainty may occur, any of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global economic and political conditions, some third 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have led and could continue to lead to reduced demand for our and our collaboration partners’ drug products, which could have a material adverse effect on our product sales,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with rising international trade tensions or sanctions, our business may be adversely affected following new or increased tariffs. On April 2, 2025, the United States announced a 10% tariff on all foreign goods and individualized higher reciprocal tariffs on goods imported from certain countries. On April 9, 2025, the Trump administration announced a pause on the individualized reciprocal tariffs on all countries, except for China, for 90 days. On July 7, 2025, two days before the expiration of the announced pause, the president signed an executive order that certain tariff rates would expire on August 1, 2025. Tariffs could result in increased global clinical trial costs as a result of international transportation of clinical drug supplies, as well as the costs of materials and products imported into the U.S.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business could be negatively impacted by corporate citizenship and sustainability matters.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is an increased focus from certain investors, employees, and other stakeholders concerning corporate citizenship and sustainability matters, which include environmental concerns and social investments. We could fail to meet, or be perceived to fail to meet, the expectations of these certain investors, employees and other stakeholders concerning corporate citizenship and sustainability matters, thereby resulting in a negative impact to our business.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natural disasters or other catastrophic events strike, our business may be harmed.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corporate headquarters, where the majority of our operations are based, are located in the San Francisco Bay Area, a region known for seismic activity and a potential terrorist target. In the event of an earthquake or other natural disaster, catastrophic event caused by climate change, political instability, civil unrest, or terrorist event in the region, our business operations would be significantly disrupted and our financial condition would be harmed. Our collaboration partners and important vendors and suppliers to us or our collaboration partners may also be subject to catastrophic events, such as earthquakes, floods, wild fires, hurricanes, tornadoes and pandemics any of which could harm our business (including, for example, by disrupting supply chains important to the success of our business), results of operations and financial condition. We have not undertaken a systematic analysis of the potential consequences to our business, results of operations and 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sz w:val="20"/>
        </w:rPr>
      </w:pPr>
      <w:bookmarkStart w:id="23" w:name="item_2_unregistered_sales_of_equity"/>
      <w:bookmarkEnd w:id="23"/>
      <w:r>
        <w:rPr>
          <w:rFonts w:ascii="Times New Roman" w:hAnsi="Times New Roman"/>
          <w:b/>
          <w:color w:val="000000"/>
          <w:sz w:val="20"/>
        </w:rPr>
        <w:t>Item 2. Unregistered Sales of Equity Securities, Use of Proceeds and Issuer Purchases of Equity Securities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None, including no purchases of any class of our equity securities by us or any affiliate pursuant to any publicly announced repurchase plan in the three months ended September 30, 2025. </w:t>
      </w:r>
    </w:p>
    <w:p>
      <w:pPr>
        <w:pStyle w:val="TextBody"/>
        <w:bidi w:val="0"/>
        <w:spacing w:before="180" w:after="283"/>
        <w:jc w:val="left"/>
        <w:rPr>
          <w:rFonts w:ascii="Times New Roman" w:hAnsi="Times New Roman"/>
          <w:b/>
          <w:color w:val="000000"/>
          <w:sz w:val="20"/>
        </w:rPr>
      </w:pPr>
      <w:bookmarkStart w:id="24" w:name="item_3_defaults_upon_senior_securities"/>
      <w:bookmarkEnd w:id="24"/>
      <w:r>
        <w:rPr>
          <w:rFonts w:ascii="Times New Roman" w:hAnsi="Times New Roman"/>
          <w:b/>
          <w:color w:val="000000"/>
          <w:sz w:val="20"/>
        </w:rPr>
        <w:t>Item 3. Defaults Upon Senior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left"/>
        <w:rPr>
          <w:rFonts w:ascii="Times New Roman" w:hAnsi="Times New Roman"/>
          <w:sz w:val="20"/>
        </w:rPr>
      </w:pPr>
      <w:bookmarkStart w:id="25" w:name="item_4_mine_safety_disclosures"/>
      <w:bookmarkEnd w:id="25"/>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283"/>
        <w:jc w:val="left"/>
        <w:rPr>
          <w:rFonts w:ascii="Times New Roman" w:hAnsi="Times New Roman"/>
          <w:b/>
          <w:color w:val="000000"/>
          <w:sz w:val="20"/>
        </w:rPr>
      </w:pPr>
      <w:bookmarkStart w:id="26" w:name="item_5_other_information"/>
      <w:bookmarkEnd w:id="26"/>
      <w:r>
        <w:rPr>
          <w:rFonts w:ascii="Times New Roman" w:hAnsi="Times New Roman"/>
          <w:b/>
          <w:color w:val="000000"/>
          <w:sz w:val="20"/>
        </w:rPr>
        <w:t>Item 5. Other Information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 Director and Section 16 Officer Trading Arrangements and Policies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Howard W. Robin, our President and Chief Executive Officer, previously entered into a pre-arranged stock trading plan intended to satisfy the affirmative defense of Rule10b5-1(c) under the Exchange Act on May 22, 2025, which provided for the sale of up to an aggregate 19,998 (on a post-reverse split basis) shares of the Company’s common stock (comprised of previously vested restricted stock units and exercised stock options). The plan terminated on September 9, 2025 upon completion of all transactions thereunder.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the fiscal quarter ended September 30, 2025, no other directors or Section 16 officers of the Company adopted, modified, or terminated a “Rule 10b5-1 trading arrangement” or a “non-Rule 10b5-1 trading arrangement” as each term is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7" w:name="item_6_exhibits"/>
      <w:bookmarkEnd w:id="2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Exhibits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Except as so indicated in Exhibit 32.1, the following exhibits are filed as part of, or incorporated by reference into,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8"/>
        <w:gridCol w:w="146"/>
        <w:gridCol w:w="8673"/>
        <w:gridCol w:w="146"/>
        <w:gridCol w:w="192"/>
      </w:tblGrid>
      <w:tr>
        <w:trPr/>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48"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73"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Description of Documents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2">
              <w:r>
                <w:rPr>
                  <w:rStyle w:val="InternetLink"/>
                  <w:rFonts w:ascii="Times New Roman" w:hAnsi="Times New Roman"/>
                  <w:color w:val="0000FF"/>
                  <w:sz w:val="20"/>
                  <w:u w:val="single"/>
                </w:rPr>
                <w:t>Certificate of Incorporation of Inhale Therapeutic Systems (Delaware),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3">
              <w:r>
                <w:rPr>
                  <w:rStyle w:val="InternetLink"/>
                  <w:rFonts w:ascii="Times New Roman" w:hAnsi="Times New Roman"/>
                  <w:color w:val="0000FF"/>
                  <w:sz w:val="20"/>
                  <w:u w:val="single"/>
                </w:rPr>
                <w:t>Certificate of Amendment of the Amended Certificate of Incorporation of Inhale Therapeutic Systems,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4">
              <w:r>
                <w:rPr>
                  <w:rStyle w:val="InternetLink"/>
                  <w:rFonts w:ascii="Times New Roman" w:hAnsi="Times New Roman"/>
                  <w:color w:val="0000FF"/>
                  <w:sz w:val="20"/>
                  <w:u w:val="single"/>
                </w:rPr>
                <w:t>Certificate of Ownership and Merger of Nektar Therapeutics.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5">
              <w:r>
                <w:rPr>
                  <w:rStyle w:val="InternetLink"/>
                  <w:rFonts w:ascii="Times New Roman" w:hAnsi="Times New Roman"/>
                  <w:color w:val="0000FF"/>
                  <w:sz w:val="20"/>
                  <w:u w:val="single"/>
                </w:rPr>
                <w:t>Certificate of Ownership and Merger of Nektar Therapeutics AL, Corporation with and into Nektar Therapeutics.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6">
              <w:r>
                <w:rPr>
                  <w:rStyle w:val="InternetLink"/>
                  <w:rFonts w:ascii="Times New Roman" w:hAnsi="Times New Roman"/>
                  <w:color w:val="0000FF"/>
                  <w:sz w:val="20"/>
                  <w:u w:val="single"/>
                </w:rPr>
                <w:t>Certificate of Amendment to the Amended Certificate of Incorporation of Nektar Therapeutics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 xml:space="preserve">3.6(6)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7">
              <w:r>
                <w:rPr>
                  <w:rStyle w:val="InternetLink"/>
                  <w:rFonts w:ascii="Times New Roman" w:hAnsi="Times New Roman"/>
                  <w:color w:val="0000FF"/>
                  <w:sz w:val="20"/>
                  <w:u w:val="single"/>
                </w:rPr>
                <w:t>Certificate of Amendment to the Amended Certificate of Incorporation of Nektar Therapeutics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8">
              <w:r>
                <w:rPr>
                  <w:rStyle w:val="InternetLink"/>
                  <w:rFonts w:ascii="Times New Roman" w:hAnsi="Times New Roman"/>
                  <w:color w:val="0000FF"/>
                  <w:sz w:val="20"/>
                  <w:u w:val="single"/>
                </w:rPr>
                <w:t>Amended and Restated Bylaws of Nektar Therapeutics.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Nektar Therapeutics Amended and Restated 2017 Performance Incentive Plan, as amended++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31.1(8)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w:anchor="nktr-ex31_1.htm">
              <w:r>
                <w:rPr>
                  <w:rStyle w:val="InternetLink"/>
                  <w:rFonts w:ascii="Times New Roman" w:hAnsi="Times New Roman"/>
                  <w:color w:val="0000FF"/>
                  <w:sz w:val="20"/>
                  <w:u w:val="single"/>
                </w:rPr>
                <w:t>Certification of Nektar Therapeutics’ principal executive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31.2(8)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w:anchor="nktr-ex31_2.htm">
              <w:r>
                <w:rPr>
                  <w:rStyle w:val="InternetLink"/>
                  <w:rFonts w:ascii="Times New Roman" w:hAnsi="Times New Roman"/>
                  <w:color w:val="0000FF"/>
                  <w:sz w:val="20"/>
                  <w:u w:val="single"/>
                </w:rPr>
                <w:t>Certification of Nektar Therapeutics’ principal financial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w:anchor="nktr-ex32_1.htm">
              <w:r>
                <w:rPr>
                  <w:rStyle w:val="InternetLink"/>
                  <w:rFonts w:ascii="Times New Roman" w:hAnsi="Times New Roman"/>
                  <w:color w:val="0000FF"/>
                  <w:sz w:val="20"/>
                  <w:u w:val="single"/>
                </w:rPr>
                <w:t>Section 1350 Certifications.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101.SCH(8)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101.INS(8)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104(8)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Incorporated by reference to Exhibit 3.1 to Nektar Therapeutics’ Quarterly Report on Form 10-Q, for the quarter ended June 30, 1998.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3.3 to Nektar Therapeutics’ Quarterly Report on Form 10-Q, for the quarter ended June 30, 2000.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3.1 to Nektar Therapeutics’ Current Report on Form 8-K, filed with the SEC on January 23, 2003.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Incorporated by reference to Exhibit 3.6 to Nektar Therapeutics’ Annual Report on Form 10-K, for the year ended December 31, 2009.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3.1 to Nektar Therapeutics’ Current Report on Form 8-K, filed with the SEC on June 6,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3.12 to Nektar Therapeutics’ Current Report on Form 8-K, filed with the SEC on June 6,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3.1 to Nektar Therapeutics’ Current Report on Form 8-K, filed with the SEC on December 21, 2020.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Filed herewith.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8" w:name="signatures"/>
      <w:bookmarkEnd w:id="2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358" w:type="dxa"/>
        <w:jc w:val="left"/>
        <w:tblInd w:w="0" w:type="dxa"/>
        <w:tblLayout w:type="fixed"/>
        <w:tblCellMar>
          <w:top w:w="28" w:type="dxa"/>
          <w:left w:w="28" w:type="dxa"/>
          <w:bottom w:w="28" w:type="dxa"/>
          <w:right w:w="28" w:type="dxa"/>
        </w:tblCellMar>
      </w:tblPr>
      <w:tblGrid>
        <w:gridCol w:w="161"/>
        <w:gridCol w:w="406"/>
        <w:gridCol w:w="27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9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SANDRA GARDINER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Sandra Gardiner</w:t>
            </w:r>
          </w:p>
          <w:p>
            <w:pPr>
              <w:pStyle w:val="TableContents"/>
              <w:bidi w:val="0"/>
              <w:jc w:val="left"/>
              <w:rPr>
                <w:rFonts w:ascii="Times New Roman" w:hAnsi="Times New Roman"/>
                <w:b/>
                <w:color w:val="000000"/>
                <w:sz w:val="20"/>
              </w:rPr>
            </w:pPr>
            <w:r>
              <w:rPr>
                <w:rFonts w:ascii="Times New Roman" w:hAnsi="Times New Roman"/>
                <w:b/>
                <w:color w:val="000000"/>
                <w:sz w:val="20"/>
              </w:rPr>
              <w:t>Interim 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bookmarkStart w:id="29" w:name="nktr-ex31_1.htm"/>
      <w:bookmarkStart w:id="30" w:name="ksnktrex31_1"/>
      <w:bookmarkEnd w:id="29"/>
      <w:bookmarkEnd w:id="30"/>
      <w:r>
        <w:rPr/>
        <w:t> </w:t>
      </w:r>
      <w:r>
        <w:br w:type="page"/>
      </w:r>
    </w:p>
    <w:p>
      <w:pPr>
        <w:pStyle w:val="TextBody"/>
        <w:bidi w:val="0"/>
        <w:jc w:val="right"/>
        <w:rPr>
          <w:rFonts w:ascii="Times New Roman" w:hAnsi="Times New Roman"/>
          <w:b/>
          <w:color w:val="000000"/>
          <w:sz w:val="20"/>
        </w:rPr>
      </w:pPr>
      <w:bookmarkStart w:id="31" w:name="section1"/>
      <w:bookmarkEnd w:id="31"/>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Howard W. Robin,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September 30, 2025 of Nektar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388" w:type="dxa"/>
        <w:jc w:val="left"/>
        <w:tblInd w:w="0" w:type="dxa"/>
        <w:tblLayout w:type="fixed"/>
        <w:tblCellMar>
          <w:top w:w="28" w:type="dxa"/>
          <w:left w:w="28" w:type="dxa"/>
          <w:bottom w:w="28" w:type="dxa"/>
          <w:right w:w="28" w:type="dxa"/>
        </w:tblCellMar>
      </w:tblPr>
      <w:tblGrid>
        <w:gridCol w:w="2101"/>
        <w:gridCol w:w="146"/>
        <w:gridCol w:w="414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HOWARD W. ROBIN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55" w:after="283"/>
              <w:jc w:val="left"/>
              <w:rPr>
                <w:rFonts w:ascii="Times New Roman" w:hAnsi="Times New Roman"/>
                <w:b/>
                <w:color w:val="000000"/>
                <w:sz w:val="20"/>
              </w:rPr>
            </w:pPr>
            <w:r>
              <w:rPr>
                <w:rFonts w:ascii="Times New Roman" w:hAnsi="Times New Roman"/>
                <w:b/>
                <w:color w:val="000000"/>
                <w:sz w:val="20"/>
              </w:rPr>
              <w:t>Howard W. Robin</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Chief Executive Officer, President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nktr-ex31_2.htm"/>
      <w:bookmarkStart w:id="33" w:name="ksnktrex31_2"/>
      <w:bookmarkEnd w:id="32"/>
      <w:bookmarkEnd w:id="33"/>
      <w:r>
        <w:rPr/>
        <w:t> </w:t>
      </w:r>
      <w:r>
        <w:br w:type="page"/>
      </w:r>
    </w:p>
    <w:p>
      <w:pPr>
        <w:pStyle w:val="TextBody"/>
        <w:bidi w:val="0"/>
        <w:jc w:val="right"/>
        <w:rPr>
          <w:rFonts w:ascii="Times New Roman" w:hAnsi="Times New Roman"/>
          <w:b/>
          <w:color w:val="000000"/>
          <w:sz w:val="20"/>
        </w:rPr>
      </w:pPr>
      <w:bookmarkStart w:id="34" w:name="section11"/>
      <w:bookmarkEnd w:id="34"/>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jc w:val="left"/>
        <w:rPr>
          <w:rFonts w:ascii="Times New Roman" w:hAnsi="Times New Roman"/>
          <w:color w:val="000000"/>
          <w:sz w:val="20"/>
        </w:rPr>
      </w:pPr>
      <w:r>
        <w:rPr>
          <w:rFonts w:ascii="Times New Roman" w:hAnsi="Times New Roman"/>
          <w:color w:val="000000"/>
          <w:sz w:val="20"/>
        </w:rPr>
        <w:t>I, Sandra Gardiner,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September 30, 2025 of Nektar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038" w:type="dxa"/>
        <w:jc w:val="left"/>
        <w:tblInd w:w="0" w:type="dxa"/>
        <w:tblLayout w:type="fixed"/>
        <w:tblCellMar>
          <w:top w:w="28" w:type="dxa"/>
          <w:left w:w="28" w:type="dxa"/>
          <w:bottom w:w="28" w:type="dxa"/>
          <w:right w:w="28" w:type="dxa"/>
        </w:tblCellMar>
      </w:tblPr>
      <w:tblGrid>
        <w:gridCol w:w="2101"/>
        <w:gridCol w:w="146"/>
        <w:gridCol w:w="27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SANDRA GARDINER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spacing w:before="55" w:after="283"/>
              <w:jc w:val="left"/>
              <w:rPr>
                <w:rFonts w:ascii="Times New Roman" w:hAnsi="Times New Roman"/>
                <w:b/>
                <w:color w:val="000000"/>
                <w:sz w:val="20"/>
              </w:rPr>
            </w:pPr>
            <w:r>
              <w:rPr>
                <w:rFonts w:ascii="Times New Roman" w:hAnsi="Times New Roman"/>
                <w:b/>
                <w:color w:val="000000"/>
                <w:sz w:val="20"/>
              </w:rPr>
              <w:t>Sandra Gardiner</w:t>
            </w:r>
          </w:p>
          <w:p>
            <w:pPr>
              <w:pStyle w:val="TableContents"/>
              <w:bidi w:val="0"/>
              <w:jc w:val="left"/>
              <w:rPr>
                <w:rFonts w:ascii="Times New Roman" w:hAnsi="Times New Roman"/>
                <w:b/>
                <w:color w:val="000000"/>
                <w:sz w:val="20"/>
              </w:rPr>
            </w:pPr>
            <w:r>
              <w:rPr>
                <w:rFonts w:ascii="Times New Roman" w:hAnsi="Times New Roman"/>
                <w:b/>
                <w:color w:val="000000"/>
                <w:sz w:val="20"/>
              </w:rPr>
              <w:t>Interim Chief Financial Officer</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nktr-ex32_1.htm"/>
      <w:bookmarkStart w:id="36" w:name="ksnktrex32_1"/>
      <w:bookmarkEnd w:id="35"/>
      <w:bookmarkEnd w:id="36"/>
      <w:r>
        <w:rPr/>
        <w:t> </w:t>
      </w:r>
      <w:r>
        <w:br w:type="page"/>
      </w:r>
    </w:p>
    <w:p>
      <w:pPr>
        <w:pStyle w:val="TextBody"/>
        <w:bidi w:val="0"/>
        <w:jc w:val="right"/>
        <w:rPr>
          <w:rFonts w:ascii="Times New Roman" w:hAnsi="Times New Roman"/>
          <w:b/>
          <w:color w:val="000000"/>
          <w:sz w:val="20"/>
        </w:rPr>
      </w:pPr>
      <w:bookmarkStart w:id="37" w:name="section12"/>
      <w:bookmarkEnd w:id="37"/>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SECTION 1350 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Howard W. Robin, Chief Executive Officer, President and Director of Nektar Therapeutics (the “Company”), and Sandra Gardiner, Interim Chief Financial Officer (Principal Financial Officer) of the Company, each hereby certifies that, to the best of his or her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three months ended September 30, 2025,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tbl>
      <w:tblPr>
        <w:tblW w:w="7093" w:type="dxa"/>
        <w:jc w:val="left"/>
        <w:tblInd w:w="0" w:type="dxa"/>
        <w:tblLayout w:type="fixed"/>
        <w:tblCellMar>
          <w:top w:w="28" w:type="dxa"/>
          <w:left w:w="28" w:type="dxa"/>
          <w:bottom w:w="28" w:type="dxa"/>
          <w:right w:w="28" w:type="dxa"/>
        </w:tblCellMar>
      </w:tblPr>
      <w:tblGrid>
        <w:gridCol w:w="4111"/>
        <w:gridCol w:w="146"/>
        <w:gridCol w:w="283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411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HOWARD W. ROBIN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SANDRA GARDINER</w:t>
            </w:r>
          </w:p>
        </w:tc>
      </w:tr>
      <w:tr>
        <w:trPr/>
        <w:tc>
          <w:tcPr>
            <w:tcW w:w="4111" w:type="dxa"/>
            <w:tcBorders/>
            <w:tcMar>
              <w:top w:w="0" w:type="dxa"/>
              <w:left w:w="0" w:type="dxa"/>
              <w:bottom w:w="0" w:type="dxa"/>
              <w:right w:w="0" w:type="dxa"/>
            </w:tcMar>
            <w:vAlign w:val="center"/>
          </w:tcPr>
          <w:p>
            <w:pPr>
              <w:pStyle w:val="TableContents"/>
              <w:bidi w:val="0"/>
              <w:spacing w:before="55" w:after="283"/>
              <w:jc w:val="left"/>
              <w:rPr>
                <w:rFonts w:ascii="Times New Roman" w:hAnsi="Times New Roman"/>
                <w:b/>
                <w:color w:val="000000"/>
                <w:sz w:val="20"/>
              </w:rPr>
            </w:pPr>
            <w:r>
              <w:rPr>
                <w:rFonts w:ascii="Times New Roman" w:hAnsi="Times New Roman"/>
                <w:b/>
                <w:color w:val="000000"/>
                <w:sz w:val="20"/>
              </w:rPr>
              <w:t>Howard W. Robin</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Chief Executive Officer, President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55" w:after="283"/>
              <w:jc w:val="left"/>
              <w:rPr>
                <w:rFonts w:ascii="Times New Roman" w:hAnsi="Times New Roman"/>
                <w:b/>
                <w:color w:val="000000"/>
                <w:sz w:val="20"/>
              </w:rPr>
            </w:pPr>
            <w:r>
              <w:rPr>
                <w:rFonts w:ascii="Times New Roman" w:hAnsi="Times New Roman"/>
                <w:b/>
                <w:color w:val="000000"/>
                <w:sz w:val="20"/>
              </w:rPr>
              <w:t>Sandra Gardiner</w:t>
            </w:r>
          </w:p>
          <w:p>
            <w:pPr>
              <w:pStyle w:val="TableContents"/>
              <w:bidi w:val="0"/>
              <w:jc w:val="left"/>
              <w:rPr>
                <w:rFonts w:ascii="Times New Roman" w:hAnsi="Times New Roman"/>
                <w:sz w:val="20"/>
              </w:rPr>
            </w:pPr>
            <w:r>
              <w:rPr>
                <w:rFonts w:ascii="Times New Roman" w:hAnsi="Times New Roman"/>
                <w:b/>
                <w:color w:val="000000"/>
                <w:sz w:val="20"/>
              </w:rPr>
              <w:t>Interim Chief Financial Officer</w:t>
            </w:r>
            <w:r>
              <w:rPr>
                <w:rFonts w:ascii="Times New Roman" w:hAnsi="Times New Roman"/>
                <w:color w:val="000000"/>
                <w:sz w:val="20"/>
              </w:rPr>
              <w:t xml:space="preserve"> </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rFonts w:ascii="Times New Roman" w:hAnsi="Times New Roman"/>
          <w:b/>
          <w:color w:val="000000"/>
          <w:sz w:val="12"/>
        </w:rPr>
      </w:pPr>
      <w:r>
        <w:rPr>
          <w:rFonts w:ascii="Times New Roman" w:hAnsi="Times New Roman"/>
          <w:b/>
          <w:color w:val="000000"/>
          <w:sz w:val="12"/>
        </w:rPr>
        <w:t>___________________________________________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 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06709/0001047469-98-031070.txt" TargetMode="External"/><Relationship Id="rId3" Type="http://schemas.openxmlformats.org/officeDocument/2006/relationships/hyperlink" Target="https://www.sec.gov/Archives/edgar/data/906709/000091205700037283/ex-3_3.txt" TargetMode="External"/><Relationship Id="rId4" Type="http://schemas.openxmlformats.org/officeDocument/2006/relationships/hyperlink" Target="https://www.sec.gov/Archives/edgar/data/906709/000104746903002325/a2101294zex-3_1.htm" TargetMode="External"/><Relationship Id="rId5" Type="http://schemas.openxmlformats.org/officeDocument/2006/relationships/hyperlink" Target="https://www.sec.gov/Archives/edgar/data/906709/000114420410011093/v176023_ex3-6.htm" TargetMode="External"/><Relationship Id="rId6" Type="http://schemas.openxmlformats.org/officeDocument/2006/relationships/hyperlink" Target="https://www.sec.gov/Archives/edgar/data/906709/000121390025052141/ea024492901ex3-1_nektar.htm" TargetMode="External"/><Relationship Id="rId7" Type="http://schemas.openxmlformats.org/officeDocument/2006/relationships/hyperlink" Target="https://www.sec.gov/Archives/edgar/data/906709/000121390025052141/ea024492901ex3-2_nektar.htm" TargetMode="External"/><Relationship Id="rId8" Type="http://schemas.openxmlformats.org/officeDocument/2006/relationships/hyperlink" Target="https://www.sec.gov/Archives/edgar/data/906709/000121390022080498/ea170222ex3-1_nektartherap.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40463</Words>
  <Characters>227512</Characters>
  <CharactersWithSpaces>268656</CharactersWithSpaces>
  <Paragraphs>6098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