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0" w:name="ea0308987-s8_nektar.htm"/>
      <w:bookmarkStart w:id="1" w:name="ksea0308987s8_nektar"/>
      <w:bookmarkEnd w:id="0"/>
      <w:bookmarkEnd w:id="1"/>
      <w:r>
        <w:rPr>
          <w:rFonts w:ascii="Times New Roman;Times;Serif" w:hAnsi="Times New Roman;Times;Serif"/>
          <w:b/>
          <w:i w:val="false"/>
          <w:caps w:val="false"/>
          <w:smallCaps w:val="false"/>
          <w:sz w:val="20"/>
        </w:rPr>
        <w:t>As filed with the Securities and Exchange Commission on October 19, 2026</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S-8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NEKTAR THERAPEUTICS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5185" w:type="dxa"/>
        <w:jc w:val="left"/>
        <w:tblInd w:w="0" w:type="dxa"/>
        <w:tblLayout w:type="fixed"/>
        <w:tblCellMar>
          <w:top w:w="0" w:type="dxa"/>
          <w:left w:w="0" w:type="dxa"/>
          <w:bottom w:w="28" w:type="dxa"/>
          <w:right w:w="0" w:type="dxa"/>
        </w:tblCellMar>
      </w:tblPr>
      <w:tblGrid>
        <w:gridCol w:w="2930"/>
        <w:gridCol w:w="60"/>
        <w:gridCol w:w="2195"/>
      </w:tblGrid>
      <w:tr>
        <w:trPr/>
        <w:tc>
          <w:tcPr>
            <w:tcW w:w="2930" w:type="dxa"/>
            <w:tcBorders>
              <w:bottom w:val="single" w:sz="12" w:space="0" w:color="000000"/>
            </w:tcBorders>
            <w:vAlign w:val="center"/>
          </w:tcPr>
          <w:p>
            <w:pPr>
              <w:pStyle w:val="TableContents"/>
              <w:bidi w:val="0"/>
              <w:spacing w:before="0" w:after="283"/>
              <w:jc w:val="center"/>
              <w:rPr>
                <w:b/>
              </w:rPr>
            </w:pPr>
            <w:r>
              <w:rPr>
                <w:b/>
              </w:rPr>
              <w:t>Delaware</w:t>
            </w:r>
          </w:p>
        </w:tc>
        <w:tc>
          <w:tcPr>
            <w:tcW w:w="60" w:type="dxa"/>
            <w:tcBorders/>
            <w:tcMar>
              <w:bottom w:w="0" w:type="dxa"/>
            </w:tcMar>
            <w:vAlign w:val="center"/>
          </w:tcPr>
          <w:p>
            <w:pPr>
              <w:pStyle w:val="TableContents"/>
              <w:bidi w:val="0"/>
              <w:spacing w:before="0" w:after="283"/>
              <w:jc w:val="center"/>
              <w:rPr/>
            </w:pPr>
            <w:r>
              <w:rPr/>
              <w:t> </w:t>
            </w:r>
          </w:p>
        </w:tc>
        <w:tc>
          <w:tcPr>
            <w:tcW w:w="2195" w:type="dxa"/>
            <w:tcBorders>
              <w:bottom w:val="single" w:sz="12" w:space="0" w:color="000000"/>
            </w:tcBorders>
            <w:vAlign w:val="center"/>
          </w:tcPr>
          <w:p>
            <w:pPr>
              <w:pStyle w:val="TableContents"/>
              <w:bidi w:val="0"/>
              <w:spacing w:before="0" w:after="283"/>
              <w:jc w:val="center"/>
              <w:rPr>
                <w:b/>
                <w:sz w:val="20"/>
              </w:rPr>
            </w:pPr>
            <w:r>
              <w:rPr>
                <w:b/>
                <w:sz w:val="20"/>
              </w:rPr>
              <w:t>94-3134940</w:t>
            </w:r>
          </w:p>
        </w:tc>
      </w:tr>
      <w:tr>
        <w:trPr/>
        <w:tc>
          <w:tcPr>
            <w:tcW w:w="2930" w:type="dxa"/>
            <w:tcBorders/>
            <w:tcMar>
              <w:bottom w:w="0" w:type="dxa"/>
            </w:tcMar>
            <w:vAlign w:val="center"/>
          </w:tcPr>
          <w:p>
            <w:pPr>
              <w:pStyle w:val="TableContents"/>
              <w:bidi w:val="0"/>
              <w:spacing w:before="0" w:after="283"/>
              <w:jc w:val="center"/>
              <w:rPr/>
            </w:pPr>
            <w:r>
              <w:rPr/>
              <w:t xml:space="preserve">(State or Other Jurisdiction of </w:t>
              <w:br/>
              <w:t>Incorporation or Organization)</w:t>
            </w:r>
          </w:p>
        </w:tc>
        <w:tc>
          <w:tcPr>
            <w:tcW w:w="60" w:type="dxa"/>
            <w:tcBorders/>
            <w:tcMar>
              <w:bottom w:w="0" w:type="dxa"/>
            </w:tcMar>
            <w:vAlign w:val="center"/>
          </w:tcPr>
          <w:p>
            <w:pPr>
              <w:pStyle w:val="TableContents"/>
              <w:bidi w:val="0"/>
              <w:spacing w:before="0" w:after="283"/>
              <w:jc w:val="center"/>
              <w:rPr/>
            </w:pPr>
            <w:r>
              <w:rPr/>
              <w:t> </w:t>
            </w:r>
          </w:p>
        </w:tc>
        <w:tc>
          <w:tcPr>
            <w:tcW w:w="2195" w:type="dxa"/>
            <w:tcBorders/>
            <w:tcMar>
              <w:bottom w:w="0" w:type="dxa"/>
            </w:tcMar>
            <w:vAlign w:val="center"/>
          </w:tcPr>
          <w:p>
            <w:pPr>
              <w:pStyle w:val="TableContents"/>
              <w:bidi w:val="0"/>
              <w:spacing w:before="0" w:after="283"/>
              <w:jc w:val="center"/>
              <w:rPr/>
            </w:pPr>
            <w:r>
              <w:rPr/>
              <w:t>(I.R.S. Employer</w:t>
              <w:b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455 Mission Bay Boulevard South</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San Francisco, California 94158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and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Nektar Therapeutics 2025 Inducement Plan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Title of the Plan)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Elizabeth Zhang</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Vice President, Legal and Secretary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Nektar Therapeutics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455 Mission Bay Boulevard South</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San Francisco, California 94158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415-482-5300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and Telephone Number, Including Area Code, of Agent for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5225" w:type="dxa"/>
        <w:jc w:val="left"/>
        <w:tblInd w:w="0" w:type="dxa"/>
        <w:tblLayout w:type="fixed"/>
        <w:tblCellMar>
          <w:top w:w="0" w:type="dxa"/>
          <w:left w:w="0" w:type="dxa"/>
          <w:bottom w:w="0" w:type="dxa"/>
          <w:right w:w="0" w:type="dxa"/>
        </w:tblCellMar>
      </w:tblPr>
      <w:tblGrid>
        <w:gridCol w:w="2135"/>
        <w:gridCol w:w="230"/>
        <w:gridCol w:w="2615"/>
        <w:gridCol w:w="245"/>
      </w:tblGrid>
      <w:tr>
        <w:trPr/>
        <w:tc>
          <w:tcPr>
            <w:tcW w:w="2135" w:type="dxa"/>
            <w:tcBorders/>
            <w:vAlign w:val="center"/>
          </w:tcPr>
          <w:p>
            <w:pPr>
              <w:pStyle w:val="TableContents"/>
              <w:bidi w:val="0"/>
              <w:spacing w:before="0" w:after="283"/>
              <w:jc w:val="left"/>
              <w:rPr/>
            </w:pPr>
            <w:r>
              <w:rPr/>
              <w:t>Large accelerated filer</w:t>
            </w:r>
          </w:p>
        </w:tc>
        <w:tc>
          <w:tcPr>
            <w:tcW w:w="230" w:type="dxa"/>
            <w:tcBorders/>
            <w:vAlign w:val="center"/>
          </w:tcPr>
          <w:p>
            <w:pPr>
              <w:pStyle w:val="TableContents"/>
              <w:bidi w:val="0"/>
              <w:spacing w:before="0" w:after="283"/>
              <w:jc w:val="left"/>
              <w:rPr/>
            </w:pPr>
            <w:r>
              <w:rPr/>
              <w:t>☐</w:t>
            </w:r>
          </w:p>
        </w:tc>
        <w:tc>
          <w:tcPr>
            <w:tcW w:w="2615" w:type="dxa"/>
            <w:tcBorders/>
            <w:vAlign w:val="center"/>
          </w:tcPr>
          <w:p>
            <w:pPr>
              <w:pStyle w:val="TableContents"/>
              <w:bidi w:val="0"/>
              <w:spacing w:before="0" w:after="283"/>
              <w:jc w:val="left"/>
              <w:rPr/>
            </w:pPr>
            <w:r>
              <w:rPr/>
              <w:t>Accelerated filer</w:t>
            </w:r>
          </w:p>
        </w:tc>
        <w:tc>
          <w:tcPr>
            <w:tcW w:w="245" w:type="dxa"/>
            <w:tcBorders/>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283"/>
              <w:jc w:val="left"/>
              <w:rPr/>
            </w:pPr>
            <w:r>
              <w:rPr/>
              <w:t>Non-accelerated filer</w:t>
            </w:r>
          </w:p>
        </w:tc>
        <w:tc>
          <w:tcPr>
            <w:tcW w:w="230" w:type="dxa"/>
            <w:tcBorders/>
            <w:vAlign w:val="center"/>
          </w:tcPr>
          <w:p>
            <w:pPr>
              <w:pStyle w:val="TableContents"/>
              <w:bidi w:val="0"/>
              <w:spacing w:before="0" w:after="283"/>
              <w:jc w:val="left"/>
              <w:rPr/>
            </w:pPr>
            <w:r>
              <w:rPr/>
              <w:t>☒</w:t>
            </w:r>
          </w:p>
        </w:tc>
        <w:tc>
          <w:tcPr>
            <w:tcW w:w="2615" w:type="dxa"/>
            <w:tcBorders/>
            <w:vAlign w:val="center"/>
          </w:tcPr>
          <w:p>
            <w:pPr>
              <w:pStyle w:val="TableContents"/>
              <w:bidi w:val="0"/>
              <w:spacing w:before="0" w:after="283"/>
              <w:jc w:val="left"/>
              <w:rPr/>
            </w:pPr>
            <w:r>
              <w:rPr/>
              <w:t>Smaller reporting company</w:t>
            </w:r>
          </w:p>
        </w:tc>
        <w:tc>
          <w:tcPr>
            <w:tcW w:w="245" w:type="dxa"/>
            <w:tcBorders/>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Emerging growth company</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Times;Serif" w:hAnsi="Times New Roman;Times;Serif"/>
          <w:b w:val="false"/>
          <w:i w:val="false"/>
          <w:caps w:val="false"/>
          <w:smallCaps w:val="false"/>
          <w:sz w:val="20"/>
        </w:rPr>
        <w:t xml:space="preserve">On September 23, 2026, the Board of Directors (the “Board”) of Nektar Therapeutics (the “Registrant”) approved an amendment to the Registrant’s 2025 Inducement Plan (as amended, the “Plan”), to increase the number of shares of common stock, par value $0.0001 per share (the “Common Stock”), reserved and available for issuance under the Plan by 250,000 shares for a total of 500,000 shares. This Registration Statement on Form S-8 (the “Registration Statement”) registers these 250,000 additional shares of Common Stock. The additional shares available for issuance under the Plan are of the same class as other securities for which registration statements on Form S-8 relating to the Registrant’s employee benefit plans were previously filed and are effective. Accordingly, this Registration Statement incorporates by reference the contents of the Registrant’s prior registration statements filed on (i) </w:t>
      </w:r>
      <w:hyperlink r:id="rId2">
        <w:r>
          <w:rPr>
            <w:rStyle w:val="InternetLink"/>
            <w:rFonts w:ascii="Times New Roman;Times;Serif" w:hAnsi="Times New Roman;Times;Serif"/>
            <w:b w:val="false"/>
            <w:i w:val="false"/>
            <w:caps w:val="false"/>
            <w:smallCaps w:val="false"/>
            <w:sz w:val="20"/>
          </w:rPr>
          <w:t>Form S-8</w:t>
        </w:r>
      </w:hyperlink>
      <w:r>
        <w:rPr>
          <w:rFonts w:ascii="Times New Roman;Times;Serif" w:hAnsi="Times New Roman;Times;Serif"/>
          <w:b w:val="false"/>
          <w:i w:val="false"/>
          <w:caps w:val="false"/>
          <w:smallCaps w:val="false"/>
          <w:sz w:val="20"/>
        </w:rPr>
        <w:t xml:space="preserve"> (Registration No. 333-218777) on June 15, 2017; (ii) </w:t>
      </w:r>
      <w:hyperlink r:id="rId3">
        <w:r>
          <w:rPr>
            <w:rStyle w:val="InternetLink"/>
            <w:rFonts w:ascii="Times New Roman;Times;Serif" w:hAnsi="Times New Roman;Times;Serif"/>
            <w:b w:val="false"/>
            <w:i w:val="false"/>
            <w:caps w:val="false"/>
            <w:smallCaps w:val="false"/>
            <w:sz w:val="20"/>
          </w:rPr>
          <w:t>Form S-8</w:t>
        </w:r>
      </w:hyperlink>
      <w:r>
        <w:rPr>
          <w:rFonts w:ascii="Times New Roman;Times;Serif" w:hAnsi="Times New Roman;Times;Serif"/>
          <w:b w:val="false"/>
          <w:i w:val="false"/>
          <w:caps w:val="false"/>
          <w:smallCaps w:val="false"/>
          <w:sz w:val="20"/>
        </w:rPr>
        <w:t xml:space="preserve"> (Registration No. 333-226004) on June 29, 2018; (iii) </w:t>
      </w:r>
      <w:hyperlink r:id="rId4">
        <w:r>
          <w:rPr>
            <w:rStyle w:val="InternetLink"/>
            <w:rFonts w:ascii="Times New Roman;Times;Serif" w:hAnsi="Times New Roman;Times;Serif"/>
            <w:b w:val="false"/>
            <w:i w:val="false"/>
            <w:caps w:val="false"/>
            <w:smallCaps w:val="false"/>
            <w:sz w:val="20"/>
          </w:rPr>
          <w:t>Form S-8</w:t>
        </w:r>
      </w:hyperlink>
      <w:r>
        <w:rPr>
          <w:rFonts w:ascii="Times New Roman;Times;Serif" w:hAnsi="Times New Roman;Times;Serif"/>
          <w:b w:val="false"/>
          <w:i w:val="false"/>
          <w:caps w:val="false"/>
          <w:smallCaps w:val="false"/>
          <w:sz w:val="20"/>
        </w:rPr>
        <w:t xml:space="preserve"> (Registration No. 333-242327) on August 7, 2020; (iv) </w:t>
      </w:r>
      <w:hyperlink r:id="rId5">
        <w:r>
          <w:rPr>
            <w:rStyle w:val="InternetLink"/>
            <w:rFonts w:ascii="Times New Roman;Times;Serif" w:hAnsi="Times New Roman;Times;Serif"/>
            <w:b w:val="false"/>
            <w:i w:val="false"/>
            <w:caps w:val="false"/>
            <w:smallCaps w:val="false"/>
            <w:sz w:val="20"/>
          </w:rPr>
          <w:t>Form S-8</w:t>
        </w:r>
      </w:hyperlink>
      <w:r>
        <w:rPr>
          <w:rFonts w:ascii="Times New Roman;Times;Serif" w:hAnsi="Times New Roman;Times;Serif"/>
          <w:b w:val="false"/>
          <w:i w:val="false"/>
          <w:caps w:val="false"/>
          <w:smallCaps w:val="false"/>
          <w:sz w:val="20"/>
        </w:rPr>
        <w:t xml:space="preserve"> (Registration No. 333-258900) on August 18, 2021; (v) </w:t>
      </w:r>
      <w:hyperlink r:id="rId6">
        <w:r>
          <w:rPr>
            <w:rStyle w:val="InternetLink"/>
            <w:rFonts w:ascii="Times New Roman;Times;Serif" w:hAnsi="Times New Roman;Times;Serif"/>
            <w:b w:val="false"/>
            <w:i w:val="false"/>
            <w:caps w:val="false"/>
            <w:smallCaps w:val="false"/>
            <w:sz w:val="20"/>
          </w:rPr>
          <w:t>Form S-8</w:t>
        </w:r>
      </w:hyperlink>
      <w:r>
        <w:rPr>
          <w:rFonts w:ascii="Times New Roman;Times;Serif" w:hAnsi="Times New Roman;Times;Serif"/>
          <w:b w:val="false"/>
          <w:i w:val="false"/>
          <w:caps w:val="false"/>
          <w:smallCaps w:val="false"/>
          <w:sz w:val="20"/>
        </w:rPr>
        <w:t xml:space="preserve"> (Registration No. 333-266580) on August 5, 2022; (vi) </w:t>
      </w:r>
      <w:hyperlink r:id="rId7">
        <w:r>
          <w:rPr>
            <w:rStyle w:val="InternetLink"/>
            <w:rFonts w:ascii="Times New Roman;Times;Serif" w:hAnsi="Times New Roman;Times;Serif"/>
            <w:b w:val="false"/>
            <w:i w:val="false"/>
            <w:caps w:val="false"/>
            <w:smallCaps w:val="false"/>
            <w:sz w:val="20"/>
          </w:rPr>
          <w:t>Form S-8</w:t>
        </w:r>
      </w:hyperlink>
      <w:r>
        <w:rPr>
          <w:rFonts w:ascii="Times New Roman;Times;Serif" w:hAnsi="Times New Roman;Times;Serif"/>
          <w:b w:val="false"/>
          <w:i w:val="false"/>
          <w:caps w:val="false"/>
          <w:smallCaps w:val="false"/>
          <w:sz w:val="20"/>
        </w:rPr>
        <w:t xml:space="preserve"> (Registration No. 333-273962) on August 14, 2023; (vii) </w:t>
      </w:r>
      <w:hyperlink r:id="rId8">
        <w:r>
          <w:rPr>
            <w:rStyle w:val="InternetLink"/>
            <w:rFonts w:ascii="Times New Roman;Times;Serif" w:hAnsi="Times New Roman;Times;Serif"/>
            <w:b w:val="false"/>
            <w:i w:val="false"/>
            <w:caps w:val="false"/>
            <w:smallCaps w:val="false"/>
            <w:sz w:val="20"/>
          </w:rPr>
          <w:t>Form S-8</w:t>
        </w:r>
      </w:hyperlink>
      <w:r>
        <w:rPr>
          <w:rFonts w:ascii="Times New Roman;Times;Serif" w:hAnsi="Times New Roman;Times;Serif"/>
          <w:b w:val="false"/>
          <w:i w:val="false"/>
          <w:caps w:val="false"/>
          <w:smallCaps w:val="false"/>
          <w:sz w:val="20"/>
        </w:rPr>
        <w:t xml:space="preserve"> (Registration No. 333-285827) on March 14, 2025; (viii) </w:t>
      </w:r>
      <w:hyperlink r:id="rId9">
        <w:r>
          <w:rPr>
            <w:rStyle w:val="InternetLink"/>
            <w:rFonts w:ascii="Times New Roman;Times;Serif" w:hAnsi="Times New Roman;Times;Serif"/>
            <w:b w:val="false"/>
            <w:i w:val="false"/>
            <w:caps w:val="false"/>
            <w:smallCaps w:val="false"/>
            <w:sz w:val="20"/>
          </w:rPr>
          <w:t>Form S-8</w:t>
        </w:r>
      </w:hyperlink>
      <w:r>
        <w:rPr>
          <w:rFonts w:ascii="Times New Roman;Times;Serif" w:hAnsi="Times New Roman;Times;Serif"/>
          <w:b w:val="false"/>
          <w:i w:val="false"/>
          <w:caps w:val="false"/>
          <w:smallCaps w:val="false"/>
          <w:sz w:val="20"/>
        </w:rPr>
        <w:t xml:space="preserve"> (Registration No. 333-289394) on August 8, 2025; (ix) </w:t>
      </w:r>
      <w:hyperlink r:id="rId10">
        <w:r>
          <w:rPr>
            <w:rStyle w:val="InternetLink"/>
            <w:rFonts w:ascii="Times New Roman;Times;Serif" w:hAnsi="Times New Roman;Times;Serif"/>
            <w:b w:val="false"/>
            <w:i w:val="false"/>
            <w:caps w:val="false"/>
            <w:smallCaps w:val="false"/>
            <w:sz w:val="20"/>
          </w:rPr>
          <w:t>Form S-8</w:t>
        </w:r>
      </w:hyperlink>
      <w:r>
        <w:rPr>
          <w:rFonts w:ascii="Times New Roman;Times;Serif" w:hAnsi="Times New Roman;Times;Serif"/>
          <w:b w:val="false"/>
          <w:i w:val="false"/>
          <w:caps w:val="false"/>
          <w:smallCaps w:val="false"/>
          <w:sz w:val="20"/>
        </w:rPr>
        <w:t xml:space="preserve"> on November 12, 2025 (Registration No. 333-291471); and (x) </w:t>
      </w:r>
      <w:hyperlink r:id="rId11">
        <w:r>
          <w:rPr>
            <w:rStyle w:val="InternetLink"/>
            <w:rFonts w:ascii="Times New Roman;Times;Serif" w:hAnsi="Times New Roman;Times;Serif"/>
            <w:b w:val="false"/>
            <w:i w:val="false"/>
            <w:caps w:val="false"/>
            <w:smallCaps w:val="false"/>
            <w:sz w:val="20"/>
          </w:rPr>
          <w:t>Form S-8</w:t>
        </w:r>
      </w:hyperlink>
      <w:r>
        <w:rPr>
          <w:rFonts w:ascii="Times New Roman;Times;Serif" w:hAnsi="Times New Roman;Times;Serif"/>
          <w:b w:val="false"/>
          <w:i w:val="false"/>
          <w:caps w:val="false"/>
          <w:smallCaps w:val="false"/>
          <w:sz w:val="20"/>
        </w:rPr>
        <w:t xml:space="preserve"> on August 14, 2026 (Registration No. 333-298352) (collectively, the “</w:t>
      </w:r>
      <w:r>
        <w:rPr>
          <w:rFonts w:ascii="Times New Roman;Times;Serif" w:hAnsi="Times New Roman;Times;Serif"/>
          <w:b/>
          <w:i/>
          <w:caps w:val="false"/>
          <w:smallCaps w:val="false"/>
          <w:sz w:val="20"/>
        </w:rPr>
        <w:t>Prior Registration Statements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Registrant’s Prior Registration Statements is hereby incorporated by reference pursuant to General Instruction E of Form S-8, except for “Item 8. Exhibits” which is being updated by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was adopted without stockholder approval pursuant to Nasdaq Listing Rule 5635(c)(4) and will be administered by the Organization and Compensation Committee of the Board.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only persons eligible to receive grants of Awards (as defined below) under the Plan are individuals who satisfy the standards for inducement grants under Nasdaq Listing Rule 5635(c)(4). An “Award” means any right to receive the Registrant’s common stock, cash or other property granted under the Plan (including nonqualified stock options, restricted stock awards, restricted stock unit awards, stock appreciation rights, stock bonuses or other stock-based awards).</w:t>
      </w:r>
    </w:p>
    <w:p>
      <w:pPr>
        <w:pStyle w:val="TextBody"/>
        <w:bidi w:val="0"/>
        <w:spacing w:before="0" w:after="0"/>
        <w:ind w:left="0" w:right="0" w:firstLine="72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THE REGISTRATION STATEMENT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 Exhibits.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72"/>
        <w:gridCol w:w="60"/>
        <w:gridCol w:w="9373"/>
      </w:tblGrid>
      <w:tr>
        <w:trPr/>
        <w:tc>
          <w:tcPr>
            <w:tcW w:w="772" w:type="dxa"/>
            <w:tcBorders>
              <w:bottom w:val="single" w:sz="12"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373" w:type="dxa"/>
            <w:tcBorders>
              <w:bottom w:val="single" w:sz="12" w:space="0" w:color="000000"/>
            </w:tcBorders>
            <w:vAlign w:val="center"/>
          </w:tcPr>
          <w:p>
            <w:pPr>
              <w:pStyle w:val="TableContents"/>
              <w:bidi w:val="0"/>
              <w:spacing w:before="0" w:after="283"/>
              <w:jc w:val="center"/>
              <w:rPr/>
            </w:pPr>
            <w:r>
              <w:rPr/>
              <w:t>Description</w:t>
            </w:r>
          </w:p>
        </w:tc>
      </w:tr>
      <w:tr>
        <w:trPr/>
        <w:tc>
          <w:tcPr>
            <w:tcW w:w="772" w:type="dxa"/>
            <w:tcBorders/>
            <w:shd w:fill="CCEEFF" w:val="clear"/>
            <w:tcMar>
              <w:bottom w:w="0" w:type="dxa"/>
            </w:tcMar>
            <w:vAlign w:val="center"/>
          </w:tcPr>
          <w:p>
            <w:pPr>
              <w:pStyle w:val="TableContents"/>
              <w:bidi w:val="0"/>
              <w:spacing w:before="0" w:after="283"/>
              <w:jc w:val="left"/>
              <w:rPr/>
            </w:pPr>
            <w:r>
              <w:rPr/>
              <w:t>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73" w:type="dxa"/>
            <w:tcBorders/>
            <w:shd w:fill="CCEEFF" w:val="clear"/>
            <w:tcMar>
              <w:bottom w:w="0" w:type="dxa"/>
            </w:tcMar>
            <w:vAlign w:val="center"/>
          </w:tcPr>
          <w:p>
            <w:pPr>
              <w:pStyle w:val="TableContents"/>
              <w:bidi w:val="0"/>
              <w:spacing w:before="0" w:after="283"/>
              <w:jc w:val="left"/>
              <w:rPr/>
            </w:pPr>
            <w:hyperlink r:id="rId12">
              <w:r>
                <w:rPr>
                  <w:rStyle w:val="InternetLink"/>
                </w:rPr>
                <w:t>Certificate of Incorporation of Inhale Therapeutic Systems (Delaware), Inc. (incorporated by reference to Exhibit 3.1 to the Registrant’s Quarterly Report on Form 10-Q for the quarter ended June 30, 1998).</w:t>
              </w:r>
            </w:hyperlink>
          </w:p>
        </w:tc>
      </w:tr>
      <w:tr>
        <w:trPr/>
        <w:tc>
          <w:tcPr>
            <w:tcW w:w="772" w:type="dxa"/>
            <w:tcBorders/>
            <w:shd w:fill="FFFFFF" w:val="clear"/>
            <w:tcMar>
              <w:bottom w:w="0" w:type="dxa"/>
            </w:tcMar>
            <w:vAlign w:val="center"/>
          </w:tcPr>
          <w:p>
            <w:pPr>
              <w:pStyle w:val="TableContents"/>
              <w:bidi w:val="0"/>
              <w:spacing w:before="0" w:after="283"/>
              <w:jc w:val="left"/>
              <w:rPr/>
            </w:pPr>
            <w:r>
              <w:rPr/>
              <w:t>4.2*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73" w:type="dxa"/>
            <w:tcBorders/>
            <w:shd w:fill="FFFFFF" w:val="clear"/>
            <w:tcMar>
              <w:bottom w:w="0" w:type="dxa"/>
            </w:tcMar>
            <w:vAlign w:val="center"/>
          </w:tcPr>
          <w:p>
            <w:pPr>
              <w:pStyle w:val="TableContents"/>
              <w:bidi w:val="0"/>
              <w:spacing w:before="0" w:after="283"/>
              <w:jc w:val="left"/>
              <w:rPr/>
            </w:pPr>
            <w:hyperlink r:id="rId13">
              <w:r>
                <w:rPr>
                  <w:rStyle w:val="InternetLink"/>
                </w:rPr>
                <w:t>Certificate of Amendment of the Amended Certificate of Incorporation of Inhale Therapeutic Systems, Inc. (incorporated by reference to Exhibit 3.3 to the Registrant’s Quarterly Report on Form 10-Q for the quarter ended June 30, 2000).</w:t>
              </w:r>
            </w:hyperlink>
          </w:p>
        </w:tc>
      </w:tr>
      <w:tr>
        <w:trPr/>
        <w:tc>
          <w:tcPr>
            <w:tcW w:w="772" w:type="dxa"/>
            <w:tcBorders/>
            <w:shd w:fill="CCEEFF" w:val="clear"/>
            <w:tcMar>
              <w:bottom w:w="0" w:type="dxa"/>
            </w:tcMar>
            <w:vAlign w:val="center"/>
          </w:tcPr>
          <w:p>
            <w:pPr>
              <w:pStyle w:val="TableContents"/>
              <w:bidi w:val="0"/>
              <w:spacing w:before="0" w:after="283"/>
              <w:jc w:val="left"/>
              <w:rPr/>
            </w:pPr>
            <w:r>
              <w:rPr/>
              <w:t>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73" w:type="dxa"/>
            <w:tcBorders/>
            <w:shd w:fill="CCEEFF" w:val="clear"/>
            <w:tcMar>
              <w:bottom w:w="0" w:type="dxa"/>
            </w:tcMar>
            <w:vAlign w:val="center"/>
          </w:tcPr>
          <w:p>
            <w:pPr>
              <w:pStyle w:val="TableContents"/>
              <w:bidi w:val="0"/>
              <w:spacing w:before="0" w:after="283"/>
              <w:jc w:val="left"/>
              <w:rPr/>
            </w:pPr>
            <w:hyperlink r:id="rId14">
              <w:r>
                <w:rPr>
                  <w:rStyle w:val="InternetLink"/>
                </w:rPr>
                <w:t>Certificate of Ownership and Merger of Nektar Therapeutics (incorporated by reference to Exhibit 3.1 to the Registrant’s Current Report on Form 8-K, filed on January 23, 2003).</w:t>
              </w:r>
            </w:hyperlink>
          </w:p>
        </w:tc>
      </w:tr>
      <w:tr>
        <w:trPr/>
        <w:tc>
          <w:tcPr>
            <w:tcW w:w="772" w:type="dxa"/>
            <w:tcBorders/>
            <w:shd w:fill="FFFFFF" w:val="clear"/>
            <w:tcMar>
              <w:bottom w:w="0" w:type="dxa"/>
            </w:tcMar>
            <w:vAlign w:val="center"/>
          </w:tcPr>
          <w:p>
            <w:pPr>
              <w:pStyle w:val="TableContents"/>
              <w:bidi w:val="0"/>
              <w:spacing w:before="0" w:after="283"/>
              <w:jc w:val="left"/>
              <w:rPr/>
            </w:pPr>
            <w:r>
              <w:rPr/>
              <w:t>4.4*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73" w:type="dxa"/>
            <w:tcBorders/>
            <w:shd w:fill="FFFFFF" w:val="clear"/>
            <w:tcMar>
              <w:bottom w:w="0" w:type="dxa"/>
            </w:tcMar>
            <w:vAlign w:val="center"/>
          </w:tcPr>
          <w:p>
            <w:pPr>
              <w:pStyle w:val="TableContents"/>
              <w:bidi w:val="0"/>
              <w:spacing w:before="0" w:after="283"/>
              <w:jc w:val="left"/>
              <w:rPr/>
            </w:pPr>
            <w:hyperlink r:id="rId15">
              <w:r>
                <w:rPr>
                  <w:rStyle w:val="InternetLink"/>
                </w:rPr>
                <w:t>Certificate of Ownership and Merger of Nektar Therapeutics AL, Corporation with and into Nektar Therapeutics (incorporated by reference to Exhibit 3.6 to the Registrant’s Annual Report on Form 10-K for the year ended December 31, 2009).</w:t>
              </w:r>
            </w:hyperlink>
          </w:p>
        </w:tc>
      </w:tr>
      <w:tr>
        <w:trPr/>
        <w:tc>
          <w:tcPr>
            <w:tcW w:w="772" w:type="dxa"/>
            <w:tcBorders/>
            <w:shd w:fill="CCEEFF" w:val="clear"/>
            <w:tcMar>
              <w:bottom w:w="0" w:type="dxa"/>
            </w:tcMar>
            <w:vAlign w:val="center"/>
          </w:tcPr>
          <w:p>
            <w:pPr>
              <w:pStyle w:val="TableContents"/>
              <w:bidi w:val="0"/>
              <w:spacing w:before="0" w:after="283"/>
              <w:jc w:val="left"/>
              <w:rPr/>
            </w:pPr>
            <w:r>
              <w:rPr/>
              <w:t>4.5*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73" w:type="dxa"/>
            <w:tcBorders/>
            <w:shd w:fill="CCEEFF" w:val="clear"/>
            <w:tcMar>
              <w:bottom w:w="0" w:type="dxa"/>
            </w:tcMar>
            <w:vAlign w:val="center"/>
          </w:tcPr>
          <w:p>
            <w:pPr>
              <w:pStyle w:val="TableContents"/>
              <w:bidi w:val="0"/>
              <w:spacing w:before="0" w:after="283"/>
              <w:jc w:val="left"/>
              <w:rPr/>
            </w:pPr>
            <w:hyperlink r:id="rId16">
              <w:r>
                <w:rPr>
                  <w:rStyle w:val="InternetLink"/>
                </w:rPr>
                <w:t>Certificate of Amendment to the Amended Certificate of Incorporation of Nektar Therapeutics (incorporated by reference to Exhibit 3.1 to the Registrant’s Current Report on Form 8-K, filed on June 6, 2025).</w:t>
              </w:r>
            </w:hyperlink>
          </w:p>
        </w:tc>
      </w:tr>
      <w:tr>
        <w:trPr/>
        <w:tc>
          <w:tcPr>
            <w:tcW w:w="772" w:type="dxa"/>
            <w:tcBorders/>
            <w:shd w:fill="FFFFFF" w:val="clear"/>
            <w:tcMar>
              <w:bottom w:w="0" w:type="dxa"/>
            </w:tcMar>
            <w:vAlign w:val="center"/>
          </w:tcPr>
          <w:p>
            <w:pPr>
              <w:pStyle w:val="TableContents"/>
              <w:bidi w:val="0"/>
              <w:spacing w:before="0" w:after="283"/>
              <w:jc w:val="left"/>
              <w:rPr/>
            </w:pPr>
            <w:r>
              <w:rPr/>
              <w:t>4.6*</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73" w:type="dxa"/>
            <w:tcBorders/>
            <w:shd w:fill="FFFFFF" w:val="clear"/>
            <w:tcMar>
              <w:bottom w:w="0" w:type="dxa"/>
            </w:tcMar>
            <w:vAlign w:val="center"/>
          </w:tcPr>
          <w:p>
            <w:pPr>
              <w:pStyle w:val="TableContents"/>
              <w:bidi w:val="0"/>
              <w:spacing w:before="0" w:after="283"/>
              <w:jc w:val="left"/>
              <w:rPr/>
            </w:pPr>
            <w:hyperlink r:id="rId17">
              <w:r>
                <w:rPr>
                  <w:rStyle w:val="InternetLink"/>
                </w:rPr>
                <w:t>Certificate of Amendment to the Amended Certificate of Incorporation of Nektar Therapeutics (incorporated by reference to Exhibit 3.2 to the Registrant’s Current Report on Form 8-K, filed on June 6, 2025.)</w:t>
              </w:r>
            </w:hyperlink>
          </w:p>
        </w:tc>
      </w:tr>
      <w:tr>
        <w:trPr/>
        <w:tc>
          <w:tcPr>
            <w:tcW w:w="772" w:type="dxa"/>
            <w:tcBorders/>
            <w:shd w:fill="CCEEFF" w:val="clear"/>
            <w:tcMar>
              <w:bottom w:w="0" w:type="dxa"/>
            </w:tcMar>
            <w:vAlign w:val="center"/>
          </w:tcPr>
          <w:p>
            <w:pPr>
              <w:pStyle w:val="TableContents"/>
              <w:bidi w:val="0"/>
              <w:spacing w:before="0" w:after="283"/>
              <w:jc w:val="left"/>
              <w:rPr/>
            </w:pPr>
            <w:r>
              <w:rPr/>
              <w:t>4.7*</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73" w:type="dxa"/>
            <w:tcBorders/>
            <w:shd w:fill="CCEEFF" w:val="clear"/>
            <w:tcMar>
              <w:bottom w:w="0" w:type="dxa"/>
            </w:tcMar>
            <w:vAlign w:val="center"/>
          </w:tcPr>
          <w:p>
            <w:pPr>
              <w:pStyle w:val="TableContents"/>
              <w:bidi w:val="0"/>
              <w:spacing w:before="0" w:after="283"/>
              <w:jc w:val="left"/>
              <w:rPr/>
            </w:pPr>
            <w:hyperlink r:id="rId18">
              <w:r>
                <w:rPr>
                  <w:rStyle w:val="InternetLink"/>
                </w:rPr>
                <w:t>Amended and Restated Bylaws of Nektar Therapeutics (incorporated by reference to Exhibit 3.1 to the Registrant’s Current Report on Form 8-K, filed on December 16, 2022).</w:t>
              </w:r>
            </w:hyperlink>
          </w:p>
        </w:tc>
      </w:tr>
      <w:tr>
        <w:trPr/>
        <w:tc>
          <w:tcPr>
            <w:tcW w:w="772" w:type="dxa"/>
            <w:tcBorders/>
            <w:shd w:fill="FFFFFF" w:val="clear"/>
            <w:tcMar>
              <w:bottom w:w="0" w:type="dxa"/>
            </w:tcMar>
            <w:vAlign w:val="center"/>
          </w:tcPr>
          <w:p>
            <w:pPr>
              <w:pStyle w:val="TableContents"/>
              <w:bidi w:val="0"/>
              <w:spacing w:before="0" w:after="283"/>
              <w:jc w:val="left"/>
              <w:rPr/>
            </w:pPr>
            <w:r>
              <w:rPr/>
              <w:t>4.8**</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73" w:type="dxa"/>
            <w:tcBorders/>
            <w:shd w:fill="FFFFFF" w:val="clear"/>
            <w:tcMar>
              <w:bottom w:w="0" w:type="dxa"/>
            </w:tcMar>
            <w:vAlign w:val="center"/>
          </w:tcPr>
          <w:p>
            <w:pPr>
              <w:pStyle w:val="TableContents"/>
              <w:bidi w:val="0"/>
              <w:spacing w:before="0" w:after="283"/>
              <w:jc w:val="left"/>
              <w:rPr/>
            </w:pPr>
            <w:hyperlink w:anchor="ea030898701ex4-8.htm">
              <w:r>
                <w:rPr>
                  <w:rStyle w:val="InternetLink"/>
                </w:rPr>
                <w:t>Nektar Therapeutics 2025 Inducement Plan, as amended.</w:t>
              </w:r>
            </w:hyperlink>
          </w:p>
        </w:tc>
      </w:tr>
      <w:tr>
        <w:trPr/>
        <w:tc>
          <w:tcPr>
            <w:tcW w:w="772" w:type="dxa"/>
            <w:tcBorders/>
            <w:shd w:fill="CCEEFF" w:val="clear"/>
            <w:tcMar>
              <w:bottom w:w="0" w:type="dxa"/>
            </w:tcMar>
            <w:vAlign w:val="center"/>
          </w:tcPr>
          <w:p>
            <w:pPr>
              <w:pStyle w:val="TableContents"/>
              <w:bidi w:val="0"/>
              <w:spacing w:before="0" w:after="283"/>
              <w:jc w:val="left"/>
              <w:rPr/>
            </w:pPr>
            <w:r>
              <w:rPr/>
              <w:t>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73" w:type="dxa"/>
            <w:tcBorders/>
            <w:shd w:fill="CCEEFF" w:val="clear"/>
            <w:tcMar>
              <w:bottom w:w="0" w:type="dxa"/>
            </w:tcMar>
            <w:vAlign w:val="center"/>
          </w:tcPr>
          <w:p>
            <w:pPr>
              <w:pStyle w:val="TableContents"/>
              <w:bidi w:val="0"/>
              <w:spacing w:before="0" w:after="283"/>
              <w:jc w:val="left"/>
              <w:rPr/>
            </w:pPr>
            <w:hyperlink w:anchor="ea030898701ex5-1.htm">
              <w:r>
                <w:rPr>
                  <w:rStyle w:val="InternetLink"/>
                </w:rPr>
                <w:t>Opinion of Goodwin Procter LLP with respect to the validity of the securities.</w:t>
              </w:r>
            </w:hyperlink>
          </w:p>
        </w:tc>
      </w:tr>
      <w:tr>
        <w:trPr/>
        <w:tc>
          <w:tcPr>
            <w:tcW w:w="772" w:type="dxa"/>
            <w:tcBorders/>
            <w:shd w:fill="FFFFFF" w:val="clear"/>
            <w:tcMar>
              <w:bottom w:w="0" w:type="dxa"/>
            </w:tcMar>
            <w:vAlign w:val="center"/>
          </w:tcPr>
          <w:p>
            <w:pPr>
              <w:pStyle w:val="TableContents"/>
              <w:bidi w:val="0"/>
              <w:spacing w:before="0" w:after="283"/>
              <w:jc w:val="left"/>
              <w:rPr/>
            </w:pPr>
            <w:r>
              <w:rPr/>
              <w:t>23.1**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73" w:type="dxa"/>
            <w:tcBorders/>
            <w:shd w:fill="FFFFFF" w:val="clear"/>
            <w:tcMar>
              <w:bottom w:w="0" w:type="dxa"/>
            </w:tcMar>
            <w:vAlign w:val="center"/>
          </w:tcPr>
          <w:p>
            <w:pPr>
              <w:pStyle w:val="TableContents"/>
              <w:bidi w:val="0"/>
              <w:spacing w:before="0" w:after="283"/>
              <w:jc w:val="left"/>
              <w:rPr/>
            </w:pPr>
            <w:hyperlink w:anchor="ea030898701ex23-1.htm">
              <w:r>
                <w:rPr>
                  <w:rStyle w:val="InternetLink"/>
                </w:rPr>
                <w:t>Consent of Independent Registered Public Accounting Firm.</w:t>
              </w:r>
            </w:hyperlink>
          </w:p>
        </w:tc>
      </w:tr>
      <w:tr>
        <w:trPr/>
        <w:tc>
          <w:tcPr>
            <w:tcW w:w="772" w:type="dxa"/>
            <w:tcBorders/>
            <w:shd w:fill="CCEEFF" w:val="clear"/>
            <w:tcMar>
              <w:bottom w:w="0" w:type="dxa"/>
            </w:tcMar>
            <w:vAlign w:val="center"/>
          </w:tcPr>
          <w:p>
            <w:pPr>
              <w:pStyle w:val="TableContents"/>
              <w:bidi w:val="0"/>
              <w:spacing w:before="0" w:after="283"/>
              <w:jc w:val="left"/>
              <w:rPr/>
            </w:pPr>
            <w:r>
              <w:rPr/>
              <w:t>23.2**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73" w:type="dxa"/>
            <w:tcBorders/>
            <w:shd w:fill="CCEEFF" w:val="clear"/>
            <w:tcMar>
              <w:bottom w:w="0" w:type="dxa"/>
            </w:tcMar>
            <w:vAlign w:val="center"/>
          </w:tcPr>
          <w:p>
            <w:pPr>
              <w:pStyle w:val="TableContents"/>
              <w:bidi w:val="0"/>
              <w:spacing w:before="0" w:after="283"/>
              <w:jc w:val="left"/>
              <w:rPr/>
            </w:pPr>
            <w:hyperlink w:anchor="ea030898701ex5-1.htm">
              <w:r>
                <w:rPr>
                  <w:rStyle w:val="InternetLink"/>
                </w:rPr>
                <w:t>Consent of Goodwin Procter LLP (included in Exhibit 5.1).</w:t>
              </w:r>
            </w:hyperlink>
          </w:p>
        </w:tc>
      </w:tr>
      <w:tr>
        <w:trPr/>
        <w:tc>
          <w:tcPr>
            <w:tcW w:w="772" w:type="dxa"/>
            <w:tcBorders/>
            <w:shd w:fill="FFFFFF" w:val="clear"/>
            <w:tcMar>
              <w:bottom w:w="0" w:type="dxa"/>
            </w:tcMar>
            <w:vAlign w:val="center"/>
          </w:tcPr>
          <w:p>
            <w:pPr>
              <w:pStyle w:val="TableContents"/>
              <w:bidi w:val="0"/>
              <w:spacing w:before="0" w:after="283"/>
              <w:jc w:val="left"/>
              <w:rPr/>
            </w:pPr>
            <w:r>
              <w:rPr/>
              <w:t>24.1**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73" w:type="dxa"/>
            <w:tcBorders/>
            <w:shd w:fill="FFFFFF" w:val="clear"/>
            <w:tcMar>
              <w:bottom w:w="0" w:type="dxa"/>
            </w:tcMar>
            <w:vAlign w:val="center"/>
          </w:tcPr>
          <w:p>
            <w:pPr>
              <w:pStyle w:val="TableContents"/>
              <w:bidi w:val="0"/>
              <w:spacing w:before="0" w:after="283"/>
              <w:jc w:val="left"/>
              <w:rPr/>
            </w:pPr>
            <w:hyperlink w:anchor="poa_001">
              <w:r>
                <w:rPr>
                  <w:rStyle w:val="InternetLink"/>
                </w:rPr>
                <w:t>Power of Attorney (set forth on the signature page of this Registration Statement).</w:t>
              </w:r>
            </w:hyperlink>
          </w:p>
        </w:tc>
      </w:tr>
      <w:tr>
        <w:trPr/>
        <w:tc>
          <w:tcPr>
            <w:tcW w:w="772" w:type="dxa"/>
            <w:tcBorders/>
            <w:shd w:fill="CCEEFF" w:val="clear"/>
            <w:tcMar>
              <w:bottom w:w="0" w:type="dxa"/>
            </w:tcMar>
            <w:vAlign w:val="center"/>
          </w:tcPr>
          <w:p>
            <w:pPr>
              <w:pStyle w:val="TableContents"/>
              <w:bidi w:val="0"/>
              <w:spacing w:before="0" w:after="283"/>
              <w:jc w:val="left"/>
              <w:rPr/>
            </w:pPr>
            <w:r>
              <w:rPr/>
              <w:t>107**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73" w:type="dxa"/>
            <w:tcBorders/>
            <w:shd w:fill="CCEEFF" w:val="clear"/>
            <w:tcMar>
              <w:bottom w:w="0" w:type="dxa"/>
            </w:tcMar>
            <w:vAlign w:val="center"/>
          </w:tcPr>
          <w:p>
            <w:pPr>
              <w:pStyle w:val="TableContents"/>
              <w:bidi w:val="0"/>
              <w:spacing w:before="0" w:after="283"/>
              <w:jc w:val="left"/>
              <w:rPr/>
            </w:pPr>
            <w:hyperlink w:anchor="ea030898701ex-fee.htm">
              <w:r>
                <w:rPr>
                  <w:rStyle w:val="InternetLink"/>
                </w:rPr>
                <w:t>Filing Fee Table</w:t>
              </w:r>
            </w:hyperlink>
          </w:p>
        </w:tc>
      </w:tr>
    </w:tbl>
    <w:p>
      <w:pPr>
        <w:pStyle w:val="TextBody"/>
        <w:bidi w:val="0"/>
        <w:spacing w:before="0" w:after="0"/>
        <w:ind w:left="720" w:right="0" w:hanging="720"/>
        <w:jc w:val="left"/>
        <w:rPr>
          <w:caps w:val="false"/>
          <w:smallCaps w:val="false"/>
        </w:rPr>
      </w:pPr>
      <w:r>
        <w:rPr>
          <w:caps w:val="false"/>
          <w:smallCaps w:val="false"/>
        </w:rPr>
        <w:t> </w:t>
      </w:r>
    </w:p>
    <w:tbl>
      <w:tblPr>
        <w:tblW w:w="7330" w:type="dxa"/>
        <w:jc w:val="left"/>
        <w:tblInd w:w="0" w:type="dxa"/>
        <w:tblLayout w:type="fixed"/>
        <w:tblCellMar>
          <w:top w:w="0" w:type="dxa"/>
          <w:left w:w="0" w:type="dxa"/>
          <w:bottom w:w="0" w:type="dxa"/>
          <w:right w:w="0" w:type="dxa"/>
        </w:tblCellMar>
      </w:tblPr>
      <w:tblGrid>
        <w:gridCol w:w="155"/>
        <w:gridCol w:w="7175"/>
      </w:tblGrid>
      <w:tr>
        <w:trPr/>
        <w:tc>
          <w:tcPr>
            <w:tcW w:w="155" w:type="dxa"/>
            <w:tcBorders/>
            <w:vAlign w:val="center"/>
          </w:tcPr>
          <w:p>
            <w:pPr>
              <w:pStyle w:val="TableContents"/>
              <w:bidi w:val="0"/>
              <w:spacing w:before="0" w:after="283"/>
              <w:jc w:val="left"/>
              <w:rPr/>
            </w:pPr>
            <w:r>
              <w:rPr/>
              <w:t>*</w:t>
            </w:r>
          </w:p>
        </w:tc>
        <w:tc>
          <w:tcPr>
            <w:tcW w:w="7175" w:type="dxa"/>
            <w:tcBorders/>
            <w:vAlign w:val="center"/>
          </w:tcPr>
          <w:p>
            <w:pPr>
              <w:pStyle w:val="TableContents"/>
              <w:bidi w:val="0"/>
              <w:spacing w:before="0" w:after="283"/>
              <w:jc w:val="both"/>
              <w:rPr/>
            </w:pPr>
            <w:r>
              <w:rPr/>
              <w:t>Previously filed with the Commission and incorporated herein by reference.</w:t>
            </w:r>
          </w:p>
        </w:tc>
      </w:tr>
    </w:tbl>
    <w:p>
      <w:pPr>
        <w:pStyle w:val="TextBody"/>
        <w:bidi w:val="0"/>
        <w:spacing w:before="0" w:after="0"/>
        <w:ind w:left="720" w:right="0" w:hanging="720"/>
        <w:jc w:val="left"/>
        <w:rPr>
          <w:caps w:val="false"/>
          <w:smallCaps w:val="false"/>
        </w:rPr>
      </w:pPr>
      <w:r>
        <w:rPr>
          <w:caps w:val="false"/>
          <w:smallCaps w:val="false"/>
        </w:rPr>
        <w:t> </w:t>
      </w:r>
    </w:p>
    <w:tbl>
      <w:tblPr>
        <w:tblW w:w="1735" w:type="dxa"/>
        <w:jc w:val="left"/>
        <w:tblInd w:w="0" w:type="dxa"/>
        <w:tblLayout w:type="fixed"/>
        <w:tblCellMar>
          <w:top w:w="0" w:type="dxa"/>
          <w:left w:w="0" w:type="dxa"/>
          <w:bottom w:w="0" w:type="dxa"/>
          <w:right w:w="0" w:type="dxa"/>
        </w:tblCellMar>
      </w:tblPr>
      <w:tblGrid>
        <w:gridCol w:w="275"/>
        <w:gridCol w:w="1460"/>
      </w:tblGrid>
      <w:tr>
        <w:trPr/>
        <w:tc>
          <w:tcPr>
            <w:tcW w:w="275" w:type="dxa"/>
            <w:tcBorders/>
            <w:vAlign w:val="center"/>
          </w:tcPr>
          <w:p>
            <w:pPr>
              <w:pStyle w:val="TableContents"/>
              <w:bidi w:val="0"/>
              <w:spacing w:before="0" w:after="283"/>
              <w:jc w:val="left"/>
              <w:rPr/>
            </w:pPr>
            <w:r>
              <w:rPr/>
              <w:t>**</w:t>
            </w:r>
          </w:p>
        </w:tc>
        <w:tc>
          <w:tcPr>
            <w:tcW w:w="1460" w:type="dxa"/>
            <w:tcBorders/>
            <w:vAlign w:val="center"/>
          </w:tcPr>
          <w:p>
            <w:pPr>
              <w:pStyle w:val="TableContents"/>
              <w:bidi w:val="0"/>
              <w:spacing w:before="0" w:after="283"/>
              <w:jc w:val="both"/>
              <w:rPr/>
            </w:pPr>
            <w:r>
              <w:rPr/>
              <w:t>Filed herewith.</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II-1</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San Francisco, State of California, on October 19, 2026.</w:t>
      </w:r>
    </w:p>
    <w:p>
      <w:pPr>
        <w:pStyle w:val="TextBody"/>
        <w:bidi w:val="0"/>
        <w:spacing w:before="0" w:after="0"/>
        <w:ind w:left="4680" w:right="0" w:hanging="0"/>
        <w:jc w:val="left"/>
        <w:rPr>
          <w:caps w:val="false"/>
          <w:smallCaps w:val="false"/>
        </w:rPr>
      </w:pPr>
      <w:r>
        <w:rPr>
          <w:caps w:val="false"/>
          <w:smallCaps w:val="false"/>
        </w:rPr>
        <w:t> </w:t>
      </w:r>
    </w:p>
    <w:tbl>
      <w:tblPr>
        <w:tblW w:w="4135" w:type="dxa"/>
        <w:jc w:val="left"/>
        <w:tblInd w:w="0" w:type="dxa"/>
        <w:tblLayout w:type="fixed"/>
        <w:tblCellMar>
          <w:top w:w="0" w:type="dxa"/>
          <w:left w:w="0" w:type="dxa"/>
          <w:bottom w:w="0" w:type="dxa"/>
          <w:right w:w="0" w:type="dxa"/>
        </w:tblCellMar>
      </w:tblPr>
      <w:tblGrid>
        <w:gridCol w:w="75"/>
        <w:gridCol w:w="425"/>
        <w:gridCol w:w="3635"/>
      </w:tblGrid>
      <w:tr>
        <w:trPr/>
        <w:tc>
          <w:tcPr>
            <w:tcW w:w="75" w:type="dxa"/>
            <w:tcBorders/>
            <w:vAlign w:val="center"/>
          </w:tcPr>
          <w:p>
            <w:pPr>
              <w:pStyle w:val="TableContents"/>
              <w:bidi w:val="0"/>
              <w:spacing w:before="0" w:after="283"/>
              <w:jc w:val="left"/>
              <w:rPr/>
            </w:pPr>
            <w:r>
              <w:rPr/>
              <w:t> </w:t>
            </w:r>
          </w:p>
        </w:tc>
        <w:tc>
          <w:tcPr>
            <w:tcW w:w="4060" w:type="dxa"/>
            <w:gridSpan w:val="2"/>
            <w:tcBorders/>
            <w:vAlign w:val="center"/>
          </w:tcPr>
          <w:p>
            <w:pPr>
              <w:pStyle w:val="TableContents"/>
              <w:bidi w:val="0"/>
              <w:spacing w:before="0" w:after="283"/>
              <w:jc w:val="left"/>
              <w:rPr>
                <w:b/>
              </w:rPr>
            </w:pPr>
            <w:r>
              <w:rPr>
                <w:b/>
              </w:rPr>
              <w:t>NEKTAR THERAPEUTICS</w:t>
            </w:r>
          </w:p>
        </w:tc>
      </w:tr>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By: </w:t>
            </w:r>
          </w:p>
        </w:tc>
        <w:tc>
          <w:tcPr>
            <w:tcW w:w="3635" w:type="dxa"/>
            <w:tcBorders>
              <w:bottom w:val="single" w:sz="12" w:space="0" w:color="000000"/>
            </w:tcBorders>
            <w:tcMar>
              <w:bottom w:w="28" w:type="dxa"/>
            </w:tcMar>
            <w:vAlign w:val="center"/>
          </w:tcPr>
          <w:p>
            <w:pPr>
              <w:pStyle w:val="TableContents"/>
              <w:bidi w:val="0"/>
              <w:spacing w:before="0" w:after="283"/>
              <w:jc w:val="left"/>
              <w:rPr/>
            </w:pPr>
            <w:r>
              <w:rPr/>
              <w:t>/s/ Howard W. Robin</w:t>
            </w:r>
          </w:p>
        </w:tc>
      </w:tr>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Howard W. Robin</w:t>
            </w:r>
          </w:p>
        </w:tc>
      </w:tr>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Chief Executive Officer and President</w:t>
            </w:r>
          </w:p>
        </w:tc>
      </w:tr>
    </w:tbl>
    <w:p>
      <w:pPr>
        <w:pStyle w:val="TextBody"/>
        <w:bidi w:val="0"/>
        <w:spacing w:before="0" w:after="0"/>
        <w:ind w:left="468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poa_001"/>
      <w:bookmarkEnd w:id="2"/>
      <w:r>
        <w:rPr>
          <w:rFonts w:ascii="Times New Roman;Times;Serif" w:hAnsi="Times New Roman;Times;Serif"/>
          <w:b/>
          <w:i w:val="false"/>
          <w:caps w:val="false"/>
          <w:smallCaps w:val="false"/>
          <w:sz w:val="20"/>
        </w:rPr>
        <w:t>POWER OF ATTORNEY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whose signature appears below constitutes and appoints Howard W. Robin and Elizabeth Zhang, and each of them, acting individually and without the other, as his or her true and lawful attorneys-in-fact and agents, with full power of substitution and resubstitution, for him or her and in his or her name, place, and stead, in any and all capacities, to sign any and all amendments (including post-effective amendments, exhibits thereto, and other documents in connection therewith) to this Registration Statement, and to file the same, with all exhibits thereto, and other documents in connection therewith, with the Commission, granting unto said attorneys-in-fact and agents, and each of them, full power and authority to do and to perform each and every act and thing requisite and necessary to be done in and about the premises, as fully to all intents and purposes as he or she might or could do in person, hereby ratifying and confirming all that said attorneys-in-fact and agents, or either of them individually, or their, his or her substitute or substitutes, may lawfully do or cause to be done by virtue 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this Registration Statement has been signed by the following persons in the capacities and on the dates indicated.</w:t>
      </w:r>
    </w:p>
    <w:p>
      <w:pPr>
        <w:pStyle w:val="TextBody"/>
        <w:bidi w:val="0"/>
        <w:spacing w:before="0" w:after="0"/>
        <w:ind w:left="0" w:right="0" w:firstLine="720"/>
        <w:jc w:val="left"/>
        <w:rPr>
          <w:caps w:val="false"/>
          <w:smallCaps w:val="false"/>
        </w:rPr>
      </w:pPr>
      <w:r>
        <w:rPr>
          <w:caps w:val="false"/>
          <w:smallCaps w:val="false"/>
        </w:rPr>
        <w:t> </w:t>
      </w:r>
    </w:p>
    <w:tbl>
      <w:tblPr>
        <w:tblW w:w="8490" w:type="dxa"/>
        <w:jc w:val="left"/>
        <w:tblInd w:w="0" w:type="dxa"/>
        <w:tblLayout w:type="fixed"/>
        <w:tblCellMar>
          <w:top w:w="0" w:type="dxa"/>
          <w:left w:w="0" w:type="dxa"/>
          <w:bottom w:w="28" w:type="dxa"/>
          <w:right w:w="0" w:type="dxa"/>
        </w:tblCellMar>
      </w:tblPr>
      <w:tblGrid>
        <w:gridCol w:w="2090"/>
        <w:gridCol w:w="60"/>
        <w:gridCol w:w="4580"/>
        <w:gridCol w:w="60"/>
        <w:gridCol w:w="1700"/>
      </w:tblGrid>
      <w:tr>
        <w:trPr/>
        <w:tc>
          <w:tcPr>
            <w:tcW w:w="2090" w:type="dxa"/>
            <w:tcBorders>
              <w:bottom w:val="single" w:sz="12" w:space="0" w:color="000000"/>
            </w:tcBorders>
            <w:vAlign w:val="center"/>
          </w:tcPr>
          <w:p>
            <w:pPr>
              <w:pStyle w:val="TableContents"/>
              <w:bidi w:val="0"/>
              <w:spacing w:before="0" w:after="283"/>
              <w:jc w:val="center"/>
              <w:rPr/>
            </w:pPr>
            <w:r>
              <w:rPr/>
              <w:t>Signature</w:t>
            </w:r>
          </w:p>
        </w:tc>
        <w:tc>
          <w:tcPr>
            <w:tcW w:w="60" w:type="dxa"/>
            <w:tcBorders/>
            <w:tcMar>
              <w:bottom w:w="0" w:type="dxa"/>
            </w:tcMar>
            <w:vAlign w:val="center"/>
          </w:tcPr>
          <w:p>
            <w:pPr>
              <w:pStyle w:val="TableContents"/>
              <w:bidi w:val="0"/>
              <w:spacing w:before="0" w:after="283"/>
              <w:jc w:val="left"/>
              <w:rPr/>
            </w:pPr>
            <w:r>
              <w:rPr/>
              <w:t> </w:t>
            </w:r>
          </w:p>
        </w:tc>
        <w:tc>
          <w:tcPr>
            <w:tcW w:w="4580" w:type="dxa"/>
            <w:tcBorders>
              <w:bottom w:val="single" w:sz="12" w:space="0" w:color="000000"/>
            </w:tcBorders>
            <w:vAlign w:val="center"/>
          </w:tcPr>
          <w:p>
            <w:pPr>
              <w:pStyle w:val="TableContents"/>
              <w:bidi w:val="0"/>
              <w:spacing w:before="0" w:after="283"/>
              <w:jc w:val="center"/>
              <w:rPr/>
            </w:pPr>
            <w:r>
              <w:rPr/>
              <w:t>Title</w:t>
            </w:r>
          </w:p>
        </w:tc>
        <w:tc>
          <w:tcPr>
            <w:tcW w:w="60" w:type="dxa"/>
            <w:tcBorders/>
            <w:tcMar>
              <w:bottom w:w="0" w:type="dxa"/>
            </w:tcMar>
            <w:vAlign w:val="center"/>
          </w:tcPr>
          <w:p>
            <w:pPr>
              <w:pStyle w:val="TableContents"/>
              <w:bidi w:val="0"/>
              <w:spacing w:before="0" w:after="283"/>
              <w:jc w:val="left"/>
              <w:rPr/>
            </w:pPr>
            <w:r>
              <w:rPr/>
              <w:t> </w:t>
            </w:r>
          </w:p>
        </w:tc>
        <w:tc>
          <w:tcPr>
            <w:tcW w:w="1700" w:type="dxa"/>
            <w:tcBorders>
              <w:bottom w:val="single" w:sz="12" w:space="0" w:color="000000"/>
            </w:tcBorders>
            <w:vAlign w:val="center"/>
          </w:tcPr>
          <w:p>
            <w:pPr>
              <w:pStyle w:val="TableContents"/>
              <w:bidi w:val="0"/>
              <w:spacing w:before="0" w:after="283"/>
              <w:jc w:val="center"/>
              <w:rPr/>
            </w:pPr>
            <w:r>
              <w:rPr/>
              <w:t>Date</w:t>
            </w:r>
          </w:p>
        </w:tc>
      </w:tr>
      <w:tr>
        <w:trPr/>
        <w:tc>
          <w:tcPr>
            <w:tcW w:w="209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45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center"/>
              <w:rPr/>
            </w:pPr>
            <w:r>
              <w:rPr/>
              <w:t> </w:t>
            </w:r>
          </w:p>
        </w:tc>
      </w:tr>
      <w:tr>
        <w:trPr/>
        <w:tc>
          <w:tcPr>
            <w:tcW w:w="2090" w:type="dxa"/>
            <w:tcBorders>
              <w:bottom w:val="single" w:sz="12" w:space="0" w:color="000000"/>
            </w:tcBorders>
            <w:vAlign w:val="center"/>
          </w:tcPr>
          <w:p>
            <w:pPr>
              <w:pStyle w:val="TableContents"/>
              <w:bidi w:val="0"/>
              <w:spacing w:before="0" w:after="283"/>
              <w:jc w:val="center"/>
              <w:rPr/>
            </w:pPr>
            <w:r>
              <w:rPr/>
              <w:t>/s/ Howard W. Robin</w:t>
            </w:r>
          </w:p>
        </w:tc>
        <w:tc>
          <w:tcPr>
            <w:tcW w:w="60" w:type="dxa"/>
            <w:tcBorders/>
            <w:tcMar>
              <w:bottom w:w="0" w:type="dxa"/>
            </w:tcMar>
            <w:vAlign w:val="center"/>
          </w:tcPr>
          <w:p>
            <w:pPr>
              <w:pStyle w:val="TableContents"/>
              <w:bidi w:val="0"/>
              <w:spacing w:before="0" w:after="283"/>
              <w:jc w:val="left"/>
              <w:rPr/>
            </w:pPr>
            <w:r>
              <w:rPr/>
              <w:t> </w:t>
            </w:r>
          </w:p>
        </w:tc>
        <w:tc>
          <w:tcPr>
            <w:tcW w:w="4580" w:type="dxa"/>
            <w:tcBorders/>
            <w:tcMar>
              <w:bottom w:w="0" w:type="dxa"/>
            </w:tcMar>
            <w:vAlign w:val="center"/>
          </w:tcPr>
          <w:p>
            <w:pPr>
              <w:pStyle w:val="TableContents"/>
              <w:bidi w:val="0"/>
              <w:spacing w:before="0" w:after="283"/>
              <w:jc w:val="left"/>
              <w:rPr/>
            </w:pPr>
            <w:r>
              <w:rPr>
                <w:shd w:fill="FFFFFF" w:val="clear"/>
              </w:rPr>
              <w:t xml:space="preserve">Chief Executive Officer, </w:t>
            </w:r>
            <w:r>
              <w:rPr/>
              <w:t>President, and Director</w:t>
            </w:r>
          </w:p>
        </w:tc>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center"/>
              <w:rPr/>
            </w:pPr>
            <w:r>
              <w:rPr/>
              <w:t>October 19, 2026</w:t>
            </w:r>
          </w:p>
        </w:tc>
      </w:tr>
      <w:tr>
        <w:trPr/>
        <w:tc>
          <w:tcPr>
            <w:tcW w:w="2090" w:type="dxa"/>
            <w:tcBorders/>
            <w:tcMar>
              <w:bottom w:w="0" w:type="dxa"/>
            </w:tcMar>
            <w:vAlign w:val="center"/>
          </w:tcPr>
          <w:p>
            <w:pPr>
              <w:pStyle w:val="TableContents"/>
              <w:bidi w:val="0"/>
              <w:spacing w:before="0" w:after="283"/>
              <w:jc w:val="center"/>
              <w:rPr/>
            </w:pPr>
            <w:r>
              <w:rPr/>
              <w:t>Howard W. Robin</w:t>
            </w:r>
          </w:p>
        </w:tc>
        <w:tc>
          <w:tcPr>
            <w:tcW w:w="60" w:type="dxa"/>
            <w:tcBorders/>
            <w:tcMar>
              <w:bottom w:w="0" w:type="dxa"/>
            </w:tcMar>
            <w:vAlign w:val="center"/>
          </w:tcPr>
          <w:p>
            <w:pPr>
              <w:pStyle w:val="TableContents"/>
              <w:bidi w:val="0"/>
              <w:spacing w:before="0" w:after="283"/>
              <w:jc w:val="left"/>
              <w:rPr/>
            </w:pPr>
            <w:r>
              <w:rPr/>
              <w:t> </w:t>
            </w:r>
          </w:p>
        </w:tc>
        <w:tc>
          <w:tcPr>
            <w:tcW w:w="4580" w:type="dxa"/>
            <w:tcBorders/>
            <w:tcMar>
              <w:bottom w:w="0" w:type="dxa"/>
            </w:tcMar>
            <w:vAlign w:val="center"/>
          </w:tcPr>
          <w:p>
            <w:pPr>
              <w:pStyle w:val="TableContents"/>
              <w:bidi w:val="0"/>
              <w:spacing w:before="0" w:after="283"/>
              <w:jc w:val="left"/>
              <w:rPr/>
            </w:pPr>
            <w:r>
              <w:rPr/>
              <w:t>(Principal Executive Officer)</w:t>
            </w:r>
          </w:p>
        </w:tc>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center"/>
              <w:rPr/>
            </w:pPr>
            <w:r>
              <w:rPr/>
              <w:t> </w:t>
            </w:r>
          </w:p>
        </w:tc>
      </w:tr>
      <w:tr>
        <w:trPr/>
        <w:tc>
          <w:tcPr>
            <w:tcW w:w="209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45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center"/>
              <w:rPr/>
            </w:pPr>
            <w:r>
              <w:rPr/>
              <w:t> </w:t>
            </w:r>
          </w:p>
        </w:tc>
      </w:tr>
      <w:tr>
        <w:trPr/>
        <w:tc>
          <w:tcPr>
            <w:tcW w:w="2090" w:type="dxa"/>
            <w:tcBorders>
              <w:bottom w:val="single" w:sz="12" w:space="0" w:color="000000"/>
            </w:tcBorders>
            <w:vAlign w:val="center"/>
          </w:tcPr>
          <w:p>
            <w:pPr>
              <w:pStyle w:val="TableContents"/>
              <w:bidi w:val="0"/>
              <w:spacing w:before="0" w:after="283"/>
              <w:jc w:val="center"/>
              <w:rPr/>
            </w:pPr>
            <w:r>
              <w:rPr/>
              <w:t>/s/ Linda Rubinstein</w:t>
            </w:r>
          </w:p>
        </w:tc>
        <w:tc>
          <w:tcPr>
            <w:tcW w:w="60" w:type="dxa"/>
            <w:tcBorders/>
            <w:tcMar>
              <w:bottom w:w="0" w:type="dxa"/>
            </w:tcMar>
            <w:vAlign w:val="center"/>
          </w:tcPr>
          <w:p>
            <w:pPr>
              <w:pStyle w:val="TableContents"/>
              <w:bidi w:val="0"/>
              <w:spacing w:before="0" w:after="283"/>
              <w:jc w:val="left"/>
              <w:rPr/>
            </w:pPr>
            <w:r>
              <w:rPr/>
              <w:t> </w:t>
            </w:r>
          </w:p>
        </w:tc>
        <w:tc>
          <w:tcPr>
            <w:tcW w:w="4580" w:type="dxa"/>
            <w:tcBorders/>
            <w:tcMar>
              <w:bottom w:w="0" w:type="dxa"/>
            </w:tcMar>
            <w:vAlign w:val="center"/>
          </w:tcPr>
          <w:p>
            <w:pPr>
              <w:pStyle w:val="TableContents"/>
              <w:bidi w:val="0"/>
              <w:spacing w:before="0" w:after="283"/>
              <w:jc w:val="left"/>
              <w:rPr>
                <w:shd w:fill="FFFFFF" w:val="clear"/>
              </w:rPr>
            </w:pPr>
            <w:r>
              <w:rPr>
                <w:shd w:fill="FFFFFF" w:val="clear"/>
              </w:rPr>
              <w:t>Interim Chief Financial Officer</w:t>
            </w:r>
          </w:p>
        </w:tc>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center"/>
              <w:rPr/>
            </w:pPr>
            <w:r>
              <w:rPr/>
              <w:t>October 19, 2026</w:t>
            </w:r>
          </w:p>
        </w:tc>
      </w:tr>
      <w:tr>
        <w:trPr/>
        <w:tc>
          <w:tcPr>
            <w:tcW w:w="2090" w:type="dxa"/>
            <w:tcBorders/>
            <w:tcMar>
              <w:bottom w:w="0" w:type="dxa"/>
            </w:tcMar>
            <w:vAlign w:val="center"/>
          </w:tcPr>
          <w:p>
            <w:pPr>
              <w:pStyle w:val="TableContents"/>
              <w:bidi w:val="0"/>
              <w:spacing w:before="0" w:after="283"/>
              <w:jc w:val="center"/>
              <w:rPr/>
            </w:pPr>
            <w:r>
              <w:rPr/>
              <w:t>Linda Rubinstein</w:t>
            </w:r>
          </w:p>
        </w:tc>
        <w:tc>
          <w:tcPr>
            <w:tcW w:w="60" w:type="dxa"/>
            <w:tcBorders/>
            <w:tcMar>
              <w:bottom w:w="0" w:type="dxa"/>
            </w:tcMar>
            <w:vAlign w:val="center"/>
          </w:tcPr>
          <w:p>
            <w:pPr>
              <w:pStyle w:val="TableContents"/>
              <w:bidi w:val="0"/>
              <w:spacing w:before="0" w:after="283"/>
              <w:jc w:val="left"/>
              <w:rPr/>
            </w:pPr>
            <w:r>
              <w:rPr/>
              <w:t> </w:t>
            </w:r>
          </w:p>
        </w:tc>
        <w:tc>
          <w:tcPr>
            <w:tcW w:w="4580" w:type="dxa"/>
            <w:tcBorders/>
            <w:tcMar>
              <w:bottom w:w="0" w:type="dxa"/>
            </w:tcMar>
            <w:vAlign w:val="center"/>
          </w:tcPr>
          <w:p>
            <w:pPr>
              <w:pStyle w:val="TableContents"/>
              <w:bidi w:val="0"/>
              <w:spacing w:before="0" w:after="283"/>
              <w:jc w:val="left"/>
              <w:rPr/>
            </w:pPr>
            <w:r>
              <w:rPr/>
              <w:t>(Principal Financial and Accounting Officer)</w:t>
            </w:r>
          </w:p>
        </w:tc>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center"/>
              <w:rPr/>
            </w:pPr>
            <w:r>
              <w:rPr/>
              <w:t> </w:t>
            </w:r>
          </w:p>
        </w:tc>
      </w:tr>
      <w:tr>
        <w:trPr/>
        <w:tc>
          <w:tcPr>
            <w:tcW w:w="209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45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center"/>
              <w:rPr/>
            </w:pPr>
            <w:r>
              <w:rPr/>
              <w:t> </w:t>
            </w:r>
          </w:p>
        </w:tc>
      </w:tr>
      <w:tr>
        <w:trPr/>
        <w:tc>
          <w:tcPr>
            <w:tcW w:w="2090" w:type="dxa"/>
            <w:tcBorders>
              <w:bottom w:val="single" w:sz="12" w:space="0" w:color="000000"/>
            </w:tcBorders>
            <w:vAlign w:val="center"/>
          </w:tcPr>
          <w:p>
            <w:pPr>
              <w:pStyle w:val="TableContents"/>
              <w:bidi w:val="0"/>
              <w:spacing w:before="0" w:after="283"/>
              <w:jc w:val="center"/>
              <w:rPr/>
            </w:pPr>
            <w:r>
              <w:rPr/>
              <w:t>/s/ Robert B. Chess</w:t>
            </w:r>
          </w:p>
        </w:tc>
        <w:tc>
          <w:tcPr>
            <w:tcW w:w="60" w:type="dxa"/>
            <w:tcBorders/>
            <w:tcMar>
              <w:bottom w:w="0" w:type="dxa"/>
            </w:tcMar>
            <w:vAlign w:val="center"/>
          </w:tcPr>
          <w:p>
            <w:pPr>
              <w:pStyle w:val="TableContents"/>
              <w:bidi w:val="0"/>
              <w:spacing w:before="0" w:after="283"/>
              <w:jc w:val="left"/>
              <w:rPr/>
            </w:pPr>
            <w:r>
              <w:rPr/>
              <w:t> </w:t>
            </w:r>
          </w:p>
        </w:tc>
        <w:tc>
          <w:tcPr>
            <w:tcW w:w="4580" w:type="dxa"/>
            <w:tcBorders/>
            <w:tcMar>
              <w:bottom w:w="0" w:type="dxa"/>
            </w:tcMar>
            <w:vAlign w:val="center"/>
          </w:tcPr>
          <w:p>
            <w:pPr>
              <w:pStyle w:val="TableContents"/>
              <w:bidi w:val="0"/>
              <w:spacing w:before="0" w:after="283"/>
              <w:jc w:val="left"/>
              <w:rPr/>
            </w:pPr>
            <w:r>
              <w:rPr>
                <w:shd w:fill="FFFFFF" w:val="clear"/>
              </w:rPr>
              <w:t xml:space="preserve">Director, Chairman of the </w:t>
            </w:r>
            <w:r>
              <w:rPr/>
              <w:t>Board of Directors</w:t>
            </w:r>
          </w:p>
        </w:tc>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center"/>
              <w:rPr/>
            </w:pPr>
            <w:r>
              <w:rPr/>
              <w:t>October 19, 2026</w:t>
            </w:r>
          </w:p>
        </w:tc>
      </w:tr>
      <w:tr>
        <w:trPr/>
        <w:tc>
          <w:tcPr>
            <w:tcW w:w="2090" w:type="dxa"/>
            <w:tcBorders/>
            <w:tcMar>
              <w:bottom w:w="0" w:type="dxa"/>
            </w:tcMar>
            <w:vAlign w:val="center"/>
          </w:tcPr>
          <w:p>
            <w:pPr>
              <w:pStyle w:val="TableContents"/>
              <w:bidi w:val="0"/>
              <w:spacing w:before="0" w:after="283"/>
              <w:jc w:val="center"/>
              <w:rPr/>
            </w:pPr>
            <w:r>
              <w:rPr/>
              <w:t>Robert B. Chess</w:t>
            </w:r>
          </w:p>
        </w:tc>
        <w:tc>
          <w:tcPr>
            <w:tcW w:w="60" w:type="dxa"/>
            <w:tcBorders/>
            <w:tcMar>
              <w:bottom w:w="0" w:type="dxa"/>
            </w:tcMar>
            <w:vAlign w:val="center"/>
          </w:tcPr>
          <w:p>
            <w:pPr>
              <w:pStyle w:val="TableContents"/>
              <w:bidi w:val="0"/>
              <w:spacing w:before="0" w:after="283"/>
              <w:jc w:val="left"/>
              <w:rPr/>
            </w:pPr>
            <w:r>
              <w:rPr/>
              <w:t> </w:t>
            </w:r>
          </w:p>
        </w:tc>
        <w:tc>
          <w:tcPr>
            <w:tcW w:w="45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center"/>
              <w:rPr/>
            </w:pPr>
            <w:r>
              <w:rPr/>
              <w:t> </w:t>
            </w:r>
          </w:p>
        </w:tc>
      </w:tr>
      <w:tr>
        <w:trPr/>
        <w:tc>
          <w:tcPr>
            <w:tcW w:w="209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45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center"/>
              <w:rPr/>
            </w:pPr>
            <w:r>
              <w:rPr/>
              <w:t> </w:t>
            </w:r>
          </w:p>
        </w:tc>
      </w:tr>
      <w:tr>
        <w:trPr/>
        <w:tc>
          <w:tcPr>
            <w:tcW w:w="2090" w:type="dxa"/>
            <w:tcBorders>
              <w:bottom w:val="single" w:sz="12" w:space="0" w:color="000000"/>
            </w:tcBorders>
            <w:vAlign w:val="center"/>
          </w:tcPr>
          <w:p>
            <w:pPr>
              <w:pStyle w:val="TableContents"/>
              <w:bidi w:val="0"/>
              <w:spacing w:before="0" w:after="283"/>
              <w:jc w:val="center"/>
              <w:rPr/>
            </w:pPr>
            <w:r>
              <w:rPr/>
              <w:t>/s/ Diana M. Brainard</w:t>
            </w:r>
          </w:p>
        </w:tc>
        <w:tc>
          <w:tcPr>
            <w:tcW w:w="60" w:type="dxa"/>
            <w:tcBorders/>
            <w:tcMar>
              <w:bottom w:w="0" w:type="dxa"/>
            </w:tcMar>
            <w:vAlign w:val="center"/>
          </w:tcPr>
          <w:p>
            <w:pPr>
              <w:pStyle w:val="TableContents"/>
              <w:bidi w:val="0"/>
              <w:spacing w:before="0" w:after="283"/>
              <w:jc w:val="left"/>
              <w:rPr/>
            </w:pPr>
            <w:r>
              <w:rPr/>
              <w:t> </w:t>
            </w:r>
          </w:p>
        </w:tc>
        <w:tc>
          <w:tcPr>
            <w:tcW w:w="4580" w:type="dxa"/>
            <w:tcBorders/>
            <w:tcMar>
              <w:bottom w:w="0" w:type="dxa"/>
            </w:tcMar>
            <w:vAlign w:val="center"/>
          </w:tcPr>
          <w:p>
            <w:pPr>
              <w:pStyle w:val="TableContents"/>
              <w:bidi w:val="0"/>
              <w:spacing w:before="0" w:after="283"/>
              <w:jc w:val="left"/>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center"/>
              <w:rPr/>
            </w:pPr>
            <w:r>
              <w:rPr/>
              <w:t>October 19, 2026</w:t>
            </w:r>
          </w:p>
        </w:tc>
      </w:tr>
      <w:tr>
        <w:trPr/>
        <w:tc>
          <w:tcPr>
            <w:tcW w:w="2090" w:type="dxa"/>
            <w:tcBorders/>
            <w:tcMar>
              <w:bottom w:w="0" w:type="dxa"/>
            </w:tcMar>
            <w:vAlign w:val="center"/>
          </w:tcPr>
          <w:p>
            <w:pPr>
              <w:pStyle w:val="TableContents"/>
              <w:bidi w:val="0"/>
              <w:spacing w:before="0" w:after="283"/>
              <w:jc w:val="center"/>
              <w:rPr/>
            </w:pPr>
            <w:r>
              <w:rPr/>
              <w:t>Diana M. Brainard</w:t>
            </w:r>
          </w:p>
        </w:tc>
        <w:tc>
          <w:tcPr>
            <w:tcW w:w="60" w:type="dxa"/>
            <w:tcBorders/>
            <w:tcMar>
              <w:bottom w:w="0" w:type="dxa"/>
            </w:tcMar>
            <w:vAlign w:val="center"/>
          </w:tcPr>
          <w:p>
            <w:pPr>
              <w:pStyle w:val="TableContents"/>
              <w:bidi w:val="0"/>
              <w:spacing w:before="0" w:after="283"/>
              <w:jc w:val="left"/>
              <w:rPr/>
            </w:pPr>
            <w:r>
              <w:rPr/>
              <w:t> </w:t>
            </w:r>
          </w:p>
        </w:tc>
        <w:tc>
          <w:tcPr>
            <w:tcW w:w="45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center"/>
              <w:rPr/>
            </w:pPr>
            <w:r>
              <w:rPr/>
              <w:t> </w:t>
            </w:r>
          </w:p>
        </w:tc>
      </w:tr>
      <w:tr>
        <w:trPr/>
        <w:tc>
          <w:tcPr>
            <w:tcW w:w="209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45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center"/>
              <w:rPr/>
            </w:pPr>
            <w:r>
              <w:rPr/>
              <w:t> </w:t>
            </w:r>
          </w:p>
        </w:tc>
      </w:tr>
      <w:tr>
        <w:trPr/>
        <w:tc>
          <w:tcPr>
            <w:tcW w:w="2090" w:type="dxa"/>
            <w:tcBorders>
              <w:bottom w:val="single" w:sz="12" w:space="0" w:color="000000"/>
            </w:tcBorders>
            <w:vAlign w:val="center"/>
          </w:tcPr>
          <w:p>
            <w:pPr>
              <w:pStyle w:val="TableContents"/>
              <w:bidi w:val="0"/>
              <w:spacing w:before="0" w:after="283"/>
              <w:jc w:val="center"/>
              <w:rPr/>
            </w:pPr>
            <w:r>
              <w:rPr/>
              <w:t>/s/ Jeffrey R. Ajer</w:t>
            </w:r>
          </w:p>
        </w:tc>
        <w:tc>
          <w:tcPr>
            <w:tcW w:w="60" w:type="dxa"/>
            <w:tcBorders/>
            <w:tcMar>
              <w:bottom w:w="0" w:type="dxa"/>
            </w:tcMar>
            <w:vAlign w:val="center"/>
          </w:tcPr>
          <w:p>
            <w:pPr>
              <w:pStyle w:val="TableContents"/>
              <w:bidi w:val="0"/>
              <w:spacing w:before="0" w:after="283"/>
              <w:jc w:val="left"/>
              <w:rPr/>
            </w:pPr>
            <w:r>
              <w:rPr/>
              <w:t> </w:t>
            </w:r>
          </w:p>
        </w:tc>
        <w:tc>
          <w:tcPr>
            <w:tcW w:w="4580" w:type="dxa"/>
            <w:tcBorders/>
            <w:tcMar>
              <w:bottom w:w="0" w:type="dxa"/>
            </w:tcMar>
            <w:vAlign w:val="center"/>
          </w:tcPr>
          <w:p>
            <w:pPr>
              <w:pStyle w:val="TableContents"/>
              <w:bidi w:val="0"/>
              <w:spacing w:before="0" w:after="283"/>
              <w:jc w:val="left"/>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center"/>
              <w:rPr/>
            </w:pPr>
            <w:r>
              <w:rPr/>
              <w:t>October 19, 2026</w:t>
            </w:r>
          </w:p>
        </w:tc>
      </w:tr>
      <w:tr>
        <w:trPr/>
        <w:tc>
          <w:tcPr>
            <w:tcW w:w="2090" w:type="dxa"/>
            <w:tcBorders/>
            <w:tcMar>
              <w:bottom w:w="0" w:type="dxa"/>
            </w:tcMar>
            <w:vAlign w:val="center"/>
          </w:tcPr>
          <w:p>
            <w:pPr>
              <w:pStyle w:val="TableContents"/>
              <w:bidi w:val="0"/>
              <w:spacing w:before="0" w:after="283"/>
              <w:jc w:val="center"/>
              <w:rPr/>
            </w:pPr>
            <w:r>
              <w:rPr/>
              <w:t>Jeffrey R. Ajer</w:t>
            </w:r>
          </w:p>
        </w:tc>
        <w:tc>
          <w:tcPr>
            <w:tcW w:w="60" w:type="dxa"/>
            <w:tcBorders/>
            <w:tcMar>
              <w:bottom w:w="0" w:type="dxa"/>
            </w:tcMar>
            <w:vAlign w:val="center"/>
          </w:tcPr>
          <w:p>
            <w:pPr>
              <w:pStyle w:val="TableContents"/>
              <w:bidi w:val="0"/>
              <w:spacing w:before="0" w:after="283"/>
              <w:jc w:val="left"/>
              <w:rPr/>
            </w:pPr>
            <w:r>
              <w:rPr/>
              <w:t> </w:t>
            </w:r>
          </w:p>
        </w:tc>
        <w:tc>
          <w:tcPr>
            <w:tcW w:w="45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center"/>
              <w:rPr/>
            </w:pPr>
            <w:r>
              <w:rPr/>
              <w:t> </w:t>
            </w:r>
          </w:p>
        </w:tc>
      </w:tr>
      <w:tr>
        <w:trPr/>
        <w:tc>
          <w:tcPr>
            <w:tcW w:w="209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45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center"/>
              <w:rPr/>
            </w:pPr>
            <w:r>
              <w:rPr/>
              <w:t> </w:t>
            </w:r>
          </w:p>
        </w:tc>
      </w:tr>
      <w:tr>
        <w:trPr/>
        <w:tc>
          <w:tcPr>
            <w:tcW w:w="2090" w:type="dxa"/>
            <w:tcBorders>
              <w:bottom w:val="single" w:sz="12" w:space="0" w:color="000000"/>
            </w:tcBorders>
            <w:vAlign w:val="center"/>
          </w:tcPr>
          <w:p>
            <w:pPr>
              <w:pStyle w:val="TableContents"/>
              <w:bidi w:val="0"/>
              <w:spacing w:before="0" w:after="283"/>
              <w:jc w:val="center"/>
              <w:rPr/>
            </w:pPr>
            <w:r>
              <w:rPr/>
              <w:t>/s/ R. Scott Greer</w:t>
            </w:r>
          </w:p>
        </w:tc>
        <w:tc>
          <w:tcPr>
            <w:tcW w:w="60" w:type="dxa"/>
            <w:tcBorders/>
            <w:tcMar>
              <w:bottom w:w="0" w:type="dxa"/>
            </w:tcMar>
            <w:vAlign w:val="center"/>
          </w:tcPr>
          <w:p>
            <w:pPr>
              <w:pStyle w:val="TableContents"/>
              <w:bidi w:val="0"/>
              <w:spacing w:before="0" w:after="283"/>
              <w:jc w:val="left"/>
              <w:rPr/>
            </w:pPr>
            <w:r>
              <w:rPr/>
              <w:t> </w:t>
            </w:r>
          </w:p>
        </w:tc>
        <w:tc>
          <w:tcPr>
            <w:tcW w:w="4580" w:type="dxa"/>
            <w:tcBorders/>
            <w:tcMar>
              <w:bottom w:w="0" w:type="dxa"/>
            </w:tcMar>
            <w:vAlign w:val="center"/>
          </w:tcPr>
          <w:p>
            <w:pPr>
              <w:pStyle w:val="TableContents"/>
              <w:bidi w:val="0"/>
              <w:spacing w:before="0" w:after="283"/>
              <w:jc w:val="left"/>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center"/>
              <w:rPr/>
            </w:pPr>
            <w:r>
              <w:rPr/>
              <w:t>October 19, 2026</w:t>
            </w:r>
          </w:p>
        </w:tc>
      </w:tr>
      <w:tr>
        <w:trPr/>
        <w:tc>
          <w:tcPr>
            <w:tcW w:w="2090" w:type="dxa"/>
            <w:tcBorders/>
            <w:tcMar>
              <w:bottom w:w="0" w:type="dxa"/>
            </w:tcMar>
            <w:vAlign w:val="center"/>
          </w:tcPr>
          <w:p>
            <w:pPr>
              <w:pStyle w:val="TableContents"/>
              <w:bidi w:val="0"/>
              <w:spacing w:before="0" w:after="283"/>
              <w:jc w:val="center"/>
              <w:rPr/>
            </w:pPr>
            <w:r>
              <w:rPr/>
              <w:t>R. Scott Greer</w:t>
            </w:r>
          </w:p>
        </w:tc>
        <w:tc>
          <w:tcPr>
            <w:tcW w:w="60" w:type="dxa"/>
            <w:tcBorders/>
            <w:tcMar>
              <w:bottom w:w="0" w:type="dxa"/>
            </w:tcMar>
            <w:vAlign w:val="center"/>
          </w:tcPr>
          <w:p>
            <w:pPr>
              <w:pStyle w:val="TableContents"/>
              <w:bidi w:val="0"/>
              <w:spacing w:before="0" w:after="283"/>
              <w:jc w:val="left"/>
              <w:rPr/>
            </w:pPr>
            <w:r>
              <w:rPr/>
              <w:t> </w:t>
            </w:r>
          </w:p>
        </w:tc>
        <w:tc>
          <w:tcPr>
            <w:tcW w:w="45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center"/>
              <w:rPr/>
            </w:pPr>
            <w:r>
              <w:rPr/>
              <w:t> </w:t>
            </w:r>
          </w:p>
        </w:tc>
      </w:tr>
      <w:tr>
        <w:trPr/>
        <w:tc>
          <w:tcPr>
            <w:tcW w:w="209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45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center"/>
              <w:rPr/>
            </w:pPr>
            <w:r>
              <w:rPr/>
              <w:t> </w:t>
            </w:r>
          </w:p>
        </w:tc>
      </w:tr>
      <w:tr>
        <w:trPr/>
        <w:tc>
          <w:tcPr>
            <w:tcW w:w="2090" w:type="dxa"/>
            <w:tcBorders>
              <w:bottom w:val="single" w:sz="12" w:space="0" w:color="000000"/>
            </w:tcBorders>
            <w:vAlign w:val="center"/>
          </w:tcPr>
          <w:p>
            <w:pPr>
              <w:pStyle w:val="TableContents"/>
              <w:bidi w:val="0"/>
              <w:spacing w:before="0" w:after="283"/>
              <w:jc w:val="center"/>
              <w:rPr/>
            </w:pPr>
            <w:r>
              <w:rPr/>
              <w:t>/s/ Roy A. Whitfield</w:t>
            </w:r>
          </w:p>
        </w:tc>
        <w:tc>
          <w:tcPr>
            <w:tcW w:w="60" w:type="dxa"/>
            <w:tcBorders/>
            <w:tcMar>
              <w:bottom w:w="0" w:type="dxa"/>
            </w:tcMar>
            <w:vAlign w:val="center"/>
          </w:tcPr>
          <w:p>
            <w:pPr>
              <w:pStyle w:val="TableContents"/>
              <w:bidi w:val="0"/>
              <w:spacing w:before="0" w:after="283"/>
              <w:jc w:val="left"/>
              <w:rPr/>
            </w:pPr>
            <w:r>
              <w:rPr/>
              <w:t> </w:t>
            </w:r>
          </w:p>
        </w:tc>
        <w:tc>
          <w:tcPr>
            <w:tcW w:w="4580" w:type="dxa"/>
            <w:tcBorders/>
            <w:tcMar>
              <w:bottom w:w="0" w:type="dxa"/>
            </w:tcMar>
            <w:vAlign w:val="center"/>
          </w:tcPr>
          <w:p>
            <w:pPr>
              <w:pStyle w:val="TableContents"/>
              <w:bidi w:val="0"/>
              <w:spacing w:before="0" w:after="283"/>
              <w:jc w:val="left"/>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center"/>
              <w:rPr/>
            </w:pPr>
            <w:r>
              <w:rPr/>
              <w:t>October 19, 2026</w:t>
            </w:r>
          </w:p>
        </w:tc>
      </w:tr>
      <w:tr>
        <w:trPr/>
        <w:tc>
          <w:tcPr>
            <w:tcW w:w="2090" w:type="dxa"/>
            <w:tcBorders/>
            <w:tcMar>
              <w:bottom w:w="0" w:type="dxa"/>
            </w:tcMar>
            <w:vAlign w:val="center"/>
          </w:tcPr>
          <w:p>
            <w:pPr>
              <w:pStyle w:val="TableContents"/>
              <w:bidi w:val="0"/>
              <w:spacing w:before="0" w:after="283"/>
              <w:jc w:val="center"/>
              <w:rPr/>
            </w:pPr>
            <w:r>
              <w:rPr/>
              <w:t>Roy A. Whitfield</w:t>
            </w:r>
          </w:p>
        </w:tc>
        <w:tc>
          <w:tcPr>
            <w:tcW w:w="60" w:type="dxa"/>
            <w:tcBorders/>
            <w:tcMar>
              <w:bottom w:w="0" w:type="dxa"/>
            </w:tcMar>
            <w:vAlign w:val="center"/>
          </w:tcPr>
          <w:p>
            <w:pPr>
              <w:pStyle w:val="TableContents"/>
              <w:bidi w:val="0"/>
              <w:spacing w:before="0" w:after="283"/>
              <w:jc w:val="left"/>
              <w:rPr/>
            </w:pPr>
            <w:r>
              <w:rPr/>
              <w:t> </w:t>
            </w:r>
          </w:p>
        </w:tc>
        <w:tc>
          <w:tcPr>
            <w:tcW w:w="45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center"/>
              <w:rPr/>
            </w:pPr>
            <w:r>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II-2</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 w:name="ea030898701ex4-8.htm"/>
      <w:bookmarkStart w:id="4" w:name="ksea030898701ex48"/>
      <w:bookmarkEnd w:id="3"/>
      <w:bookmarkEnd w:id="4"/>
      <w:r>
        <w:rPr>
          <w:rFonts w:ascii="Times New Roman;Times;Serif" w:hAnsi="Times New Roman;Times;Serif"/>
          <w:b/>
          <w:i w:val="false"/>
          <w:caps w:val="false"/>
          <w:smallCaps w:val="false"/>
          <w:sz w:val="20"/>
        </w:rPr>
        <w:t>Exhibit 4.8 </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NEKTAR THERAPEUTICS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 INDUCEMENT PLAN</w:t>
      </w:r>
    </w:p>
    <w:p>
      <w:pPr>
        <w:pStyle w:val="TextBody"/>
        <w:bidi w:val="0"/>
        <w:spacing w:before="0" w:after="0"/>
        <w:ind w:left="0" w:right="0" w:hanging="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2"/>
        <w:gridCol w:w="804"/>
        <w:gridCol w:w="9249"/>
      </w:tblGrid>
      <w:tr>
        <w:trPr/>
        <w:tc>
          <w:tcPr>
            <w:tcW w:w="152"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b/>
              </w:rPr>
            </w:pPr>
            <w:r>
              <w:rPr>
                <w:b/>
              </w:rPr>
              <w:t>1.</w:t>
            </w:r>
          </w:p>
        </w:tc>
        <w:tc>
          <w:tcPr>
            <w:tcW w:w="9249" w:type="dxa"/>
            <w:tcBorders/>
            <w:vAlign w:val="center"/>
          </w:tcPr>
          <w:p>
            <w:pPr>
              <w:pStyle w:val="TableContents"/>
              <w:bidi w:val="0"/>
              <w:spacing w:before="0" w:after="283"/>
              <w:jc w:val="left"/>
              <w:rPr>
                <w:b/>
              </w:rPr>
            </w:pPr>
            <w:r>
              <w:rPr>
                <w:b/>
              </w:rPr>
              <w:t>PURPOSE OF PLAN</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this Nektar Therapeutics 2025 Inducement Plan (this “</w:t>
      </w:r>
      <w:r>
        <w:rPr>
          <w:rFonts w:ascii="Times New Roman;Times;Serif" w:hAnsi="Times New Roman;Times;Serif"/>
          <w:b/>
          <w:i w:val="false"/>
          <w:caps w:val="false"/>
          <w:smallCaps w:val="false"/>
          <w:sz w:val="20"/>
        </w:rPr>
        <w:t>Plan</w:t>
      </w:r>
      <w:r>
        <w:rPr>
          <w:rFonts w:ascii="Times New Roman;Times;Serif" w:hAnsi="Times New Roman;Times;Serif"/>
          <w:b w:val="false"/>
          <w:i w:val="false"/>
          <w:caps w:val="false"/>
          <w:smallCaps w:val="false"/>
          <w:sz w:val="20"/>
        </w:rPr>
        <w:t>”) of Nektar Therapeutics, a Delaware corporation (the “</w:t>
      </w:r>
      <w:r>
        <w:rPr>
          <w:rFonts w:ascii="Times New Roman;Times;Serif" w:hAnsi="Times New Roman;Times;Serif"/>
          <w:b/>
          <w:i w:val="false"/>
          <w:caps w:val="false"/>
          <w:smallCaps w:val="false"/>
          <w:sz w:val="20"/>
        </w:rPr>
        <w:t>Corporation</w:t>
      </w:r>
      <w:r>
        <w:rPr>
          <w:rFonts w:ascii="Times New Roman;Times;Serif" w:hAnsi="Times New Roman;Times;Serif"/>
          <w:b w:val="false"/>
          <w:i w:val="false"/>
          <w:caps w:val="false"/>
          <w:smallCaps w:val="false"/>
          <w:sz w:val="20"/>
        </w:rPr>
        <w:t>”), is to enable the Corporation and its Subsidiaries (as such term is defined in Section 2) to grant equity awards to induce highly-qualified prospective officers and employees who are not currently employed by the Company or its Subsidiaries to accept employment and to provide them with a proprietary interest in the Corporation. It is anticipated that providing such persons with a direct stake in the Corporation’s welfare will assure a closer identification of their interests with those of the Corporation and its stockholders, thereby stimulating their efforts on the Corporation’s behalf and strengthening their desire to remain with the Corporation. The Corporation intends that the Plan be reserved for persons to whom the Corporation may issue securities without stockholder approval as an inducement pursuant to Rule 5635(c)(4) of the Nasdaq Stock Market Listing Rules.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13"/>
        <w:gridCol w:w="1122"/>
        <w:gridCol w:w="8870"/>
      </w:tblGrid>
      <w:tr>
        <w:trPr/>
        <w:tc>
          <w:tcPr>
            <w:tcW w:w="213"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b/>
              </w:rPr>
            </w:pPr>
            <w:r>
              <w:rPr>
                <w:b/>
              </w:rPr>
              <w:t>2.</w:t>
            </w:r>
          </w:p>
        </w:tc>
        <w:tc>
          <w:tcPr>
            <w:tcW w:w="8870" w:type="dxa"/>
            <w:tcBorders/>
            <w:vAlign w:val="center"/>
          </w:tcPr>
          <w:p>
            <w:pPr>
              <w:pStyle w:val="TableContents"/>
              <w:bidi w:val="0"/>
              <w:spacing w:before="0" w:after="283"/>
              <w:jc w:val="left"/>
              <w:rPr>
                <w:b/>
              </w:rPr>
            </w:pPr>
            <w:r>
              <w:rPr>
                <w:b/>
              </w:rPr>
              <w:t>ELIGIBILITY</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Administrator (as such term is defined in Section 3.1) may grant awards under this Plan only to those persons that the Administrator determines to be Eligible Persons. An “</w:t>
      </w:r>
      <w:r>
        <w:rPr>
          <w:rFonts w:ascii="Times New Roman;Times;Serif" w:hAnsi="Times New Roman;Times;Serif"/>
          <w:b/>
          <w:i w:val="false"/>
          <w:caps w:val="false"/>
          <w:smallCaps w:val="false"/>
          <w:sz w:val="20"/>
        </w:rPr>
        <w:t>Eligible Person</w:t>
      </w:r>
      <w:r>
        <w:rPr>
          <w:rFonts w:ascii="Times New Roman;Times;Serif" w:hAnsi="Times New Roman;Times;Serif"/>
          <w:b w:val="false"/>
          <w:i w:val="false"/>
          <w:caps w:val="false"/>
          <w:smallCaps w:val="false"/>
          <w:sz w:val="20"/>
        </w:rPr>
        <w:t>” is any employee of the Corporation or any of its Subsidiaries who was not previously an employee of the Corporation or any of its Subsidiaries (or who has had a bona fide period of non-employment with the Corporation and its Subsidiaries), who is hired as a full or part-time employee by the Corporation or one of its Subsidiaries, and for whom the award is being made as an inducement material to the individual’s entering into such employment;. An Eligible Person who has been granted an award (a “</w:t>
      </w:r>
      <w:r>
        <w:rPr>
          <w:rFonts w:ascii="Times New Roman;Times;Serif" w:hAnsi="Times New Roman;Times;Serif"/>
          <w:b/>
          <w:i w:val="false"/>
          <w:caps w:val="false"/>
          <w:smallCaps w:val="false"/>
          <w:sz w:val="20"/>
        </w:rPr>
        <w:t>participant</w:t>
      </w:r>
      <w:r>
        <w:rPr>
          <w:rFonts w:ascii="Times New Roman;Times;Serif" w:hAnsi="Times New Roman;Times;Serif"/>
          <w:b w:val="false"/>
          <w:i w:val="false"/>
          <w:caps w:val="false"/>
          <w:smallCaps w:val="false"/>
          <w:sz w:val="20"/>
        </w:rPr>
        <w:t>”) may, if otherwise eligible, be granted additional awards if the Administrator shall so determine. As used herein, “</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means any corporation or other entity a majority of whose outstanding voting stock or voting power is beneficially owned directly or indirectly by the Corporation; and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means the Board of Directors of the Corporation.</w:t>
      </w:r>
    </w:p>
    <w:p>
      <w:pPr>
        <w:pStyle w:val="TextBody"/>
        <w:bidi w:val="0"/>
        <w:spacing w:before="0" w:after="0"/>
        <w:ind w:left="36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0"/>
        <w:gridCol w:w="632"/>
        <w:gridCol w:w="9453"/>
      </w:tblGrid>
      <w:tr>
        <w:trPr/>
        <w:tc>
          <w:tcPr>
            <w:tcW w:w="12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b/>
              </w:rPr>
            </w:pPr>
            <w:r>
              <w:rPr>
                <w:b/>
              </w:rPr>
              <w:t>3.</w:t>
            </w:r>
          </w:p>
        </w:tc>
        <w:tc>
          <w:tcPr>
            <w:tcW w:w="9453" w:type="dxa"/>
            <w:tcBorders/>
            <w:vAlign w:val="center"/>
          </w:tcPr>
          <w:p>
            <w:pPr>
              <w:pStyle w:val="TableContents"/>
              <w:bidi w:val="0"/>
              <w:spacing w:before="0" w:after="283"/>
              <w:jc w:val="left"/>
              <w:rPr>
                <w:b/>
              </w:rPr>
            </w:pPr>
            <w:r>
              <w:rPr>
                <w:b/>
              </w:rPr>
              <w:t>PLAN ADMINISTRATION</w:t>
            </w:r>
          </w:p>
        </w:tc>
      </w:tr>
    </w:tbl>
    <w:p>
      <w:pPr>
        <w:pStyle w:val="TextBody"/>
        <w:bidi w:val="0"/>
        <w:spacing w:before="0" w:after="0"/>
        <w:ind w:left="3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6"/>
        <w:gridCol w:w="9841"/>
      </w:tblGrid>
      <w:tr>
        <w:trPr/>
        <w:tc>
          <w:tcPr>
            <w:tcW w:w="38"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b/>
              </w:rPr>
            </w:pPr>
            <w:r>
              <w:rPr>
                <w:b/>
              </w:rPr>
              <w:t>3.1.</w:t>
            </w:r>
          </w:p>
        </w:tc>
        <w:tc>
          <w:tcPr>
            <w:tcW w:w="9841" w:type="dxa"/>
            <w:tcBorders/>
            <w:vAlign w:val="center"/>
          </w:tcPr>
          <w:p>
            <w:pPr>
              <w:pStyle w:val="TableContents"/>
              <w:bidi w:val="0"/>
              <w:spacing w:before="0" w:after="283"/>
              <w:jc w:val="left"/>
              <w:rPr/>
            </w:pPr>
            <w:r>
              <w:rPr>
                <w:b/>
                <w:i/>
              </w:rPr>
              <w:t>The Administrator</w:t>
            </w:r>
            <w:r>
              <w:rPr>
                <w:b/>
              </w:rPr>
              <w:t>.</w:t>
            </w:r>
            <w:r>
              <w:rPr/>
              <w:t xml:space="preserve"> This Plan shall be administered by and all awards under this Plan shall be authorized by the Administrator. The “</w:t>
            </w:r>
            <w:r>
              <w:rPr>
                <w:b/>
              </w:rPr>
              <w:t>Administrator</w:t>
            </w:r>
            <w:r>
              <w:rPr/>
              <w:t>” means the Board or one or more committees appointed by the Board or another committee (within its delegated authority) to administer all or certain aspects of this Plan. Any such committee shall be comprised solely of not less than two non-employee directors who are independent. Unless otherwise provided in the Bylaws of the Corporation or the applicable charter of any Administrator: (a) a majority of the members of the acting Administrator shall constitute a quorum, and (b) the vote of a majority of the members present assuming the presence of a quorum or the unanimous written consent of the members of the Administrator shall constitute action by the acting Administrator.</w:t>
            </w:r>
          </w:p>
        </w:tc>
      </w:tr>
    </w:tbl>
    <w:p>
      <w:pPr>
        <w:pStyle w:val="TextBody"/>
        <w:bidi w:val="0"/>
        <w:spacing w:before="0" w:after="0"/>
        <w:ind w:left="792" w:right="0" w:hanging="432"/>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35"/>
        <w:gridCol w:w="9832"/>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b/>
              </w:rPr>
            </w:pPr>
            <w:r>
              <w:rPr>
                <w:b/>
              </w:rPr>
              <w:t>3.2.</w:t>
            </w:r>
          </w:p>
        </w:tc>
        <w:tc>
          <w:tcPr>
            <w:tcW w:w="9832" w:type="dxa"/>
            <w:tcBorders/>
            <w:vAlign w:val="center"/>
          </w:tcPr>
          <w:p>
            <w:pPr>
              <w:pStyle w:val="TableContents"/>
              <w:bidi w:val="0"/>
              <w:spacing w:before="0" w:after="283"/>
              <w:jc w:val="left"/>
              <w:rPr/>
            </w:pPr>
            <w:r>
              <w:rPr>
                <w:b/>
                <w:i/>
              </w:rPr>
              <w:t>Powers of the Administrator</w:t>
            </w:r>
            <w:r>
              <w:rPr>
                <w:b/>
              </w:rPr>
              <w:t>.</w:t>
            </w:r>
            <w:r>
              <w:rPr/>
              <w:t xml:space="preserve"> Subject to the express provisions of this Plan, the Administrator is authorized and empowered to do all things necessary or desirable in connection with the authorization of awards and the administration of this Plan (in the case of a committee, within the authority delegated to that committee), including, without limitation, the authority to:</w:t>
            </w:r>
          </w:p>
        </w:tc>
      </w:tr>
    </w:tbl>
    <w:p>
      <w:pPr>
        <w:pStyle w:val="TextBody"/>
        <w:bidi w:val="0"/>
        <w:spacing w:before="0" w:after="0"/>
        <w:ind w:left="792"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9"/>
        <w:gridCol w:w="9918"/>
      </w:tblGrid>
      <w:tr>
        <w:trPr/>
        <w:tc>
          <w:tcPr>
            <w:tcW w:w="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(a)</w:t>
            </w:r>
          </w:p>
        </w:tc>
        <w:tc>
          <w:tcPr>
            <w:tcW w:w="9918" w:type="dxa"/>
            <w:tcBorders/>
            <w:vAlign w:val="center"/>
          </w:tcPr>
          <w:p>
            <w:pPr>
              <w:pStyle w:val="TableContents"/>
              <w:bidi w:val="0"/>
              <w:spacing w:before="0" w:after="283"/>
              <w:jc w:val="left"/>
              <w:rPr/>
            </w:pPr>
            <w:r>
              <w:rPr/>
              <w:t>determine eligibility and, from among those persons determined to be eligible, the particular Eligible Persons who will receive an award under this Plan;</w:t>
            </w:r>
          </w:p>
        </w:tc>
      </w:tr>
    </w:tbl>
    <w:p>
      <w:pPr>
        <w:pStyle w:val="TextBody"/>
        <w:bidi w:val="0"/>
        <w:spacing w:before="0" w:after="0"/>
        <w:ind w:left="792"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(b)</w:t>
            </w:r>
          </w:p>
        </w:tc>
        <w:tc>
          <w:tcPr>
            <w:tcW w:w="9942" w:type="dxa"/>
            <w:tcBorders/>
            <w:vAlign w:val="center"/>
          </w:tcPr>
          <w:p>
            <w:pPr>
              <w:pStyle w:val="TableContents"/>
              <w:bidi w:val="0"/>
              <w:spacing w:before="0" w:after="283"/>
              <w:jc w:val="left"/>
              <w:rPr/>
            </w:pPr>
            <w:r>
              <w:rPr/>
              <w:t>grant awards to Eligible Persons, determine the price at which securities will be offered or awarded and the number of securities to be offered or awarded to any of such persons, determine the other specific terms and conditions of such awards consistent with the express limits of this Plan, establish the installments (if any) in which such awards shall become exercisable or shall vest (which may include, without limitation, performance and/or time-based schedules), or determine that no delayed exercisability or vesting is required, establish any applicable performance targets, and establish the events of termination or reversion of such awards;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1 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5"/>
        <w:gridCol w:w="9902"/>
      </w:tblGrid>
      <w:tr>
        <w:trPr/>
        <w:tc>
          <w:tcPr>
            <w:tcW w:w="3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pPr>
            <w:r>
              <w:rPr/>
              <w:t>(c)</w:t>
            </w:r>
          </w:p>
        </w:tc>
        <w:tc>
          <w:tcPr>
            <w:tcW w:w="9902" w:type="dxa"/>
            <w:tcBorders/>
            <w:vAlign w:val="center"/>
          </w:tcPr>
          <w:p>
            <w:pPr>
              <w:pStyle w:val="TableContents"/>
              <w:bidi w:val="0"/>
              <w:spacing w:before="0" w:after="283"/>
              <w:jc w:val="left"/>
              <w:rPr/>
            </w:pPr>
            <w:r>
              <w:rPr/>
              <w:t>approve the forms of award agreements (which need not be identical either as to type of award or among participants);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6"/>
        <w:gridCol w:w="9931"/>
      </w:tblGrid>
      <w:tr>
        <w:trPr/>
        <w:tc>
          <w:tcPr>
            <w:tcW w:w="3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(d)</w:t>
            </w:r>
          </w:p>
        </w:tc>
        <w:tc>
          <w:tcPr>
            <w:tcW w:w="9931" w:type="dxa"/>
            <w:tcBorders/>
            <w:vAlign w:val="center"/>
          </w:tcPr>
          <w:p>
            <w:pPr>
              <w:pStyle w:val="TableContents"/>
              <w:bidi w:val="0"/>
              <w:spacing w:before="0" w:after="283"/>
              <w:jc w:val="left"/>
              <w:rPr/>
            </w:pPr>
            <w:r>
              <w:rPr/>
              <w:t>construe and interpret this Plan and any agreements defining the rights and obligations of the Corporation, its Subsidiaries, and participants under this Plan, further define the terms used in this Plan, and prescribe, amend and rescind rules and regulations relating to the administration of this Plan or the awards granted under this Plan;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7"/>
        <w:gridCol w:w="9930"/>
      </w:tblGrid>
      <w:tr>
        <w:trPr/>
        <w:tc>
          <w:tcPr>
            <w:tcW w:w="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(e)</w:t>
            </w:r>
          </w:p>
        </w:tc>
        <w:tc>
          <w:tcPr>
            <w:tcW w:w="9930" w:type="dxa"/>
            <w:tcBorders/>
            <w:vAlign w:val="center"/>
          </w:tcPr>
          <w:p>
            <w:pPr>
              <w:pStyle w:val="TableContents"/>
              <w:bidi w:val="0"/>
              <w:spacing w:before="0" w:after="283"/>
              <w:jc w:val="left"/>
              <w:rPr/>
            </w:pPr>
            <w:r>
              <w:rPr/>
              <w:t>cancel, modify, or waive the Corporation’s rights with respect to, or modify, discontinue, suspend, or terminate any or all outstanding awards, subject to any required consent under Section 8.6.5;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(f)</w:t>
            </w:r>
          </w:p>
        </w:tc>
        <w:tc>
          <w:tcPr>
            <w:tcW w:w="9982" w:type="dxa"/>
            <w:tcBorders/>
            <w:vAlign w:val="center"/>
          </w:tcPr>
          <w:p>
            <w:pPr>
              <w:pStyle w:val="TableContents"/>
              <w:bidi w:val="0"/>
              <w:spacing w:before="0" w:after="283"/>
              <w:jc w:val="left"/>
              <w:rPr/>
            </w:pPr>
            <w:r>
              <w:rPr/>
              <w:t>accelerate or extend the vesting or exercisability or extend the term of any or all such outstanding awards (in the case of options or stock appreciation rights, within the maximum ten-year term of such awards) in such circumstances as the Administrator may deem appropriate (including, without limitation, in connection with a termination of employment or services or other events of a personal nature) subject to any required consent under Section 8.6.5;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6"/>
        <w:gridCol w:w="9931"/>
      </w:tblGrid>
      <w:tr>
        <w:trPr/>
        <w:tc>
          <w:tcPr>
            <w:tcW w:w="3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(g)</w:t>
            </w:r>
          </w:p>
        </w:tc>
        <w:tc>
          <w:tcPr>
            <w:tcW w:w="9931" w:type="dxa"/>
            <w:tcBorders/>
            <w:vAlign w:val="center"/>
          </w:tcPr>
          <w:p>
            <w:pPr>
              <w:pStyle w:val="TableContents"/>
              <w:bidi w:val="0"/>
              <w:spacing w:before="0" w:after="283"/>
              <w:jc w:val="left"/>
              <w:rPr/>
            </w:pPr>
            <w:r>
              <w:rPr/>
              <w:t>adjust the number of shares of Common Stock subject to any award, adjust the price of any or all outstanding awards or otherwise change previously imposed terms and conditions, in such circumstances as the Administrator may deem appropriate, in each case subject to Sections 4 and 8.6 (and subject to the no repricing provision below);</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9"/>
        <w:gridCol w:w="9928"/>
      </w:tblGrid>
      <w:tr>
        <w:trPr/>
        <w:tc>
          <w:tcPr>
            <w:tcW w:w="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(h)</w:t>
            </w:r>
          </w:p>
        </w:tc>
        <w:tc>
          <w:tcPr>
            <w:tcW w:w="9928" w:type="dxa"/>
            <w:tcBorders/>
            <w:vAlign w:val="center"/>
          </w:tcPr>
          <w:p>
            <w:pPr>
              <w:pStyle w:val="TableContents"/>
              <w:bidi w:val="0"/>
              <w:spacing w:before="0" w:after="283"/>
              <w:jc w:val="left"/>
              <w:rPr/>
            </w:pPr>
            <w:r>
              <w:rPr/>
              <w:t>determine the date of grant of an award, which may be a designated date after but not before the date of the Administrator’s action (unless otherwise designated by the Administrator, the date of grant of an award shall be the date upon which the Administrator took the action granting an award);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(i)</w:t>
            </w:r>
          </w:p>
        </w:tc>
        <w:tc>
          <w:tcPr>
            <w:tcW w:w="9982" w:type="dxa"/>
            <w:tcBorders/>
            <w:vAlign w:val="center"/>
          </w:tcPr>
          <w:p>
            <w:pPr>
              <w:pStyle w:val="TableContents"/>
              <w:bidi w:val="0"/>
              <w:spacing w:before="0" w:after="283"/>
              <w:jc w:val="left"/>
              <w:rPr/>
            </w:pPr>
            <w:r>
              <w:rPr/>
              <w:t>determine whether, and the extent to which, adjustments are required pursuant to Section 7 hereof and authorize the termination, conversion, substitution or succession of awards upon the occurrence of an event of the type described in Section 7;</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7"/>
        <w:gridCol w:w="9970"/>
      </w:tblGrid>
      <w:tr>
        <w:trPr/>
        <w:tc>
          <w:tcPr>
            <w:tcW w:w="3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pPr>
            <w:r>
              <w:rPr/>
              <w:t>(j)</w:t>
            </w:r>
          </w:p>
        </w:tc>
        <w:tc>
          <w:tcPr>
            <w:tcW w:w="9970" w:type="dxa"/>
            <w:tcBorders/>
            <w:vAlign w:val="center"/>
          </w:tcPr>
          <w:p>
            <w:pPr>
              <w:pStyle w:val="TableContents"/>
              <w:bidi w:val="0"/>
              <w:spacing w:before="0" w:after="283"/>
              <w:jc w:val="left"/>
              <w:rPr/>
            </w:pPr>
            <w:r>
              <w:rPr/>
              <w:t>acquire or settle (subject to Sections 7 and 8.6) rights under awards in cash, stock of equivalent value, or other consideration (subject to the no repricing provision below);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2"/>
        <w:gridCol w:w="9905"/>
      </w:tblGrid>
      <w:tr>
        <w:trPr/>
        <w:tc>
          <w:tcPr>
            <w:tcW w:w="3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pPr>
            <w:r>
              <w:rPr/>
              <w:t>(k)</w:t>
            </w:r>
          </w:p>
        </w:tc>
        <w:tc>
          <w:tcPr>
            <w:tcW w:w="9905" w:type="dxa"/>
            <w:tcBorders/>
            <w:vAlign w:val="center"/>
          </w:tcPr>
          <w:p>
            <w:pPr>
              <w:pStyle w:val="TableContents"/>
              <w:bidi w:val="0"/>
              <w:spacing w:before="0" w:after="283"/>
              <w:jc w:val="left"/>
              <w:rPr/>
            </w:pPr>
            <w:r>
              <w:rPr/>
              <w:t>determine the fair market value of the Common Stock or awards under this Plan from time to time and/or the manner in which such value will be determined.</w:t>
            </w:r>
          </w:p>
        </w:tc>
      </w:tr>
    </w:tbl>
    <w:p>
      <w:pPr>
        <w:pStyle w:val="TextBody"/>
        <w:bidi w:val="0"/>
        <w:spacing w:before="0" w:after="0"/>
        <w:ind w:left="792"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and except for an adjustment pursuant to Section 7.1 or a repricing approved by stockholders, in no case may the Administrator (1) amend an outstanding stock option or stock appreciation right to reduce the exercise price or base price of the award, (2) cancel, exchange, or surrender an outstanding stock option or stock appreciation right in exchange for cash or other awards for the purpose of repricing the award, or (3) cancel, exchange, or surrender an outstanding stock option or stock appreciation right in exchange for an option or stock appreciation right with an exercise or base price that is less than the exercise or base price of the original award.</w:t>
      </w:r>
    </w:p>
    <w:p>
      <w:pPr>
        <w:pStyle w:val="TextBody"/>
        <w:bidi w:val="0"/>
        <w:spacing w:before="0" w:after="0"/>
        <w:ind w:left="792"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5"/>
        <w:gridCol w:w="9842"/>
      </w:tblGrid>
      <w:tr>
        <w:trPr/>
        <w:tc>
          <w:tcPr>
            <w:tcW w:w="3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b/>
              </w:rPr>
            </w:pPr>
            <w:r>
              <w:rPr>
                <w:b/>
              </w:rPr>
              <w:t>3.3.</w:t>
            </w:r>
          </w:p>
        </w:tc>
        <w:tc>
          <w:tcPr>
            <w:tcW w:w="9842" w:type="dxa"/>
            <w:tcBorders/>
            <w:vAlign w:val="center"/>
          </w:tcPr>
          <w:p>
            <w:pPr>
              <w:pStyle w:val="TableContents"/>
              <w:bidi w:val="0"/>
              <w:spacing w:before="0" w:after="283"/>
              <w:jc w:val="left"/>
              <w:rPr/>
            </w:pPr>
            <w:r>
              <w:rPr>
                <w:b/>
                <w:i/>
              </w:rPr>
              <w:t>Binding Determinations</w:t>
            </w:r>
            <w:r>
              <w:rPr>
                <w:b/>
              </w:rPr>
              <w:t>.</w:t>
            </w:r>
            <w:r>
              <w:rPr/>
              <w:t xml:space="preserve"> Any action taken by, or inaction of, the Corporation, any Subsidiary, or the Administrator relating or pursuant to this Plan and within its authority hereunder or under applicable law shall be within the absolute discretion of that entity or body and shall be conclusive and binding upon all persons. Neither the Board nor any Board committee, nor any member thereof or person acting at the direction thereof, shall be liable for any act, omission, interpretation, construction or determination made in good faith in connection with this Plan (or any award made under this Plan), and all such persons shall be entitled to indemnification and reimbursement by the Corporation in respect of any claim, loss, damage or expense (including, without limitation, attorneys’ fees) arising or resulting therefrom to the fullest extent permitted by law and/or under any directors and officers liability insurance coverage that may be in effect from time to time.</w:t>
            </w:r>
          </w:p>
        </w:tc>
      </w:tr>
    </w:tbl>
    <w:p>
      <w:pPr>
        <w:pStyle w:val="TextBody"/>
        <w:bidi w:val="0"/>
        <w:spacing w:before="0" w:after="0"/>
        <w:ind w:left="792" w:right="0" w:hanging="0"/>
        <w:jc w:val="left"/>
        <w:rPr>
          <w:caps w:val="false"/>
          <w:smallCaps w:val="false"/>
        </w:rPr>
      </w:pPr>
      <w:r>
        <w:rPr>
          <w:caps w:val="false"/>
          <w:smallCaps w:val="false"/>
        </w:rPr>
        <w:t> </w:t>
      </w:r>
    </w:p>
    <w:p>
      <w:pPr>
        <w:pStyle w:val="TextBody"/>
        <w:bidi w:val="0"/>
        <w:spacing w:before="0" w:after="0"/>
        <w:ind w:left="792" w:right="0" w:hanging="0"/>
        <w:jc w:val="center"/>
        <w:rPr>
          <w:bdr w:val="single" w:sz="12" w:space="1" w:color="000000"/>
        </w:rPr>
      </w:pPr>
      <w:r>
        <w:rPr>
          <w:bdr w:val="single" w:sz="12" w:space="1" w:color="000000"/>
        </w:rPr>
        <w:t>2 </w:t>
      </w:r>
    </w:p>
    <w:p>
      <w:pPr>
        <w:pStyle w:val="TextBody"/>
        <w:bidi w:val="0"/>
        <w:spacing w:before="0" w:after="0"/>
        <w:ind w:left="792"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33"/>
        <w:gridCol w:w="9834"/>
      </w:tblGrid>
      <w:tr>
        <w:trPr/>
        <w:tc>
          <w:tcPr>
            <w:tcW w:w="3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b/>
              </w:rPr>
            </w:pPr>
            <w:r>
              <w:rPr>
                <w:b/>
              </w:rPr>
              <w:t>3.4.</w:t>
            </w:r>
          </w:p>
        </w:tc>
        <w:tc>
          <w:tcPr>
            <w:tcW w:w="9834" w:type="dxa"/>
            <w:tcBorders/>
            <w:vAlign w:val="center"/>
          </w:tcPr>
          <w:p>
            <w:pPr>
              <w:pStyle w:val="TableContents"/>
              <w:bidi w:val="0"/>
              <w:spacing w:before="0" w:after="283"/>
              <w:jc w:val="left"/>
              <w:rPr/>
            </w:pPr>
            <w:r>
              <w:rPr>
                <w:b/>
                <w:i/>
              </w:rPr>
              <w:t>Reliance on Experts</w:t>
            </w:r>
            <w:r>
              <w:rPr>
                <w:b/>
              </w:rPr>
              <w:t>.</w:t>
            </w:r>
            <w:r>
              <w:rPr/>
              <w:t xml:space="preserve"> In making any determination or in taking or not taking any action under this Plan, the Administrator may obtain and may rely upon the advice of experts, including employees and professional advisors to the Corporation. No director, officer or agent of the Corporation or any of its Subsidiaries shall be liable for any such action or determination taken or made or omitted in good faith.</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50"/>
        <w:gridCol w:w="9817"/>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b/>
              </w:rPr>
            </w:pPr>
            <w:r>
              <w:rPr>
                <w:b/>
              </w:rPr>
              <w:t>3.5.</w:t>
            </w:r>
          </w:p>
        </w:tc>
        <w:tc>
          <w:tcPr>
            <w:tcW w:w="9817" w:type="dxa"/>
            <w:tcBorders/>
            <w:vAlign w:val="center"/>
          </w:tcPr>
          <w:p>
            <w:pPr>
              <w:pStyle w:val="TableContents"/>
              <w:bidi w:val="0"/>
              <w:spacing w:before="0" w:after="283"/>
              <w:jc w:val="left"/>
              <w:rPr/>
            </w:pPr>
            <w:r>
              <w:rPr>
                <w:b/>
                <w:i/>
              </w:rPr>
              <w:t>Delegation</w:t>
            </w:r>
            <w:r>
              <w:rPr>
                <w:b/>
              </w:rPr>
              <w:t>.</w:t>
            </w:r>
            <w:r>
              <w:rPr/>
              <w:t xml:space="preserve"> The Administrator may delegate ministerial, non-discretionary functions to individuals who are officers or employees of the Corporation or any of its Subsidiaries or to third parties.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236"/>
        <w:gridCol w:w="9924"/>
      </w:tblGrid>
      <w:tr>
        <w:trPr/>
        <w:tc>
          <w:tcPr>
            <w:tcW w:w="4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b/>
              </w:rPr>
            </w:pPr>
            <w:r>
              <w:rPr>
                <w:b/>
              </w:rPr>
              <w:t>4.</w:t>
            </w:r>
          </w:p>
        </w:tc>
        <w:tc>
          <w:tcPr>
            <w:tcW w:w="9924" w:type="dxa"/>
            <w:tcBorders/>
            <w:vAlign w:val="center"/>
          </w:tcPr>
          <w:p>
            <w:pPr>
              <w:pStyle w:val="TableContents"/>
              <w:bidi w:val="0"/>
              <w:spacing w:before="0" w:after="283"/>
              <w:jc w:val="left"/>
              <w:rPr>
                <w:b/>
              </w:rPr>
            </w:pPr>
            <w:r>
              <w:rPr>
                <w:b/>
              </w:rPr>
              <w:t xml:space="preserve">SHARES OF COMMON STOCK SUBJECT TO THE PLAN; SHARE LIMITS </w:t>
            </w:r>
          </w:p>
        </w:tc>
      </w:tr>
    </w:tbl>
    <w:p>
      <w:pPr>
        <w:pStyle w:val="TextBody"/>
        <w:bidi w:val="0"/>
        <w:spacing w:before="0" w:after="0"/>
        <w:ind w:left="3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30"/>
        <w:gridCol w:w="9837"/>
      </w:tblGrid>
      <w:tr>
        <w:trPr/>
        <w:tc>
          <w:tcPr>
            <w:tcW w:w="3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b/>
              </w:rPr>
            </w:pPr>
            <w:r>
              <w:rPr>
                <w:b/>
              </w:rPr>
              <w:t>4.1.</w:t>
            </w:r>
          </w:p>
        </w:tc>
        <w:tc>
          <w:tcPr>
            <w:tcW w:w="9837" w:type="dxa"/>
            <w:tcBorders/>
            <w:vAlign w:val="center"/>
          </w:tcPr>
          <w:p>
            <w:pPr>
              <w:pStyle w:val="TableContents"/>
              <w:bidi w:val="0"/>
              <w:spacing w:before="0" w:after="283"/>
              <w:jc w:val="left"/>
              <w:rPr/>
            </w:pPr>
            <w:r>
              <w:rPr>
                <w:b/>
                <w:i/>
              </w:rPr>
              <w:t>Shares Available</w:t>
            </w:r>
            <w:r>
              <w:rPr>
                <w:b/>
              </w:rPr>
              <w:t>.</w:t>
            </w:r>
            <w:r>
              <w:rPr/>
              <w:t xml:space="preserve"> Subject to the provisions of Section 7.1, the capital stock that may be delivered under this Plan shall be shares of the Corporation’s authorized but unissued Common Stock and any shares of its Common Stock held as treasury shares. For purposes of this Plan, “</w:t>
            </w:r>
            <w:r>
              <w:rPr>
                <w:b/>
              </w:rPr>
              <w:t>Common Stock</w:t>
            </w:r>
            <w:r>
              <w:rPr/>
              <w:t>” shall mean the common stock of the Corporation and such other securities or property as may become the subject of awards under this Plan, or may become subject to such awards, pursuant to an adjustment made under Section 7.1.</w:t>
            </w:r>
          </w:p>
        </w:tc>
      </w:tr>
    </w:tbl>
    <w:p>
      <w:pPr>
        <w:pStyle w:val="TextBody"/>
        <w:bidi w:val="0"/>
        <w:spacing w:before="0" w:after="0"/>
        <w:ind w:left="792"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6"/>
        <w:gridCol w:w="9841"/>
      </w:tblGrid>
      <w:tr>
        <w:trPr/>
        <w:tc>
          <w:tcPr>
            <w:tcW w:w="38"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b/>
              </w:rPr>
            </w:pPr>
            <w:r>
              <w:rPr>
                <w:b/>
              </w:rPr>
              <w:t>4.2.</w:t>
            </w:r>
          </w:p>
        </w:tc>
        <w:tc>
          <w:tcPr>
            <w:tcW w:w="9841" w:type="dxa"/>
            <w:tcBorders/>
            <w:vAlign w:val="center"/>
          </w:tcPr>
          <w:p>
            <w:pPr>
              <w:pStyle w:val="TableContents"/>
              <w:bidi w:val="0"/>
              <w:spacing w:before="0" w:after="283"/>
              <w:jc w:val="left"/>
              <w:rPr/>
            </w:pPr>
            <w:r>
              <w:rPr>
                <w:b/>
                <w:i/>
              </w:rPr>
              <w:t>Share Limits</w:t>
            </w:r>
            <w:r>
              <w:rPr>
                <w:b/>
              </w:rPr>
              <w:t>.</w:t>
            </w:r>
            <w:r>
              <w:rPr/>
              <w:t xml:space="preserve"> Subject to Section 7.1, the maximum number of shares of Common Stock that may be delivered pursuant to awards granted to Eligible Persons under this Plan (the “</w:t>
            </w:r>
            <w:r>
              <w:rPr>
                <w:b/>
              </w:rPr>
              <w:t>Share Limit</w:t>
            </w:r>
            <w:r>
              <w:rPr/>
              <w:t>”) is equal to: 250,000 shares of Common Stock. Shares issued in respect of any “Full-Value Award” granted under this Plan shall be counted against the foregoing Share Limit as 1.5 shares for every one share issued in connection with such award (the “</w:t>
            </w:r>
            <w:r>
              <w:rPr>
                <w:b/>
              </w:rPr>
              <w:t>Full-Value Award Ratio</w:t>
            </w:r>
            <w:r>
              <w:rPr/>
              <w:t>”). (For example, if a stock bonus of 100 shares of Common Stock is granted under this Plan, 150 shares shall be charged against the Share Limit in connection with that award.) For this purpose, a “Full-Value Award” means any award under this Plan that is not a stock option grant or a stock appreciation right grant. The Share Limit is subject to adjustment as contemplated by Section 4.3, Section 7.1, and Section 8.10.</w:t>
            </w:r>
          </w:p>
        </w:tc>
      </w:tr>
    </w:tbl>
    <w:p>
      <w:pPr>
        <w:pStyle w:val="TextBody"/>
        <w:bidi w:val="0"/>
        <w:spacing w:before="0" w:after="0"/>
        <w:ind w:left="810" w:right="0" w:hanging="45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2"/>
        <w:gridCol w:w="9845"/>
      </w:tblGrid>
      <w:tr>
        <w:trPr/>
        <w:tc>
          <w:tcPr>
            <w:tcW w:w="38"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b/>
              </w:rPr>
            </w:pPr>
            <w:r>
              <w:rPr>
                <w:b/>
              </w:rPr>
              <w:t>4.3.</w:t>
            </w:r>
          </w:p>
        </w:tc>
        <w:tc>
          <w:tcPr>
            <w:tcW w:w="9845" w:type="dxa"/>
            <w:tcBorders/>
            <w:vAlign w:val="center"/>
          </w:tcPr>
          <w:p>
            <w:pPr>
              <w:pStyle w:val="TableContents"/>
              <w:bidi w:val="0"/>
              <w:spacing w:before="0" w:after="283"/>
              <w:jc w:val="left"/>
              <w:rPr/>
            </w:pPr>
            <w:r>
              <w:rPr>
                <w:b/>
                <w:i/>
              </w:rPr>
              <w:t>Awards Settled in Cash, Reissue of Awards and Shares</w:t>
            </w:r>
            <w:r>
              <w:rPr>
                <w:b/>
              </w:rPr>
              <w:t>.</w:t>
            </w:r>
            <w:r>
              <w:rPr/>
              <w:t xml:space="preserve"> Except as provided in the next sentence, shares that are subject to or underlie awards granted under this Plan, which expire or for any reason are cancelled or terminated, are forfeited, fail to vest, or for any other reason are not paid or delivered under this Plan shall again be available for subsequent awards under this Plan (with any such shares increasing the Share Limit based on the Full-Value Award Ratio specified in Section 4.2). Shares that are exchanged by a participant or withheld by the Corporation as full or partial payment in connection with any award under this Plan, as well as any shares exchanged by a participant or withheld by the Corporation or one of its Subsidiaries to satisfy the tax withholding obligations related to any award, shall not be available for subsequent awards under this Plan. To the extent that an award granted under this Plan is settled in cash or a form other than shares of Common Stock, the shares that would have been delivered had there been no such cash or other settlement shall again be available for subsequent awards under this Plan (with any such shares increasing the Share Limit based on the Full-Value Award Ratio specified in Section 4.2). In the event that shares of Common Stock are delivered in respect of a dividend equivalent right granted under this Plan, the number of shares delivered with respect to the award shall be counted against the share limits of this Plan (including, for purposes of clarity, the limits of Section 4.2 of this Plan). (For purposes of clarity, if 1,000 dividend equivalent rights are granted and outstanding when the Corporation pays a dividend, and 50 shares are delivered in payment of those rights with respect to that dividend, 75 shares (after giving effect to the Full-Value Award premium counting rules) shall be counted against the share limits of this Plan). To the extent that shares of Common Stock are delivered pursuant to the exercise of a stock appreciation right or stock option granted under this Plan, the number of underlying shares as to which the exercise related shall be counted against the applicable share limits under Section 4.2, as opposed to only counting the shares issued. (For purposes of clarity, if a stock appreciation right relates to 100,000 shares and is exercised at a time when the payment due to the participant is 15,000 shares, 100,000 shares shall be charged against the applicable share limits under Section 4.2 with respect to such exercise.) Refer to Section 8.10 for application of the foregoing share limits with respect to assumed awards.</w:t>
            </w:r>
          </w:p>
        </w:tc>
      </w:tr>
    </w:tbl>
    <w:p>
      <w:pPr>
        <w:pStyle w:val="TextBody"/>
        <w:bidi w:val="0"/>
        <w:spacing w:before="0" w:after="0"/>
        <w:ind w:left="792" w:right="0" w:hanging="0"/>
        <w:jc w:val="left"/>
        <w:rPr>
          <w:caps w:val="false"/>
          <w:smallCaps w:val="false"/>
        </w:rPr>
      </w:pPr>
      <w:r>
        <w:rPr>
          <w:caps w:val="false"/>
          <w:smallCaps w:val="false"/>
        </w:rPr>
        <w:t> </w:t>
      </w:r>
    </w:p>
    <w:p>
      <w:pPr>
        <w:pStyle w:val="TextBody"/>
        <w:bidi w:val="0"/>
        <w:spacing w:before="0" w:after="0"/>
        <w:ind w:left="792" w:right="0" w:hanging="0"/>
        <w:jc w:val="center"/>
        <w:rPr>
          <w:bdr w:val="single" w:sz="12" w:space="1" w:color="000000"/>
        </w:rPr>
      </w:pPr>
      <w:r>
        <w:rPr>
          <w:bdr w:val="single" w:sz="12" w:space="1" w:color="000000"/>
        </w:rPr>
        <w:t>3 </w:t>
      </w:r>
    </w:p>
    <w:p>
      <w:pPr>
        <w:pStyle w:val="TextBody"/>
        <w:bidi w:val="0"/>
        <w:spacing w:before="0" w:after="0"/>
        <w:ind w:left="792"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5"/>
        <w:gridCol w:w="9842"/>
      </w:tblGrid>
      <w:tr>
        <w:trPr/>
        <w:tc>
          <w:tcPr>
            <w:tcW w:w="3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b/>
              </w:rPr>
            </w:pPr>
            <w:r>
              <w:rPr>
                <w:b/>
              </w:rPr>
              <w:t>4.4.</w:t>
            </w:r>
          </w:p>
        </w:tc>
        <w:tc>
          <w:tcPr>
            <w:tcW w:w="9842" w:type="dxa"/>
            <w:tcBorders/>
            <w:vAlign w:val="center"/>
          </w:tcPr>
          <w:p>
            <w:pPr>
              <w:pStyle w:val="TableContents"/>
              <w:bidi w:val="0"/>
              <w:spacing w:before="0" w:after="283"/>
              <w:jc w:val="left"/>
              <w:rPr/>
            </w:pPr>
            <w:r>
              <w:rPr>
                <w:b/>
                <w:i/>
              </w:rPr>
              <w:t>Reservation of Shares; No Fractional Shares; Minimum Issue</w:t>
            </w:r>
            <w:r>
              <w:rPr>
                <w:b/>
              </w:rPr>
              <w:t>.</w:t>
            </w:r>
            <w:r>
              <w:rPr/>
              <w:t xml:space="preserve"> The Corporation shall at all times reserve a number of shares of Common Stock sufficient to cover the Corporation’s obligations and contingent obligations to deliver shares with respect to awards then outstanding under this Plan (exclusive of any dividend equivalent obligations to the extent the Corporation has the right to settle such rights in cash). No fractional shares shall be delivered under this Plan. The Administrator may pay cash in lieu of any fractional shares in settlements of awards under this Plan. The Administrator may from time to time impose a limit (of not greater than 100 shares) on the minimum number of shares that may be purchased or exercised as to awards granted under this Plan unless (as to any particular award) the total number purchased or exercised is the total number at the time available for purchase or exercise under the award.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3"/>
        <w:gridCol w:w="1492"/>
        <w:gridCol w:w="8430"/>
      </w:tblGrid>
      <w:tr>
        <w:trPr/>
        <w:tc>
          <w:tcPr>
            <w:tcW w:w="283"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b/>
              </w:rPr>
            </w:pPr>
            <w:r>
              <w:rPr>
                <w:b/>
              </w:rPr>
              <w:t>5.</w:t>
            </w:r>
          </w:p>
        </w:tc>
        <w:tc>
          <w:tcPr>
            <w:tcW w:w="8430" w:type="dxa"/>
            <w:tcBorders/>
            <w:vAlign w:val="center"/>
          </w:tcPr>
          <w:p>
            <w:pPr>
              <w:pStyle w:val="TableContents"/>
              <w:bidi w:val="0"/>
              <w:spacing w:before="0" w:after="283"/>
              <w:jc w:val="left"/>
              <w:rPr>
                <w:b/>
              </w:rPr>
            </w:pPr>
            <w:r>
              <w:rPr>
                <w:b/>
              </w:rPr>
              <w:t>AWARDS</w:t>
            </w:r>
          </w:p>
        </w:tc>
      </w:tr>
    </w:tbl>
    <w:p>
      <w:pPr>
        <w:pStyle w:val="TextBody"/>
        <w:bidi w:val="0"/>
        <w:spacing w:before="0" w:after="0"/>
        <w:ind w:left="3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9"/>
        <w:gridCol w:w="9838"/>
      </w:tblGrid>
      <w:tr>
        <w:trPr/>
        <w:tc>
          <w:tcPr>
            <w:tcW w:w="3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b/>
              </w:rPr>
            </w:pPr>
            <w:r>
              <w:rPr>
                <w:b/>
              </w:rPr>
              <w:t>5.1.</w:t>
            </w:r>
          </w:p>
        </w:tc>
        <w:tc>
          <w:tcPr>
            <w:tcW w:w="9838" w:type="dxa"/>
            <w:tcBorders/>
            <w:vAlign w:val="center"/>
          </w:tcPr>
          <w:p>
            <w:pPr>
              <w:pStyle w:val="TableContents"/>
              <w:bidi w:val="0"/>
              <w:spacing w:before="0" w:after="283"/>
              <w:jc w:val="left"/>
              <w:rPr/>
            </w:pPr>
            <w:r>
              <w:rPr>
                <w:b/>
                <w:i/>
              </w:rPr>
              <w:t>Type and Form of Awards</w:t>
            </w:r>
            <w:r>
              <w:rPr>
                <w:b/>
              </w:rPr>
              <w:t>.</w:t>
            </w:r>
            <w:r>
              <w:rPr/>
              <w:t xml:space="preserve"> The Administrator shall determine the type or types of award(s) to be made to each selected Eligible Person. Awards may be granted singly, in combination or in tandem. Awards also may be made in combination or in tandem with, in replacement of, as alternatives to, or as the payment form for grants or rights under any other employee or compensation plan of the Corporation or one of its Subsidiaries. The types of awards that may be granted under this Plan are (subject, in each case, to the no repricing provisions of Section 3.2):</w:t>
            </w:r>
          </w:p>
        </w:tc>
      </w:tr>
    </w:tbl>
    <w:p>
      <w:pPr>
        <w:pStyle w:val="TextBody"/>
        <w:bidi w:val="0"/>
        <w:spacing w:before="0" w:after="0"/>
        <w:ind w:left="792"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07"/>
        <w:gridCol w:w="9660"/>
      </w:tblGrid>
      <w:tr>
        <w:trPr/>
        <w:tc>
          <w:tcPr>
            <w:tcW w:w="38"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b/>
              </w:rPr>
            </w:pPr>
            <w:r>
              <w:rPr>
                <w:b/>
              </w:rPr>
              <w:t>5.1.1.</w:t>
            </w:r>
          </w:p>
        </w:tc>
        <w:tc>
          <w:tcPr>
            <w:tcW w:w="9660" w:type="dxa"/>
            <w:tcBorders/>
            <w:vAlign w:val="center"/>
          </w:tcPr>
          <w:p>
            <w:pPr>
              <w:pStyle w:val="TableContents"/>
              <w:bidi w:val="0"/>
              <w:spacing w:before="0" w:after="283"/>
              <w:jc w:val="left"/>
              <w:rPr/>
            </w:pPr>
            <w:r>
              <w:rPr>
                <w:b/>
                <w:i/>
              </w:rPr>
              <w:t>Stock Options</w:t>
            </w:r>
            <w:r>
              <w:rPr>
                <w:b/>
              </w:rPr>
              <w:t>.</w:t>
            </w:r>
            <w:r>
              <w:rPr/>
              <w:t xml:space="preserve"> A stock option is the grant of a right to purchase a specified number of shares of Common Stock during a specified period as determined by the Administrator. All stock options granted under the Plan shall be nonqualified stock options (options not intended to be incentive stock options within the meaning of Section 422 of the Code). The maximum term of each option shall be eight (8) years. The per share exercise price for each option shall be not less than 100% of the fair market value of a share of Common Stock on the date of grant of the option. When an option is exercised, the exercise price for the shares to be purchased shall be paid in full in cash or such other method permitted by the Administrator consistent with Section 5.5.</w:t>
            </w:r>
          </w:p>
        </w:tc>
      </w:tr>
    </w:tbl>
    <w:p>
      <w:pPr>
        <w:pStyle w:val="TextBody"/>
        <w:bidi w:val="0"/>
        <w:spacing w:before="0" w:after="0"/>
        <w:ind w:left="1224" w:right="0" w:hanging="0"/>
        <w:jc w:val="left"/>
        <w:rPr>
          <w:caps w:val="false"/>
          <w:smallCaps w:val="false"/>
        </w:rPr>
      </w:pPr>
      <w:r>
        <w:rPr>
          <w:caps w:val="false"/>
          <w:smallCaps w:val="false"/>
        </w:rPr>
        <w:t> </w:t>
      </w:r>
    </w:p>
    <w:tbl>
      <w:tblPr>
        <w:tblW w:w="1728" w:type="dxa"/>
        <w:jc w:val="left"/>
        <w:tblInd w:w="0" w:type="dxa"/>
        <w:tblLayout w:type="fixed"/>
        <w:tblCellMar>
          <w:top w:w="0" w:type="dxa"/>
          <w:left w:w="0" w:type="dxa"/>
          <w:bottom w:w="0" w:type="dxa"/>
          <w:right w:w="0" w:type="dxa"/>
        </w:tblCellMar>
      </w:tblPr>
      <w:tblGrid>
        <w:gridCol w:w="38"/>
        <w:gridCol w:w="560"/>
        <w:gridCol w:w="1130"/>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b/>
              </w:rPr>
            </w:pPr>
            <w:r>
              <w:rPr>
                <w:b/>
              </w:rPr>
              <w:t>5.1.2.</w:t>
            </w:r>
          </w:p>
        </w:tc>
        <w:tc>
          <w:tcPr>
            <w:tcW w:w="1130" w:type="dxa"/>
            <w:tcBorders/>
            <w:vAlign w:val="center"/>
          </w:tcPr>
          <w:p>
            <w:pPr>
              <w:pStyle w:val="TableContents"/>
              <w:bidi w:val="0"/>
              <w:spacing w:before="0" w:after="283"/>
              <w:jc w:val="left"/>
              <w:rPr>
                <w:b/>
                <w:i/>
              </w:rPr>
            </w:pPr>
            <w:r>
              <w:rPr>
                <w:b/>
                <w:i/>
              </w:rPr>
              <w:t>[Reserved.]</w:t>
            </w:r>
          </w:p>
        </w:tc>
      </w:tr>
    </w:tbl>
    <w:p>
      <w:pPr>
        <w:pStyle w:val="TextBody"/>
        <w:bidi w:val="0"/>
        <w:spacing w:before="0" w:after="0"/>
        <w:ind w:left="1224"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09"/>
        <w:gridCol w:w="9658"/>
      </w:tblGrid>
      <w:tr>
        <w:trPr/>
        <w:tc>
          <w:tcPr>
            <w:tcW w:w="38"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b/>
              </w:rPr>
            </w:pPr>
            <w:r>
              <w:rPr>
                <w:b/>
              </w:rPr>
              <w:t>5.1.3.</w:t>
            </w:r>
          </w:p>
        </w:tc>
        <w:tc>
          <w:tcPr>
            <w:tcW w:w="9658" w:type="dxa"/>
            <w:tcBorders/>
            <w:vAlign w:val="center"/>
          </w:tcPr>
          <w:p>
            <w:pPr>
              <w:pStyle w:val="TableContents"/>
              <w:bidi w:val="0"/>
              <w:spacing w:before="0" w:after="283"/>
              <w:jc w:val="left"/>
              <w:rPr/>
            </w:pPr>
            <w:r>
              <w:rPr>
                <w:b/>
                <w:i/>
              </w:rPr>
              <w:t>Stock Appreciation Rights</w:t>
            </w:r>
            <w:r>
              <w:rPr>
                <w:b/>
              </w:rPr>
              <w:t>.</w:t>
            </w:r>
            <w:r>
              <w:rPr/>
              <w:t xml:space="preserve"> A stock appreciation right or “</w:t>
            </w:r>
            <w:r>
              <w:rPr>
                <w:b/>
              </w:rPr>
              <w:t>SAR</w:t>
            </w:r>
            <w:r>
              <w:rPr/>
              <w:t>” is a right to receive a payment, in cash and/or Common Stock (as specified in the applicable award agreement), equal to the excess of the fair market value of a specified number of shares of Common Stock on the date the SAR is exercised over the “</w:t>
            </w:r>
            <w:r>
              <w:rPr>
                <w:b/>
              </w:rPr>
              <w:t>base price</w:t>
            </w:r>
            <w:r>
              <w:rPr/>
              <w:t>” of the award, which base price shall be set forth in the applicable award agreement and shall be not less than 100% of the fair market value of a share of Common Stock on the date of grant of the SAR. The maximum term of a SAR shall be eight (8) years.</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04"/>
        <w:gridCol w:w="9663"/>
      </w:tblGrid>
      <w:tr>
        <w:trPr/>
        <w:tc>
          <w:tcPr>
            <w:tcW w:w="3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b/>
              </w:rPr>
            </w:pPr>
            <w:r>
              <w:rPr>
                <w:b/>
              </w:rPr>
              <w:t>5.1.4.</w:t>
            </w:r>
          </w:p>
        </w:tc>
        <w:tc>
          <w:tcPr>
            <w:tcW w:w="9663" w:type="dxa"/>
            <w:tcBorders/>
            <w:vAlign w:val="center"/>
          </w:tcPr>
          <w:p>
            <w:pPr>
              <w:pStyle w:val="TableContents"/>
              <w:bidi w:val="0"/>
              <w:spacing w:before="0" w:after="283"/>
              <w:jc w:val="left"/>
              <w:rPr/>
            </w:pPr>
            <w:r>
              <w:rPr>
                <w:b/>
                <w:i/>
              </w:rPr>
              <w:t>Other Awards; Dividend Equivalent Rights</w:t>
            </w:r>
            <w:r>
              <w:rPr>
                <w:b/>
              </w:rPr>
              <w:t>.</w:t>
            </w:r>
            <w:r>
              <w:rPr/>
              <w:t xml:space="preserve"> The other types of awards that may be granted under this Plan include: (a) stock bonuses, restricted stock, stock units, phantom stock or similar rights to purchase or acquire shares, whether at a fixed or variable price or ratio related to the Common Stock, upon the passage of time, the occurrence of one or more events, or the satisfaction of performance criteria or other conditions, or any combination thereof; (b) any similar securities with a value derived from the value of or related to the Common Stock and/or returns thereon; or (c) cash awards. Dividend equivalent rights may be granted as a separate award or in connection with another award under this Plan; provided, however, that dividend equivalent rights may not be granted in connection with a stock option or SAR granted under this Plan. Notwithstanding anything in the Plan or an award agreement to the contrary, any dividends and/or dividend equivalents as to the unvested portion of an award (including, without limitation, a restricted stock award) will be subject to termination and forfeiture to the same extent as the corresponding portion of the award to which they relate.</w:t>
            </w:r>
          </w:p>
        </w:tc>
      </w:tr>
    </w:tbl>
    <w:p>
      <w:pPr>
        <w:pStyle w:val="TextBody"/>
        <w:bidi w:val="0"/>
        <w:spacing w:before="0" w:after="0"/>
        <w:ind w:left="1224" w:right="0" w:hanging="0"/>
        <w:jc w:val="left"/>
        <w:rPr>
          <w:caps w:val="false"/>
          <w:smallCaps w:val="false"/>
        </w:rPr>
      </w:pPr>
      <w:r>
        <w:rPr>
          <w:caps w:val="false"/>
          <w:smallCaps w:val="false"/>
        </w:rPr>
        <w:t> </w:t>
      </w:r>
    </w:p>
    <w:tbl>
      <w:tblPr>
        <w:tblW w:w="1548" w:type="dxa"/>
        <w:jc w:val="left"/>
        <w:tblInd w:w="0" w:type="dxa"/>
        <w:tblLayout w:type="fixed"/>
        <w:tblCellMar>
          <w:top w:w="0" w:type="dxa"/>
          <w:left w:w="0" w:type="dxa"/>
          <w:bottom w:w="0" w:type="dxa"/>
          <w:right w:w="0" w:type="dxa"/>
        </w:tblCellMar>
      </w:tblPr>
      <w:tblGrid>
        <w:gridCol w:w="38"/>
        <w:gridCol w:w="380"/>
        <w:gridCol w:w="113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b/>
              </w:rPr>
            </w:pPr>
            <w:r>
              <w:rPr>
                <w:b/>
              </w:rPr>
              <w:t>5.2.</w:t>
            </w:r>
          </w:p>
        </w:tc>
        <w:tc>
          <w:tcPr>
            <w:tcW w:w="1130" w:type="dxa"/>
            <w:tcBorders/>
            <w:vAlign w:val="center"/>
          </w:tcPr>
          <w:p>
            <w:pPr>
              <w:pStyle w:val="TableContents"/>
              <w:bidi w:val="0"/>
              <w:spacing w:before="0" w:after="283"/>
              <w:jc w:val="left"/>
              <w:rPr>
                <w:b/>
                <w:i/>
              </w:rPr>
            </w:pPr>
            <w:r>
              <w:rPr>
                <w:b/>
                <w:i/>
              </w:rPr>
              <w:t>[Reserved.]</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2"/>
        <w:gridCol w:w="9845"/>
      </w:tblGrid>
      <w:tr>
        <w:trPr/>
        <w:tc>
          <w:tcPr>
            <w:tcW w:w="38"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b/>
              </w:rPr>
            </w:pPr>
            <w:r>
              <w:rPr>
                <w:b/>
              </w:rPr>
              <w:t>5.3.</w:t>
            </w:r>
          </w:p>
        </w:tc>
        <w:tc>
          <w:tcPr>
            <w:tcW w:w="9845" w:type="dxa"/>
            <w:tcBorders/>
            <w:vAlign w:val="center"/>
          </w:tcPr>
          <w:p>
            <w:pPr>
              <w:pStyle w:val="TableContents"/>
              <w:bidi w:val="0"/>
              <w:spacing w:before="0" w:after="283"/>
              <w:jc w:val="left"/>
              <w:rPr/>
            </w:pPr>
            <w:r>
              <w:rPr>
                <w:b/>
                <w:i/>
              </w:rPr>
              <w:t>Award Agreements</w:t>
            </w:r>
            <w:r>
              <w:rPr>
                <w:b/>
              </w:rPr>
              <w:t>.</w:t>
            </w:r>
            <w:r>
              <w:rPr/>
              <w:t xml:space="preserve"> Each award shall be evidenced by either (1) a written award agreement in a form approved by the Administrator and executed by the Corporation by an officer duly authorized to act on its behalf, or (2) an electronic notice of award grant in a form approved by the Administrator and recorded by the Corporation (or its designee) in an electronic recordkeeping system used for the purpose of tracking award grants under this Plan generally (in each case, an “award agreement”), as the Administrator may provide and, in each case and if required by the Administrator, executed or otherwise electronically accepted by the recipient of the award in such form and manner as the Administrator may require. The Administrator may authorize any officer of the Corporation (other than the particular award recipient) to execute any or all award agreements on behalf of the Corporation. The award agreement shall set forth the material terms and conditions of the award as established by the Administrator consistent with the express limitations of this Plan. Notwithstanding anything contained herein to the contrary, the Administrator may approve an award agreement that, upon the termination of a participant’s employment or service, provides that, or may, in its sole discretion based on a review of all relevant facts and circumstances, otherwise take action regarding an award agreement such that (i) any or all outstanding stock options and SARs shall become exercisable in part or in full, (ii) all or a portion of the restriction or vesting period applicable to any outstanding award shall lapse, (iii) all or a portion of the performance measurement period applicable to any outstanding award shall lapse and (iv) the performance goals applicable to any outstanding award (if any) shall be deemed to be satisfied at the target, maximum or any other interim level.</w:t>
            </w:r>
          </w:p>
        </w:tc>
      </w:tr>
    </w:tbl>
    <w:p>
      <w:pPr>
        <w:pStyle w:val="TextBody"/>
        <w:bidi w:val="0"/>
        <w:spacing w:before="0" w:after="0"/>
        <w:ind w:left="792" w:right="0" w:hanging="0"/>
        <w:jc w:val="left"/>
        <w:rPr>
          <w:caps w:val="false"/>
          <w:smallCaps w:val="false"/>
        </w:rPr>
      </w:pPr>
      <w:r>
        <w:rPr>
          <w:caps w:val="false"/>
          <w:smallCaps w:val="false"/>
        </w:rPr>
        <w:t> </w:t>
      </w:r>
    </w:p>
    <w:p>
      <w:pPr>
        <w:pStyle w:val="TextBody"/>
        <w:bidi w:val="0"/>
        <w:spacing w:before="0" w:after="0"/>
        <w:ind w:left="792" w:right="0" w:hanging="0"/>
        <w:jc w:val="center"/>
        <w:rPr>
          <w:bdr w:val="single" w:sz="12" w:space="1" w:color="000000"/>
        </w:rPr>
      </w:pPr>
      <w:r>
        <w:rPr>
          <w:bdr w:val="single" w:sz="12" w:space="1" w:color="000000"/>
        </w:rPr>
        <w:t>4 </w:t>
      </w:r>
    </w:p>
    <w:p>
      <w:pPr>
        <w:pStyle w:val="TextBody"/>
        <w:bidi w:val="0"/>
        <w:spacing w:before="0" w:after="0"/>
        <w:ind w:left="792"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8"/>
        <w:gridCol w:w="9839"/>
      </w:tblGrid>
      <w:tr>
        <w:trPr/>
        <w:tc>
          <w:tcPr>
            <w:tcW w:w="3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b/>
              </w:rPr>
            </w:pPr>
            <w:r>
              <w:rPr>
                <w:b/>
              </w:rPr>
              <w:t>5.4.</w:t>
            </w:r>
          </w:p>
        </w:tc>
        <w:tc>
          <w:tcPr>
            <w:tcW w:w="9839" w:type="dxa"/>
            <w:tcBorders/>
            <w:vAlign w:val="center"/>
          </w:tcPr>
          <w:p>
            <w:pPr>
              <w:pStyle w:val="TableContents"/>
              <w:bidi w:val="0"/>
              <w:spacing w:before="0" w:after="283"/>
              <w:jc w:val="left"/>
              <w:rPr/>
            </w:pPr>
            <w:r>
              <w:rPr>
                <w:b/>
                <w:i/>
              </w:rPr>
              <w:t>Deferrals and Settlements</w:t>
            </w:r>
            <w:r>
              <w:rPr>
                <w:b/>
              </w:rPr>
              <w:t>.</w:t>
            </w:r>
            <w:r>
              <w:rPr/>
              <w:t xml:space="preserve"> Payment of awards may be in the form of cash, Common Stock, other awards or combinations thereof as the Administrator shall determine, and with such restrictions as it may impose. The Administrator may also require or permit participants to elect to defer the issuance of shares or the settlement of awards in cash under such rules and procedures as it may establish under this Plan. The Administrator may also provide that deferred settlements include the payment or crediting of interest or other earnings on the deferral amounts, or the payment or crediting of dividend equivalents where the deferred amounts are denominated in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36"/>
        <w:gridCol w:w="9831"/>
      </w:tblGrid>
      <w:tr>
        <w:trPr/>
        <w:tc>
          <w:tcPr>
            <w:tcW w:w="38"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b/>
              </w:rPr>
            </w:pPr>
            <w:r>
              <w:rPr>
                <w:b/>
              </w:rPr>
              <w:t>5.5.</w:t>
            </w:r>
          </w:p>
        </w:tc>
        <w:tc>
          <w:tcPr>
            <w:tcW w:w="9831" w:type="dxa"/>
            <w:tcBorders/>
            <w:vAlign w:val="center"/>
          </w:tcPr>
          <w:p>
            <w:pPr>
              <w:pStyle w:val="TableContents"/>
              <w:bidi w:val="0"/>
              <w:spacing w:before="0" w:after="283"/>
              <w:jc w:val="left"/>
              <w:rPr/>
            </w:pPr>
            <w:r>
              <w:rPr>
                <w:b/>
                <w:i/>
              </w:rPr>
              <w:t>Consideration for Common Stock or Awards</w:t>
            </w:r>
            <w:r>
              <w:rPr>
                <w:b/>
              </w:rPr>
              <w:t>.</w:t>
            </w:r>
            <w:r>
              <w:rPr/>
              <w:t xml:space="preserve"> The purchase price for any award granted under this Plan or the Common Stock to be delivered pursuant to an award, as applicable, may be paid by means of any lawful consideration as determined by the Administrator, including, without limitation, one or a combination of the following methods:</w:t>
            </w:r>
          </w:p>
        </w:tc>
      </w:tr>
    </w:tbl>
    <w:p>
      <w:pPr>
        <w:pStyle w:val="TextBody"/>
        <w:bidi w:val="0"/>
        <w:spacing w:before="0" w:after="0"/>
        <w:ind w:left="792" w:right="0" w:hanging="432"/>
        <w:jc w:val="left"/>
        <w:rPr>
          <w:caps w:val="false"/>
          <w:smallCaps w:val="false"/>
        </w:rPr>
      </w:pPr>
      <w:r>
        <w:rPr>
          <w:caps w:val="false"/>
          <w:smallCaps w:val="false"/>
        </w:rPr>
        <w:t> </w:t>
      </w:r>
    </w:p>
    <w:tbl>
      <w:tblPr>
        <w:tblW w:w="4848" w:type="dxa"/>
        <w:jc w:val="left"/>
        <w:tblInd w:w="0" w:type="dxa"/>
        <w:tblLayout w:type="fixed"/>
        <w:tblCellMar>
          <w:top w:w="0" w:type="dxa"/>
          <w:left w:w="0" w:type="dxa"/>
          <w:bottom w:w="0" w:type="dxa"/>
          <w:right w:w="0" w:type="dxa"/>
        </w:tblCellMar>
      </w:tblPr>
      <w:tblGrid>
        <w:gridCol w:w="38"/>
        <w:gridCol w:w="170"/>
        <w:gridCol w:w="46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6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services rendered by the recipient of such award;</w:t>
            </w:r>
          </w:p>
        </w:tc>
      </w:tr>
    </w:tbl>
    <w:p>
      <w:pPr>
        <w:pStyle w:val="TextBody"/>
        <w:bidi w:val="0"/>
        <w:spacing w:before="0" w:after="0"/>
        <w:ind w:left="1080" w:right="0" w:hanging="360"/>
        <w:jc w:val="left"/>
        <w:rPr>
          <w:caps w:val="false"/>
          <w:smallCaps w:val="false"/>
        </w:rPr>
      </w:pPr>
      <w:r>
        <w:rPr>
          <w:caps w:val="false"/>
          <w:smallCaps w:val="false"/>
        </w:rPr>
        <w:t> </w:t>
      </w:r>
    </w:p>
    <w:tbl>
      <w:tblPr>
        <w:tblW w:w="7773" w:type="dxa"/>
        <w:jc w:val="left"/>
        <w:tblInd w:w="0" w:type="dxa"/>
        <w:tblLayout w:type="fixed"/>
        <w:tblCellMar>
          <w:top w:w="0" w:type="dxa"/>
          <w:left w:w="0" w:type="dxa"/>
          <w:bottom w:w="0" w:type="dxa"/>
          <w:right w:w="0" w:type="dxa"/>
        </w:tblCellMar>
      </w:tblPr>
      <w:tblGrid>
        <w:gridCol w:w="38"/>
        <w:gridCol w:w="170"/>
        <w:gridCol w:w="75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5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check payable to the order of the Corporation, or electronic funds transfer;</w:t>
            </w:r>
          </w:p>
        </w:tc>
      </w:tr>
    </w:tbl>
    <w:p>
      <w:pPr>
        <w:pStyle w:val="TextBody"/>
        <w:bidi w:val="0"/>
        <w:spacing w:before="0" w:after="0"/>
        <w:ind w:left="1080" w:right="0" w:hanging="360"/>
        <w:jc w:val="left"/>
        <w:rPr>
          <w:caps w:val="false"/>
          <w:smallCaps w:val="false"/>
        </w:rPr>
      </w:pPr>
      <w:r>
        <w:rPr>
          <w:caps w:val="false"/>
          <w:smallCaps w:val="false"/>
        </w:rPr>
        <w:t> </w:t>
      </w:r>
    </w:p>
    <w:tbl>
      <w:tblPr>
        <w:tblW w:w="8748" w:type="dxa"/>
        <w:jc w:val="left"/>
        <w:tblInd w:w="0" w:type="dxa"/>
        <w:tblLayout w:type="fixed"/>
        <w:tblCellMar>
          <w:top w:w="0" w:type="dxa"/>
          <w:left w:w="0" w:type="dxa"/>
          <w:bottom w:w="0" w:type="dxa"/>
          <w:right w:w="0" w:type="dxa"/>
        </w:tblCellMar>
      </w:tblPr>
      <w:tblGrid>
        <w:gridCol w:w="38"/>
        <w:gridCol w:w="170"/>
        <w:gridCol w:w="85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notice and third party payment in such manner as may be authorized by the Administrator;</w:t>
            </w:r>
          </w:p>
        </w:tc>
      </w:tr>
    </w:tbl>
    <w:p>
      <w:pPr>
        <w:pStyle w:val="TextBody"/>
        <w:bidi w:val="0"/>
        <w:spacing w:before="0" w:after="0"/>
        <w:ind w:left="1080" w:right="0" w:hanging="360"/>
        <w:jc w:val="left"/>
        <w:rPr>
          <w:caps w:val="false"/>
          <w:smallCaps w:val="false"/>
        </w:rPr>
      </w:pPr>
      <w:r>
        <w:rPr>
          <w:caps w:val="false"/>
          <w:smallCaps w:val="false"/>
        </w:rPr>
        <w:t> </w:t>
      </w:r>
    </w:p>
    <w:tbl>
      <w:tblPr>
        <w:tblW w:w="5868" w:type="dxa"/>
        <w:jc w:val="left"/>
        <w:tblInd w:w="0" w:type="dxa"/>
        <w:tblLayout w:type="fixed"/>
        <w:tblCellMar>
          <w:top w:w="0" w:type="dxa"/>
          <w:left w:w="0" w:type="dxa"/>
          <w:bottom w:w="0" w:type="dxa"/>
          <w:right w:w="0" w:type="dxa"/>
        </w:tblCellMar>
      </w:tblPr>
      <w:tblGrid>
        <w:gridCol w:w="38"/>
        <w:gridCol w:w="170"/>
        <w:gridCol w:w="56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delivery of previously owned shares of Common Stock;</w:t>
            </w:r>
          </w:p>
        </w:tc>
      </w:tr>
    </w:tbl>
    <w:p>
      <w:pPr>
        <w:pStyle w:val="TextBody"/>
        <w:bidi w:val="0"/>
        <w:spacing w:before="0" w:after="0"/>
        <w:ind w:left="1080" w:right="0" w:hanging="360"/>
        <w:jc w:val="left"/>
        <w:rPr>
          <w:caps w:val="false"/>
          <w:smallCaps w:val="false"/>
        </w:rPr>
      </w:pPr>
      <w:r>
        <w:rPr>
          <w:caps w:val="false"/>
          <w:smallCaps w:val="false"/>
        </w:rPr>
        <w:t> </w:t>
      </w:r>
    </w:p>
    <w:tbl>
      <w:tblPr>
        <w:tblW w:w="8343" w:type="dxa"/>
        <w:jc w:val="left"/>
        <w:tblInd w:w="0" w:type="dxa"/>
        <w:tblLayout w:type="fixed"/>
        <w:tblCellMar>
          <w:top w:w="0" w:type="dxa"/>
          <w:left w:w="0" w:type="dxa"/>
          <w:bottom w:w="0" w:type="dxa"/>
          <w:right w:w="0" w:type="dxa"/>
        </w:tblCellMar>
      </w:tblPr>
      <w:tblGrid>
        <w:gridCol w:w="38"/>
        <w:gridCol w:w="170"/>
        <w:gridCol w:w="81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1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 a reduction in the number of shares otherwise deliverable pursuant to the award; or</w:t>
            </w:r>
          </w:p>
        </w:tc>
      </w:tr>
    </w:tbl>
    <w:p>
      <w:pPr>
        <w:pStyle w:val="TextBody"/>
        <w:bidi w:val="0"/>
        <w:spacing w:before="0" w:after="0"/>
        <w:ind w:left="108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subject to such procedures as the Administrator may adopt, pursuant to a “cashless exercise” with a third party who provides financing for the purposes of (or who otherwise facilitates) the purchase or exercise of awards.</w:t>
            </w:r>
          </w:p>
        </w:tc>
      </w:tr>
    </w:tbl>
    <w:p>
      <w:pPr>
        <w:pStyle w:val="TextBody"/>
        <w:bidi w:val="0"/>
        <w:spacing w:before="0" w:after="0"/>
        <w:ind w:left="1080" w:right="0" w:hanging="36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 event shall any shares newly-issued by the Corporation be issued for less than the minimum lawful consideration for such shares or for consideration other than consideration permitted by applicable state law. Shares of Common Stock used to satisfy the exercise price of an option shall be valued at their fair market value on the date of exercise. The Corporation will not be obligated to deliver any shares unless and until it receives full payment of the exercise or purchase price therefor and any related withholding obligations under Section 8.5 and any other conditions to exercise or purchase have been satisfied.</w:t>
      </w:r>
    </w:p>
    <w:p>
      <w:pPr>
        <w:pStyle w:val="TextBody"/>
        <w:bidi w:val="0"/>
        <w:spacing w:before="0" w:after="0"/>
        <w:ind w:left="792" w:right="0" w:hanging="432"/>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3"/>
        <w:gridCol w:w="9844"/>
      </w:tblGrid>
      <w:tr>
        <w:trPr/>
        <w:tc>
          <w:tcPr>
            <w:tcW w:w="3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b/>
              </w:rPr>
            </w:pPr>
            <w:r>
              <w:rPr>
                <w:b/>
              </w:rPr>
              <w:t>5.6.</w:t>
            </w:r>
          </w:p>
        </w:tc>
        <w:tc>
          <w:tcPr>
            <w:tcW w:w="9844" w:type="dxa"/>
            <w:tcBorders/>
            <w:vAlign w:val="center"/>
          </w:tcPr>
          <w:p>
            <w:pPr>
              <w:pStyle w:val="TableContents"/>
              <w:bidi w:val="0"/>
              <w:spacing w:before="0" w:after="283"/>
              <w:jc w:val="left"/>
              <w:rPr/>
            </w:pPr>
            <w:r>
              <w:rPr>
                <w:b/>
                <w:i/>
              </w:rPr>
              <w:t>Definition of Fair Market Value.</w:t>
            </w:r>
            <w:r>
              <w:rPr/>
              <w:t xml:space="preserve"> For purposes of this Plan, “fair market value” shall mean the closing price (in regular trading) for a share of Common Stock on the NASDAQ Stock Market (the “</w:t>
            </w:r>
            <w:r>
              <w:rPr>
                <w:b/>
              </w:rPr>
              <w:t>Market</w:t>
            </w:r>
            <w:r>
              <w:rPr/>
              <w:t xml:space="preserve">”) for the date in question or, if no sales of Common Stock were reported on the Market on that date, the closing price (in regular trading) for a share of Common Stock on the Market for the next preceding day on which sales of Common Stock were reported on the Market. The Administrator may, however, provide with respect to one or </w:t>
            </w:r>
            <w:r>
              <w:rPr>
                <w:b/>
                <w:i/>
              </w:rPr>
              <w:t>more</w:t>
            </w:r>
            <w:r>
              <w:rPr/>
              <w:t xml:space="preserve"> awards that the fair market value shall equal the closing price (in regular trading) for a share of Common Stock on the Market on the last trading day preceding the date in question or the average of the high and low trading prices of a share of Common Stock on the Market for the date in question or the most recent trading day. If the Common Stock is no longer listed or is no longer actively traded on the Market as of the applicable date, the fair market value of the Common Stock shall be the value as reasonably determined by the Administrator for purposes of the award in the circumstances. The Administrator also may adopt a different methodology for determining fair market value with respect to one or more awards if a different methodology is necessary or advisable to secure any intended favorable tax, legal or other treatment for the particular award(s) (for example, and without limitation, the Administrator may provide that fair market value for purposes of one or more awards will be based on an average of closing prices (or the average of high and low daily trading prices) for a specified period preceding the relevant date).</w:t>
            </w:r>
          </w:p>
        </w:tc>
      </w:tr>
    </w:tbl>
    <w:p>
      <w:pPr>
        <w:pStyle w:val="TextBody"/>
        <w:bidi w:val="0"/>
        <w:spacing w:before="0" w:after="0"/>
        <w:ind w:left="360" w:right="0" w:hanging="0"/>
        <w:jc w:val="left"/>
        <w:rPr>
          <w:caps w:val="false"/>
          <w:smallCaps w:val="false"/>
        </w:rPr>
      </w:pPr>
      <w:r>
        <w:rPr>
          <w:caps w:val="false"/>
          <w:smallCaps w:val="false"/>
        </w:rPr>
        <w:t> </w:t>
      </w:r>
    </w:p>
    <w:tbl>
      <w:tblPr>
        <w:tblW w:w="2673" w:type="dxa"/>
        <w:jc w:val="left"/>
        <w:tblInd w:w="0" w:type="dxa"/>
        <w:tblLayout w:type="fixed"/>
        <w:tblCellMar>
          <w:top w:w="0" w:type="dxa"/>
          <w:left w:w="0" w:type="dxa"/>
          <w:bottom w:w="0" w:type="dxa"/>
          <w:right w:w="0" w:type="dxa"/>
        </w:tblCellMar>
      </w:tblPr>
      <w:tblGrid>
        <w:gridCol w:w="38"/>
        <w:gridCol w:w="380"/>
        <w:gridCol w:w="225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b/>
              </w:rPr>
            </w:pPr>
            <w:r>
              <w:rPr>
                <w:b/>
              </w:rPr>
              <w:t>5.7.</w:t>
            </w:r>
          </w:p>
        </w:tc>
        <w:tc>
          <w:tcPr>
            <w:tcW w:w="2255" w:type="dxa"/>
            <w:tcBorders/>
            <w:vAlign w:val="center"/>
          </w:tcPr>
          <w:p>
            <w:pPr>
              <w:pStyle w:val="TableContents"/>
              <w:bidi w:val="0"/>
              <w:spacing w:before="0" w:after="283"/>
              <w:jc w:val="left"/>
              <w:rPr>
                <w:b/>
              </w:rPr>
            </w:pPr>
            <w:r>
              <w:rPr>
                <w:b/>
              </w:rPr>
              <w:t>Transfer Restrictions.</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11"/>
        <w:gridCol w:w="9656"/>
      </w:tblGrid>
      <w:tr>
        <w:trPr/>
        <w:tc>
          <w:tcPr>
            <w:tcW w:w="38"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b/>
              </w:rPr>
            </w:pPr>
            <w:r>
              <w:rPr>
                <w:b/>
              </w:rPr>
              <w:t>5.7.1.</w:t>
            </w:r>
          </w:p>
        </w:tc>
        <w:tc>
          <w:tcPr>
            <w:tcW w:w="9656" w:type="dxa"/>
            <w:tcBorders/>
            <w:vAlign w:val="center"/>
          </w:tcPr>
          <w:p>
            <w:pPr>
              <w:pStyle w:val="TableContents"/>
              <w:bidi w:val="0"/>
              <w:spacing w:before="0" w:after="283"/>
              <w:jc w:val="left"/>
              <w:rPr/>
            </w:pPr>
            <w:r>
              <w:rPr>
                <w:b/>
                <w:i/>
              </w:rPr>
              <w:t>Limitations on Exercise and Transfer.</w:t>
            </w:r>
            <w:r>
              <w:rPr/>
              <w:t xml:space="preserve"> Unless otherwise expressly provided in (or pursuant to) this Section 5.7 or required by applicable law: (a) all awards are non-transferable and shall not be subject in any manner to sale, transfer, anticipation, alienation, assignment, pledge, encumbrance or charge; (b) awards shall be exercised only by the participant; and (c) amounts payable or shares issuable pursuant to any award shall be delivered only to (or for the account of) the participant.</w:t>
            </w:r>
          </w:p>
        </w:tc>
      </w:tr>
    </w:tbl>
    <w:p>
      <w:pPr>
        <w:pStyle w:val="TextBody"/>
        <w:bidi w:val="0"/>
        <w:spacing w:before="0" w:after="0"/>
        <w:ind w:left="1224"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08"/>
        <w:gridCol w:w="9659"/>
      </w:tblGrid>
      <w:tr>
        <w:trPr/>
        <w:tc>
          <w:tcPr>
            <w:tcW w:w="3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b/>
              </w:rPr>
            </w:pPr>
            <w:r>
              <w:rPr>
                <w:b/>
              </w:rPr>
              <w:t>5.7.2.</w:t>
            </w:r>
          </w:p>
        </w:tc>
        <w:tc>
          <w:tcPr>
            <w:tcW w:w="9659" w:type="dxa"/>
            <w:tcBorders/>
            <w:vAlign w:val="center"/>
          </w:tcPr>
          <w:p>
            <w:pPr>
              <w:pStyle w:val="TableContents"/>
              <w:bidi w:val="0"/>
              <w:spacing w:before="0" w:after="283"/>
              <w:jc w:val="left"/>
              <w:rPr/>
            </w:pPr>
            <w:r>
              <w:rPr>
                <w:b/>
                <w:i/>
              </w:rPr>
              <w:t>Exceptions.</w:t>
            </w:r>
            <w:r>
              <w:rPr/>
              <w:t xml:space="preserve"> The Administrator may permit awards to be exercised by and paid to, or otherwise transferred to, other persons or entities pursuant to such conditions and procedures, including limitations on subsequent transfers, as the Administrator may, in its sole discretion, establish in writing. Any permitted transfer shall be subject to compliance with applicable federal and state securities laws and shall not be for value (other than nominal consideration, settlement of marital property rights, or for interests in an entity in which more than 50% of the voting interests are held by the Eligible Person or by the Eligible Person’s family members).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5 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51"/>
        <w:gridCol w:w="9616"/>
      </w:tblGrid>
      <w:tr>
        <w:trPr/>
        <w:tc>
          <w:tcPr>
            <w:tcW w:w="3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b/>
              </w:rPr>
            </w:pPr>
            <w:r>
              <w:rPr>
                <w:b/>
              </w:rPr>
              <w:t>5.7.3.</w:t>
            </w:r>
          </w:p>
        </w:tc>
        <w:tc>
          <w:tcPr>
            <w:tcW w:w="9616" w:type="dxa"/>
            <w:tcBorders/>
            <w:vAlign w:val="center"/>
          </w:tcPr>
          <w:p>
            <w:pPr>
              <w:pStyle w:val="TableContents"/>
              <w:bidi w:val="0"/>
              <w:spacing w:before="0" w:after="283"/>
              <w:jc w:val="left"/>
              <w:rPr/>
            </w:pPr>
            <w:r>
              <w:rPr>
                <w:b/>
                <w:i/>
              </w:rPr>
              <w:t>Further Exceptions to Limits on Transfer.</w:t>
            </w:r>
            <w:r>
              <w:rPr/>
              <w:t xml:space="preserve"> The exercise and transfer restrictions in Section 5.7.1 shall not apply to:</w:t>
            </w:r>
          </w:p>
        </w:tc>
      </w:tr>
    </w:tbl>
    <w:p>
      <w:pPr>
        <w:pStyle w:val="TextBody"/>
        <w:bidi w:val="0"/>
        <w:spacing w:before="0" w:after="0"/>
        <w:ind w:left="0" w:right="0" w:hanging="0"/>
        <w:jc w:val="left"/>
        <w:rPr>
          <w:caps w:val="false"/>
          <w:smallCaps w:val="false"/>
        </w:rPr>
      </w:pPr>
      <w:r>
        <w:rPr>
          <w:caps w:val="false"/>
          <w:smallCaps w:val="false"/>
        </w:rPr>
        <w:t> </w:t>
      </w:r>
    </w:p>
    <w:tbl>
      <w:tblPr>
        <w:tblW w:w="10173" w:type="dxa"/>
        <w:jc w:val="left"/>
        <w:tblInd w:w="0" w:type="dxa"/>
        <w:tblLayout w:type="fixed"/>
        <w:tblCellMar>
          <w:top w:w="0" w:type="dxa"/>
          <w:left w:w="0" w:type="dxa"/>
          <w:bottom w:w="0" w:type="dxa"/>
          <w:right w:w="0" w:type="dxa"/>
        </w:tblCellMar>
      </w:tblPr>
      <w:tblGrid>
        <w:gridCol w:w="38"/>
        <w:gridCol w:w="275"/>
        <w:gridCol w:w="986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9860" w:type="dxa"/>
            <w:tcBorders/>
            <w:vAlign w:val="center"/>
          </w:tcPr>
          <w:p>
            <w:pPr>
              <w:pStyle w:val="TableContents"/>
              <w:bidi w:val="0"/>
              <w:spacing w:before="0" w:after="283"/>
              <w:jc w:val="left"/>
              <w:rPr/>
            </w:pPr>
            <w:r>
              <w:rPr/>
              <w:t>transfers to the Corporation (for example, in connection with the expiration or termination of the award);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0"/>
        <w:gridCol w:w="9927"/>
      </w:tblGrid>
      <w:tr>
        <w:trPr/>
        <w:tc>
          <w:tcPr>
            <w:tcW w:w="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(b)</w:t>
            </w:r>
          </w:p>
        </w:tc>
        <w:tc>
          <w:tcPr>
            <w:tcW w:w="9927" w:type="dxa"/>
            <w:tcBorders/>
            <w:vAlign w:val="center"/>
          </w:tcPr>
          <w:p>
            <w:pPr>
              <w:pStyle w:val="TableContents"/>
              <w:bidi w:val="0"/>
              <w:spacing w:before="0" w:after="283"/>
              <w:jc w:val="left"/>
              <w:rPr/>
            </w:pPr>
            <w:r>
              <w:rPr/>
              <w:t>the designation of a beneficiary to receive benefits in the event of the participant’s death or, if the participant has died, transfers to or exercise by the participant’s beneficiary, or, in the absence of a validly designated beneficiary, transfers by will or the laws of descent and distribution;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4"/>
        <w:gridCol w:w="9913"/>
      </w:tblGrid>
      <w:tr>
        <w:trPr/>
        <w:tc>
          <w:tcPr>
            <w:tcW w:w="3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pPr>
            <w:r>
              <w:rPr/>
              <w:t>(c)</w:t>
            </w:r>
          </w:p>
        </w:tc>
        <w:tc>
          <w:tcPr>
            <w:tcW w:w="9913" w:type="dxa"/>
            <w:tcBorders/>
            <w:vAlign w:val="center"/>
          </w:tcPr>
          <w:p>
            <w:pPr>
              <w:pStyle w:val="TableContents"/>
              <w:bidi w:val="0"/>
              <w:spacing w:before="0" w:after="283"/>
              <w:jc w:val="left"/>
              <w:rPr/>
            </w:pPr>
            <w:r>
              <w:rPr/>
              <w:t>transfers to a family member (or former family member) pursuant to a domestic relations order if approved or ratified by the Administrator;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0"/>
        <w:gridCol w:w="9897"/>
      </w:tblGrid>
      <w:tr>
        <w:trPr/>
        <w:tc>
          <w:tcPr>
            <w:tcW w:w="3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pPr>
            <w:r>
              <w:rPr/>
              <w:t>(d)</w:t>
            </w:r>
          </w:p>
        </w:tc>
        <w:tc>
          <w:tcPr>
            <w:tcW w:w="9897" w:type="dxa"/>
            <w:tcBorders/>
            <w:vAlign w:val="center"/>
          </w:tcPr>
          <w:p>
            <w:pPr>
              <w:pStyle w:val="TableContents"/>
              <w:bidi w:val="0"/>
              <w:spacing w:before="0" w:after="283"/>
              <w:jc w:val="left"/>
              <w:rPr/>
            </w:pPr>
            <w:r>
              <w:rPr/>
              <w:t>if the participant has suffered a disability, permitted transfers or exercises on behalf of the participant by his or her legal representative; or</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(e)</w:t>
            </w:r>
          </w:p>
        </w:tc>
        <w:tc>
          <w:tcPr>
            <w:tcW w:w="9940" w:type="dxa"/>
            <w:tcBorders/>
            <w:vAlign w:val="center"/>
          </w:tcPr>
          <w:p>
            <w:pPr>
              <w:pStyle w:val="TableContents"/>
              <w:bidi w:val="0"/>
              <w:spacing w:before="0" w:after="283"/>
              <w:jc w:val="left"/>
              <w:rPr/>
            </w:pPr>
            <w:r>
              <w:rPr/>
              <w:t>the authorization by the Administrator of “cashless exercise” procedures with third parties who provide financing for the purpose of (or who otherwise facilitate) the exercise of awards consistent with applicable laws and the express authorization of the Administrator.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31"/>
        <w:gridCol w:w="9836"/>
      </w:tblGrid>
      <w:tr>
        <w:trPr/>
        <w:tc>
          <w:tcPr>
            <w:tcW w:w="3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b/>
              </w:rPr>
            </w:pPr>
            <w:r>
              <w:rPr>
                <w:b/>
              </w:rPr>
              <w:t>5.8.</w:t>
            </w:r>
          </w:p>
        </w:tc>
        <w:tc>
          <w:tcPr>
            <w:tcW w:w="9836" w:type="dxa"/>
            <w:tcBorders/>
            <w:vAlign w:val="center"/>
          </w:tcPr>
          <w:p>
            <w:pPr>
              <w:pStyle w:val="TableContents"/>
              <w:bidi w:val="0"/>
              <w:spacing w:before="0" w:after="283"/>
              <w:jc w:val="left"/>
              <w:rPr/>
            </w:pPr>
            <w:r>
              <w:rPr>
                <w:b/>
                <w:i/>
              </w:rPr>
              <w:t>International Awards.</w:t>
            </w:r>
            <w:r>
              <w:rPr/>
              <w:t xml:space="preserve"> One or more awards may be granted to Eligible Persons who provide services to the Corporation or one of its Subsidiaries outside of the United States. Any awards granted to such persons may be granted pursuant to the terms and conditions of any applicable sub-plans, if any, appended to this Plan and approved by the Administrator, subject to Rule 5635(c)(4) of the Nasdaq Stock Market Listing Rules and related guidelines and interpretations.</w:t>
            </w:r>
          </w:p>
        </w:tc>
      </w:tr>
    </w:tbl>
    <w:p>
      <w:pPr>
        <w:pStyle w:val="TextBody"/>
        <w:bidi w:val="0"/>
        <w:spacing w:before="0" w:after="0"/>
        <w:ind w:left="36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228"/>
        <w:gridCol w:w="9934"/>
      </w:tblGrid>
      <w:tr>
        <w:trPr/>
        <w:tc>
          <w:tcPr>
            <w:tcW w:w="4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b/>
              </w:rPr>
            </w:pPr>
            <w:r>
              <w:rPr>
                <w:b/>
              </w:rPr>
              <w:t>6.</w:t>
            </w:r>
          </w:p>
        </w:tc>
        <w:tc>
          <w:tcPr>
            <w:tcW w:w="9934" w:type="dxa"/>
            <w:tcBorders/>
            <w:vAlign w:val="center"/>
          </w:tcPr>
          <w:p>
            <w:pPr>
              <w:pStyle w:val="TableContents"/>
              <w:bidi w:val="0"/>
              <w:spacing w:before="0" w:after="283"/>
              <w:jc w:val="left"/>
              <w:rPr>
                <w:b/>
              </w:rPr>
            </w:pPr>
            <w:r>
              <w:rPr>
                <w:b/>
              </w:rPr>
              <w:t xml:space="preserve">EFFECT OF TERMINATION OF EMPLOYMENT OR SERVICE ON AWARDS </w:t>
            </w:r>
          </w:p>
        </w:tc>
      </w:tr>
    </w:tbl>
    <w:p>
      <w:pPr>
        <w:pStyle w:val="TextBody"/>
        <w:bidi w:val="0"/>
        <w:spacing w:before="0" w:after="0"/>
        <w:ind w:left="3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41"/>
        <w:gridCol w:w="9826"/>
      </w:tblGrid>
      <w:tr>
        <w:trPr/>
        <w:tc>
          <w:tcPr>
            <w:tcW w:w="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b/>
              </w:rPr>
            </w:pPr>
            <w:r>
              <w:rPr>
                <w:b/>
              </w:rPr>
              <w:t>6.1.</w:t>
            </w:r>
          </w:p>
        </w:tc>
        <w:tc>
          <w:tcPr>
            <w:tcW w:w="9826" w:type="dxa"/>
            <w:tcBorders/>
            <w:vAlign w:val="center"/>
          </w:tcPr>
          <w:p>
            <w:pPr>
              <w:pStyle w:val="TableContents"/>
              <w:bidi w:val="0"/>
              <w:spacing w:before="0" w:after="283"/>
              <w:jc w:val="left"/>
              <w:rPr/>
            </w:pPr>
            <w:r>
              <w:rPr>
                <w:b/>
                <w:i/>
              </w:rPr>
              <w:t>General.</w:t>
            </w:r>
            <w:r>
              <w:rPr/>
              <w:t xml:space="preserve"> The Administrator shall establish the effect of a termination of employment or service on the rights and benefits under each award under this Plan and in so doing may make distinctions based upon, inter alia, the cause of termination and type of award.</w:t>
            </w:r>
          </w:p>
        </w:tc>
      </w:tr>
    </w:tbl>
    <w:p>
      <w:pPr>
        <w:pStyle w:val="TextBody"/>
        <w:bidi w:val="0"/>
        <w:spacing w:before="0" w:after="0"/>
        <w:ind w:left="792"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4"/>
        <w:gridCol w:w="9843"/>
      </w:tblGrid>
      <w:tr>
        <w:trPr/>
        <w:tc>
          <w:tcPr>
            <w:tcW w:w="3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b/>
              </w:rPr>
            </w:pPr>
            <w:r>
              <w:rPr>
                <w:b/>
              </w:rPr>
              <w:t>6.2.</w:t>
            </w:r>
          </w:p>
        </w:tc>
        <w:tc>
          <w:tcPr>
            <w:tcW w:w="9843" w:type="dxa"/>
            <w:tcBorders/>
            <w:vAlign w:val="center"/>
          </w:tcPr>
          <w:p>
            <w:pPr>
              <w:pStyle w:val="TableContents"/>
              <w:bidi w:val="0"/>
              <w:spacing w:before="0" w:after="283"/>
              <w:jc w:val="left"/>
              <w:rPr/>
            </w:pPr>
            <w:r>
              <w:rPr>
                <w:b/>
                <w:i/>
              </w:rPr>
              <w:t>Events Not Deemed Terminations of Service.</w:t>
            </w:r>
            <w:r>
              <w:rPr/>
              <w:t xml:space="preserve"> Unless the express policy of the Corporation or one of its Subsidiaries, or the Administrator, otherwise provides, the employment relationship shall not be considered terminated in the case of (a) sick leave, (b) military leave, or (c) any other leave of absence authorized by the Corporation or one of its Subsidiaries, or the Administrator; provided that, unless reemployment upon the expiration of such leave is guaranteed by contract or law or the Administrator otherwise provides, such leave is for a period of not more than three months (or such other period of time as required by applicable law). In the case of any employee of the Corporation or one of its Subsidiaries on an approved leave of absence, continued vesting of the award while on leave from the employ of the Corporation or one of its Subsidiaries may be suspended until the employee returns to service, unless the Administrator otherwise provides or applicable law (including Section 409A of the Code) otherwise requires. In no event shall an award be exercised after the expiration of the term set forth in the applicable award agreement.</w:t>
            </w:r>
          </w:p>
        </w:tc>
      </w:tr>
    </w:tbl>
    <w:p>
      <w:pPr>
        <w:pStyle w:val="TextBody"/>
        <w:bidi w:val="0"/>
        <w:spacing w:before="0" w:after="0"/>
        <w:ind w:left="792"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8"/>
        <w:gridCol w:w="9839"/>
      </w:tblGrid>
      <w:tr>
        <w:trPr/>
        <w:tc>
          <w:tcPr>
            <w:tcW w:w="3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b/>
              </w:rPr>
            </w:pPr>
            <w:r>
              <w:rPr>
                <w:b/>
              </w:rPr>
              <w:t>6.3.</w:t>
            </w:r>
          </w:p>
        </w:tc>
        <w:tc>
          <w:tcPr>
            <w:tcW w:w="9839" w:type="dxa"/>
            <w:tcBorders/>
            <w:vAlign w:val="center"/>
          </w:tcPr>
          <w:p>
            <w:pPr>
              <w:pStyle w:val="TableContents"/>
              <w:bidi w:val="0"/>
              <w:spacing w:before="0" w:after="283"/>
              <w:jc w:val="left"/>
              <w:rPr/>
            </w:pPr>
            <w:r>
              <w:rPr>
                <w:b/>
                <w:i/>
              </w:rPr>
              <w:t>Effect of Change of Subsidiary Status.</w:t>
            </w:r>
            <w:r>
              <w:rPr/>
              <w:t xml:space="preserve"> For purposes of this Plan and any award, if an entity ceases to be a Subsidiary of the Corporation a termination of employment or service shall be deemed to have occurred with respect to each Eligible Person in respect of such Subsidiary who does not continue as an Eligible Person in respect of the Corporation or another Subsidiary that continues as such after giving effect to the transaction or other event giving rise to the change in status unless the Subsidiary that is sold, spun-off or otherwise divested (or its successor or a direct or indirect parent of such Subsidiary or successor) assumes the Eligible Person’s award(s) in connection with such transaction.</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0"/>
        <w:gridCol w:w="473"/>
        <w:gridCol w:w="9642"/>
      </w:tblGrid>
      <w:tr>
        <w:trPr/>
        <w:tc>
          <w:tcPr>
            <w:tcW w:w="90"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b/>
              </w:rPr>
            </w:pPr>
            <w:r>
              <w:rPr>
                <w:b/>
              </w:rPr>
              <w:t>7.</w:t>
            </w:r>
          </w:p>
        </w:tc>
        <w:tc>
          <w:tcPr>
            <w:tcW w:w="9642" w:type="dxa"/>
            <w:tcBorders/>
            <w:vAlign w:val="center"/>
          </w:tcPr>
          <w:p>
            <w:pPr>
              <w:pStyle w:val="TableContents"/>
              <w:bidi w:val="0"/>
              <w:spacing w:before="0" w:after="283"/>
              <w:jc w:val="left"/>
              <w:rPr>
                <w:b/>
              </w:rPr>
            </w:pPr>
            <w:r>
              <w:rPr>
                <w:b/>
              </w:rPr>
              <w:t xml:space="preserve">ADJUSTMENTS; ACCELERATION </w:t>
            </w:r>
          </w:p>
        </w:tc>
      </w:tr>
    </w:tbl>
    <w:p>
      <w:pPr>
        <w:pStyle w:val="TextBody"/>
        <w:bidi w:val="0"/>
        <w:spacing w:before="0" w:after="0"/>
        <w:ind w:left="3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3"/>
        <w:gridCol w:w="9844"/>
      </w:tblGrid>
      <w:tr>
        <w:trPr/>
        <w:tc>
          <w:tcPr>
            <w:tcW w:w="3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b/>
              </w:rPr>
            </w:pPr>
            <w:r>
              <w:rPr>
                <w:b/>
              </w:rPr>
              <w:t>7.1.</w:t>
            </w:r>
          </w:p>
        </w:tc>
        <w:tc>
          <w:tcPr>
            <w:tcW w:w="9844" w:type="dxa"/>
            <w:tcBorders/>
            <w:vAlign w:val="center"/>
          </w:tcPr>
          <w:p>
            <w:pPr>
              <w:pStyle w:val="TableContents"/>
              <w:bidi w:val="0"/>
              <w:spacing w:before="0" w:after="283"/>
              <w:jc w:val="left"/>
              <w:rPr/>
            </w:pPr>
            <w:r>
              <w:rPr>
                <w:b/>
                <w:i/>
              </w:rPr>
              <w:t>Adjustments.</w:t>
            </w:r>
            <w:r>
              <w:rPr/>
              <w:t xml:space="preserve"> Subject to Section 7.2, upon (or, as may be necessary to effect the adjustment, immediately prior to): any reclassification, recapitalization, stock split (including a stock split in the form of a stock dividend) or reverse stock split; any merger, combination, consolidation, or other reorganization; any spin-off, split-up, or similar extraordinary dividend distribution in respect of the Common Stock; or any exchange of Common Stock or other securities of the Corporation, or any similar, unusual or extraordinary corporate transaction in respect of the Common Stock; then the Administrator shall equitably and proportionately adjust (1) the number and type of shares of Common Stock (or other securities) that thereafter may be made the subject of awards (including the specific share limits, maximums and numbers of shares set forth elsewhere in this Plan), (2) the number, amount and type of shares of Common Stock (or other securities or property) subject to any outstanding awards, (3) the grant, purchase, or exercise price (which term includes the base price of any SAR or similar right) of any outstanding awards, and/or (4) the securities, cash or other property deliverable upon exercise or payment of any outstanding awards, in each case to the extent necessary to preserve (but not increase) the level of incentives intended by this Plan and the then-outstanding awards.</w:t>
            </w:r>
          </w:p>
        </w:tc>
      </w:tr>
    </w:tbl>
    <w:p>
      <w:pPr>
        <w:pStyle w:val="TextBody"/>
        <w:bidi w:val="0"/>
        <w:spacing w:before="0" w:after="0"/>
        <w:ind w:left="792" w:right="0" w:hanging="0"/>
        <w:jc w:val="left"/>
        <w:rPr>
          <w:caps w:val="false"/>
          <w:smallCaps w:val="false"/>
        </w:rPr>
      </w:pPr>
      <w:r>
        <w:rPr>
          <w:caps w:val="false"/>
          <w:smallCaps w:val="false"/>
        </w:rPr>
        <w:t> </w:t>
      </w:r>
    </w:p>
    <w:p>
      <w:pPr>
        <w:pStyle w:val="TextBody"/>
        <w:bidi w:val="0"/>
        <w:spacing w:before="0" w:after="0"/>
        <w:ind w:left="792" w:right="0" w:hanging="0"/>
        <w:jc w:val="center"/>
        <w:rPr>
          <w:bdr w:val="single" w:sz="12" w:space="1" w:color="000000"/>
        </w:rPr>
      </w:pPr>
      <w:r>
        <w:rPr>
          <w:bdr w:val="single" w:sz="12" w:space="1" w:color="000000"/>
        </w:rPr>
        <w:t>6 </w:t>
      </w:r>
    </w:p>
    <w:p>
      <w:pPr>
        <w:pStyle w:val="TextBody"/>
        <w:bidi w:val="0"/>
        <w:spacing w:before="0" w:after="0"/>
        <w:ind w:left="792" w:right="0" w:hanging="0"/>
        <w:jc w:val="left"/>
        <w:rPr>
          <w:caps w:val="false"/>
          <w:smallCaps w:val="false"/>
        </w:rPr>
      </w:pPr>
      <w:r>
        <w:rPr>
          <w:caps w:val="false"/>
          <w:smallCaps w:val="false"/>
        </w:rPr>
        <w:t> </w:t>
      </w:r>
    </w:p>
    <w:p>
      <w:pPr>
        <w:pStyle w:val="TextBody"/>
        <w:bidi w:val="0"/>
        <w:spacing w:before="0" w:after="0"/>
        <w:ind w:left="792"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intended that, if possible, any adjustments contemplated by the preceding two paragraphs be made in a manner that satisfies applicable U.S. legal, tax (including, without limitation and as applicable in the circumstances, Section 409A of the Code) and accounting (so as to not trigger any charge to earnings with respect to such adjustment) requirements.</w:t>
      </w:r>
    </w:p>
    <w:p>
      <w:pPr>
        <w:pStyle w:val="TextBody"/>
        <w:bidi w:val="0"/>
        <w:spacing w:before="0" w:after="0"/>
        <w:ind w:left="792" w:right="0" w:hanging="0"/>
        <w:jc w:val="left"/>
        <w:rPr>
          <w:caps w:val="false"/>
          <w:smallCaps w:val="false"/>
        </w:rPr>
      </w:pPr>
      <w:r>
        <w:rPr>
          <w:caps w:val="false"/>
          <w:smallCaps w:val="false"/>
        </w:rPr>
        <w:t> </w:t>
      </w:r>
    </w:p>
    <w:p>
      <w:pPr>
        <w:pStyle w:val="TextBody"/>
        <w:bidi w:val="0"/>
        <w:spacing w:before="0" w:after="0"/>
        <w:ind w:left="792"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limiting the generality of Section 3.3, any good faith determination by the Administrator as to whether an adjustment is required in the circumstances pursuant to this Section 7.1, and the extent and nature of any such adjustment, shall be conclusive and binding on all persons.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2"/>
        <w:gridCol w:w="9845"/>
      </w:tblGrid>
      <w:tr>
        <w:trPr/>
        <w:tc>
          <w:tcPr>
            <w:tcW w:w="38"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b/>
              </w:rPr>
            </w:pPr>
            <w:r>
              <w:rPr>
                <w:b/>
              </w:rPr>
              <w:t>7.2.</w:t>
            </w:r>
          </w:p>
        </w:tc>
        <w:tc>
          <w:tcPr>
            <w:tcW w:w="9845" w:type="dxa"/>
            <w:tcBorders/>
            <w:vAlign w:val="center"/>
          </w:tcPr>
          <w:p>
            <w:pPr>
              <w:pStyle w:val="TableContents"/>
              <w:bidi w:val="0"/>
              <w:spacing w:before="0" w:after="283"/>
              <w:jc w:val="left"/>
              <w:rPr/>
            </w:pPr>
            <w:r>
              <w:rPr>
                <w:b/>
                <w:i/>
              </w:rPr>
              <w:t>Change in Control—Assumption and Termination of Awards.</w:t>
            </w:r>
            <w:r>
              <w:rPr/>
              <w:t xml:space="preserve"> Upon the occurrence of a Change in Control, then the Administrator may make provision for a cash payment in settlement of, or for the termination, assumption, substitution or exchange of any or all outstanding share-based awards or the cash, securities or property deliverable to the holder of any or all outstanding share-based awards, based upon, to the extent relevant under the circumstances, the distribution or consideration payable to holders of the Common Stock upon or in respect of such Change in Control. Upon the occurrence of a Change in Control, then, unless the Administrator has made a provision for the substitution, assumption, exchange or other continuation or settlement of the award or (unless the Administrator has provided for the termination of the award) the award would otherwise continue in accordance with its terms in the circumstances: (1) unless otherwise provided in the applicable award agreement, each then-outstanding option and SAR shall become fully vested, all shares of restricted stock then outstanding shall fully vest free of restrictions, and each other award granted under this Plan that is then outstanding shall become payable to the holder of such award; and (2) each award shall terminate upon the Change in Control; provided that the holder of an option or SAR shall be given reasonable advance notice of the impending termination and a reasonable opportunity to exercise his or her outstanding vested options and SARs (after giving effect to any accelerated vesting required in the circumstances) in accordance with their terms before the termination of such awards (except that in no case shall more than ten days’ notice of the impending termination be required and any acceleration of vesting and any exercise of any portion of an award that is so accelerated may be made contingent upon the actual occurrence of the Change in Control).</w:t>
            </w:r>
          </w:p>
        </w:tc>
      </w:tr>
    </w:tbl>
    <w:p>
      <w:pPr>
        <w:pStyle w:val="TextBody"/>
        <w:bidi w:val="0"/>
        <w:spacing w:before="0" w:after="0"/>
        <w:ind w:left="792" w:right="0" w:hanging="0"/>
        <w:jc w:val="left"/>
        <w:rPr>
          <w:caps w:val="false"/>
          <w:smallCaps w:val="false"/>
        </w:rPr>
      </w:pPr>
      <w:r>
        <w:rPr>
          <w:caps w:val="false"/>
          <w:smallCaps w:val="false"/>
        </w:rPr>
        <w:t> </w:t>
      </w:r>
    </w:p>
    <w:p>
      <w:pPr>
        <w:pStyle w:val="TextBody"/>
        <w:bidi w:val="0"/>
        <w:spacing w:before="0" w:after="0"/>
        <w:ind w:left="792"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Administrator may adopt such valuation methodologies for outstanding awards as it deems reasonable in the event of a cash or property settlement and, in the case of options, SARs or similar rights, but without limitation on other methodologies, may base such settlement solely upon the excess (if any) of the per share amount payable upon or in respect of such Change in Control over the exercise or base price of the award.</w:t>
      </w:r>
    </w:p>
    <w:p>
      <w:pPr>
        <w:pStyle w:val="TextBody"/>
        <w:bidi w:val="0"/>
        <w:spacing w:before="0" w:after="0"/>
        <w:ind w:left="792" w:right="0" w:hanging="0"/>
        <w:jc w:val="left"/>
        <w:rPr>
          <w:caps w:val="false"/>
          <w:smallCaps w:val="false"/>
        </w:rPr>
      </w:pPr>
      <w:r>
        <w:rPr>
          <w:caps w:val="false"/>
          <w:smallCaps w:val="false"/>
        </w:rPr>
        <w:t> </w:t>
      </w:r>
    </w:p>
    <w:p>
      <w:pPr>
        <w:pStyle w:val="TextBody"/>
        <w:bidi w:val="0"/>
        <w:spacing w:before="0" w:after="0"/>
        <w:ind w:left="792"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law, in the event of a Change in Control, the Administrator may take such action contemplated by this Section 7.2 prior to such Change in Control (as opposed to on the occurrence of such Change in Control) to the extent that the Administrator deems the action necessary to permit the participant to realize the benefits intended to be conveyed with respect to the underlying shares. Without limiting the generality of the foregoing, the Administrator may deem an acceleration to occur immediately prior to the Change in Control and, in such circumstances, will reinstate the original terms of the award if an event giving rise to an acceleration does not occur.</w:t>
      </w:r>
    </w:p>
    <w:p>
      <w:pPr>
        <w:pStyle w:val="TextBody"/>
        <w:bidi w:val="0"/>
        <w:spacing w:before="0" w:after="0"/>
        <w:ind w:left="792" w:right="0" w:hanging="0"/>
        <w:jc w:val="left"/>
        <w:rPr>
          <w:caps w:val="false"/>
          <w:smallCaps w:val="false"/>
        </w:rPr>
      </w:pPr>
      <w:r>
        <w:rPr>
          <w:caps w:val="false"/>
          <w:smallCaps w:val="false"/>
        </w:rPr>
        <w:t> </w:t>
      </w:r>
    </w:p>
    <w:p>
      <w:pPr>
        <w:pStyle w:val="TextBody"/>
        <w:bidi w:val="0"/>
        <w:spacing w:before="0" w:after="0"/>
        <w:ind w:left="792"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limiting the generality of Section 3.3, any good faith determination by the Administrator pursuant to its authority under this Section 7.2 shall be conclusive and binding on all persons.</w:t>
      </w:r>
    </w:p>
    <w:p>
      <w:pPr>
        <w:pStyle w:val="TextBody"/>
        <w:bidi w:val="0"/>
        <w:spacing w:before="0" w:after="0"/>
        <w:ind w:left="792"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35"/>
        <w:gridCol w:w="9832"/>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b/>
              </w:rPr>
            </w:pPr>
            <w:r>
              <w:rPr>
                <w:b/>
              </w:rPr>
              <w:t>7.3.</w:t>
            </w:r>
          </w:p>
        </w:tc>
        <w:tc>
          <w:tcPr>
            <w:tcW w:w="9832" w:type="dxa"/>
            <w:tcBorders/>
            <w:vAlign w:val="center"/>
          </w:tcPr>
          <w:p>
            <w:pPr>
              <w:pStyle w:val="TableContents"/>
              <w:bidi w:val="0"/>
              <w:spacing w:before="0" w:after="283"/>
              <w:jc w:val="left"/>
              <w:rPr/>
            </w:pPr>
            <w:r>
              <w:rPr>
                <w:b/>
                <w:i/>
              </w:rPr>
              <w:t>Other Acceleration Rules.</w:t>
            </w:r>
            <w:r>
              <w:rPr/>
              <w:t xml:space="preserve"> The Administrator may override the provisions of Section 7.2 by express provision in the award agreement and may accord any Eligible Person a right, subject to Section 409A of the Code, to refuse any acceleration, whether pursuant to the award agreement or otherwise, in such circumstances as the Administrator may approve.</w:t>
            </w:r>
          </w:p>
        </w:tc>
      </w:tr>
    </w:tbl>
    <w:p>
      <w:pPr>
        <w:pStyle w:val="TextBody"/>
        <w:bidi w:val="0"/>
        <w:spacing w:before="0" w:after="0"/>
        <w:ind w:left="792"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40"/>
        <w:gridCol w:w="9827"/>
      </w:tblGrid>
      <w:tr>
        <w:trPr/>
        <w:tc>
          <w:tcPr>
            <w:tcW w:w="38"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b/>
              </w:rPr>
            </w:pPr>
            <w:r>
              <w:rPr>
                <w:b/>
              </w:rPr>
              <w:t>7.4.</w:t>
            </w:r>
          </w:p>
        </w:tc>
        <w:tc>
          <w:tcPr>
            <w:tcW w:w="9827" w:type="dxa"/>
            <w:tcBorders/>
            <w:vAlign w:val="center"/>
          </w:tcPr>
          <w:p>
            <w:pPr>
              <w:pStyle w:val="TableContents"/>
              <w:bidi w:val="0"/>
              <w:spacing w:before="0" w:after="283"/>
              <w:jc w:val="left"/>
              <w:rPr/>
            </w:pPr>
            <w:r>
              <w:rPr>
                <w:b/>
                <w:i/>
              </w:rPr>
              <w:t>Definition of Change in Control.</w:t>
            </w:r>
            <w:r>
              <w:rPr/>
              <w:t xml:space="preserve"> With respect to a particular award granted under this Plan, a “Change in Control” shall be deemed to have occurred as of the first day, after the date of grant of the particular award, that any one or more of the following conditions shall have been satisfied: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5"/>
        <w:gridCol w:w="9962"/>
      </w:tblGrid>
      <w:tr>
        <w:trPr/>
        <w:tc>
          <w:tcPr>
            <w:tcW w:w="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pPr>
            <w:r>
              <w:rPr/>
              <w:t>(a)</w:t>
            </w:r>
          </w:p>
        </w:tc>
        <w:tc>
          <w:tcPr>
            <w:tcW w:w="9962" w:type="dxa"/>
            <w:tcBorders/>
            <w:vAlign w:val="center"/>
          </w:tcPr>
          <w:p>
            <w:pPr>
              <w:pStyle w:val="TableContents"/>
              <w:bidi w:val="0"/>
              <w:spacing w:before="0" w:after="283"/>
              <w:jc w:val="left"/>
              <w:rPr/>
            </w:pPr>
            <w:r>
              <w:rPr/>
              <w:t>The acquisition by any individual, entity or group (within the meaning of Section 13(d)(3) or 14(d)(2) of the Securities Exchange Act of 1934 as amended (the “</w:t>
            </w:r>
            <w:r>
              <w:rPr>
                <w:b/>
              </w:rPr>
              <w:t>Exchange Act</w:t>
            </w:r>
            <w:r>
              <w:rPr/>
              <w:t>”) (a “</w:t>
            </w:r>
            <w:r>
              <w:rPr>
                <w:b/>
              </w:rPr>
              <w:t>Person</w:t>
            </w:r>
            <w:r>
              <w:rPr/>
              <w:t>”)) of beneficial ownership (within the meaning of Rule 13d-3 promulgated under the Exchange Act) of more than 30% of either (1) the then-outstanding shares of common stock of the Corporation (the “</w:t>
            </w:r>
            <w:r>
              <w:rPr>
                <w:b/>
              </w:rPr>
              <w:t>Outstanding Company Common Stock</w:t>
            </w:r>
            <w:r>
              <w:rPr/>
              <w:t>”) or (2) the combined voting power of the then-outstanding voting securities of the Corporation entitled to vote generally in the election of directors (the “</w:t>
            </w:r>
            <w:r>
              <w:rPr>
                <w:b/>
              </w:rPr>
              <w:t>Outstanding Company Voting Securities</w:t>
            </w:r>
            <w:r>
              <w:rPr/>
              <w:t>”); provided, however, that, for purposes of this clause (a), the following acquisitions shall not constitute a Change in Control Event; (A) any acquisition directly from the Corporation, (B) any acquisition by the Corporation, (C) any acquisition by any employee benefit plan (or related trust) sponsored or maintained by the Corporation or any affiliate of the Corporation or a successor, or (D) any acquisition by any entity pursuant to a transaction that complies with Sections (c)(1), (2) and (3) below;</w:t>
            </w:r>
          </w:p>
        </w:tc>
      </w:tr>
    </w:tbl>
    <w:p>
      <w:pPr>
        <w:pStyle w:val="TextBody"/>
        <w:bidi w:val="0"/>
        <w:spacing w:before="0" w:after="0"/>
        <w:ind w:left="144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(b)</w:t>
            </w:r>
          </w:p>
        </w:tc>
        <w:tc>
          <w:tcPr>
            <w:tcW w:w="9945" w:type="dxa"/>
            <w:tcBorders/>
            <w:vAlign w:val="center"/>
          </w:tcPr>
          <w:p>
            <w:pPr>
              <w:pStyle w:val="TableContents"/>
              <w:bidi w:val="0"/>
              <w:spacing w:before="0" w:after="283"/>
              <w:jc w:val="left"/>
              <w:rPr/>
            </w:pPr>
            <w:r>
              <w:rPr/>
              <w:t>Individuals who, as of the Effective Date, constitute the Board (the “</w:t>
            </w:r>
            <w:r>
              <w:rPr>
                <w:b/>
              </w:rPr>
              <w:t>Incumbent Board</w:t>
            </w:r>
            <w:r>
              <w:rPr/>
              <w:t>”) cease for any reason to constitute at least a majority of the Board; provided, however, that any individual becoming a director subsequent to the Effective Date whose election, or nomination for election by the Corporation’s stockholders, was approved by a vote of at least two-thirds of the directors then comprising the Incumbent Board (including for these purposes, the new members whose election or nomination was so approved, without counting the member and his predecessor twice)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bdr w:val="single" w:sz="12" w:space="1" w:color="000000"/>
        </w:rPr>
      </w:pPr>
      <w:r>
        <w:rPr>
          <w:bdr w:val="single" w:sz="12" w:space="1" w:color="000000"/>
        </w:rPr>
        <w:t>7 </w:t>
      </w:r>
    </w:p>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2"/>
        <w:gridCol w:w="9965"/>
      </w:tblGrid>
      <w:tr>
        <w:trPr/>
        <w:tc>
          <w:tcPr>
            <w:tcW w:w="3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pPr>
            <w:r>
              <w:rPr/>
              <w:t>(c)</w:t>
            </w:r>
          </w:p>
        </w:tc>
        <w:tc>
          <w:tcPr>
            <w:tcW w:w="9965" w:type="dxa"/>
            <w:tcBorders/>
            <w:vAlign w:val="center"/>
          </w:tcPr>
          <w:p>
            <w:pPr>
              <w:pStyle w:val="TableContents"/>
              <w:bidi w:val="0"/>
              <w:spacing w:before="0" w:after="283"/>
              <w:jc w:val="left"/>
              <w:rPr/>
            </w:pPr>
            <w:r>
              <w:rPr/>
              <w:t>Consummation of a reorganization, merger, statutory share exchange or consolidation or similar corporate transaction involving the Corporation or any of its Subsidiaries, a sale or other disposition of all or substantially all of the assets of the Corporation, or the acquisition of assets or stock of another entity by the Corporation or any of its Subsidiaries (each, a “</w:t>
            </w:r>
            <w:r>
              <w:rPr>
                <w:b/>
              </w:rPr>
              <w:t>Business Combination</w:t>
            </w:r>
            <w:r>
              <w:rPr/>
              <w:t>”), in each case unless, following such Business Combination, (1) all or substantially all of the individuals and entities that were the beneficial owners of the Outstanding Company Common Stock and the Outstanding Company Voting Securities immediately prior to such Business Combination beneficially own, directly or indirectly, more than 50% of the then-outstanding shares of common stock and the combined voting power of the then-outstanding voting securities entitled to vote generally in the election of directors, as the case may be, of the entity resulting from such Business Combination (including, without limitation, an entity that, as a result of such transaction, owns the Corporation or all or substantially all of the Corporation’s assets directly or through one or more subsidiaries (a “</w:t>
            </w:r>
            <w:r>
              <w:rPr>
                <w:b/>
              </w:rPr>
              <w:t>Parent</w:t>
            </w:r>
            <w:r>
              <w:rPr/>
              <w:t>”)) in substantially the same proportions as their ownership immediately prior to such Business Combination of the Outstanding Company Common Stock and the Outstanding Company Voting Securities, as the case may be, (2) no Person (excluding any entity resulting from such Business Combination or a Parent or any employee benefit plan (or related trust) of the Corporation or such entity resulting from such Business Combination or Parent) beneficially owns, directly or indirectly, more than 30% of, respectively, the then-outstanding shares of common stock of the entity resulting from such Business Combination or the combined voting power of the then-outstanding voting securities of such entity, except to the extent that the ownership in excess of 30% existed prior to the Business Combination, and (3) at least a majority of the members of the board of directors or trustees of the entity resulting from such Business Combination or a Parent were members of the Incumbent Board at the time of the execution of the initial agreement or of the action of the Board providing for such Business Combination; or</w:t>
            </w:r>
          </w:p>
        </w:tc>
      </w:tr>
    </w:tbl>
    <w:p>
      <w:pPr>
        <w:pStyle w:val="TextBody"/>
        <w:bidi w:val="0"/>
        <w:spacing w:before="0" w:after="0"/>
        <w:ind w:left="792"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8"/>
        <w:gridCol w:w="9919"/>
      </w:tblGrid>
      <w:tr>
        <w:trPr/>
        <w:tc>
          <w:tcPr>
            <w:tcW w:w="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(d)</w:t>
            </w:r>
          </w:p>
        </w:tc>
        <w:tc>
          <w:tcPr>
            <w:tcW w:w="9919" w:type="dxa"/>
            <w:tcBorders/>
            <w:vAlign w:val="center"/>
          </w:tcPr>
          <w:p>
            <w:pPr>
              <w:pStyle w:val="TableContents"/>
              <w:bidi w:val="0"/>
              <w:spacing w:before="0" w:after="283"/>
              <w:jc w:val="left"/>
              <w:rPr/>
            </w:pPr>
            <w:r>
              <w:rPr/>
              <w:t>Approval by the stockholders of the Corporation of a complete liquidation or dissolution of the Corporation other than in the context of a transaction that does not constitute a Change in Control under clause (c) above.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3"/>
        <w:gridCol w:w="755"/>
        <w:gridCol w:w="9307"/>
      </w:tblGrid>
      <w:tr>
        <w:trPr/>
        <w:tc>
          <w:tcPr>
            <w:tcW w:w="143"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b/>
              </w:rPr>
            </w:pPr>
            <w:r>
              <w:rPr>
                <w:b/>
              </w:rPr>
              <w:t>8.</w:t>
            </w:r>
          </w:p>
        </w:tc>
        <w:tc>
          <w:tcPr>
            <w:tcW w:w="9307" w:type="dxa"/>
            <w:tcBorders/>
            <w:vAlign w:val="center"/>
          </w:tcPr>
          <w:p>
            <w:pPr>
              <w:pStyle w:val="TableContents"/>
              <w:bidi w:val="0"/>
              <w:spacing w:before="0" w:after="283"/>
              <w:jc w:val="left"/>
              <w:rPr>
                <w:b/>
              </w:rPr>
            </w:pPr>
            <w:r>
              <w:rPr>
                <w:b/>
              </w:rPr>
              <w:t>OTHER PROVISIONS</w:t>
            </w:r>
          </w:p>
        </w:tc>
      </w:tr>
    </w:tbl>
    <w:p>
      <w:pPr>
        <w:pStyle w:val="TextBody"/>
        <w:bidi w:val="0"/>
        <w:spacing w:before="0" w:after="0"/>
        <w:ind w:left="3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5"/>
        <w:gridCol w:w="9842"/>
      </w:tblGrid>
      <w:tr>
        <w:trPr/>
        <w:tc>
          <w:tcPr>
            <w:tcW w:w="3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b/>
              </w:rPr>
            </w:pPr>
            <w:r>
              <w:rPr>
                <w:b/>
              </w:rPr>
              <w:t>8.1.</w:t>
            </w:r>
          </w:p>
        </w:tc>
        <w:tc>
          <w:tcPr>
            <w:tcW w:w="9842" w:type="dxa"/>
            <w:tcBorders/>
            <w:vAlign w:val="center"/>
          </w:tcPr>
          <w:p>
            <w:pPr>
              <w:pStyle w:val="TableContents"/>
              <w:bidi w:val="0"/>
              <w:spacing w:before="0" w:after="283"/>
              <w:jc w:val="left"/>
              <w:rPr/>
            </w:pPr>
            <w:r>
              <w:rPr>
                <w:b/>
                <w:i/>
              </w:rPr>
              <w:t>Compliance with Laws.</w:t>
            </w:r>
            <w:r>
              <w:rPr/>
              <w:t xml:space="preserve"> This Plan, the granting and vesting of awards under this Plan, the offer, issuance and delivery of shares of Common Stock, and/or the payment of money under this Plan or under awards are subject to compliance with all applicable federal and state laws, rules and regulations (including but not limited to state and federal securities law and federal margin requirements) and to such approvals by any listing, regulatory or governmental authority as may, in the opinion of counsel for the Corporation, be necessary or advisable in connection therewith. The person acquiring any securities under this Plan will, if requested by the Corporation or one of its Subsidiaries, provide such assurances and representations to the Corporation or one of its Subsidiaries as the Administrator may deem necessary or desirable to assure compliance with all applicable legal and accounting requirements.</w:t>
            </w:r>
          </w:p>
        </w:tc>
      </w:tr>
    </w:tbl>
    <w:p>
      <w:pPr>
        <w:pStyle w:val="TextBody"/>
        <w:bidi w:val="0"/>
        <w:spacing w:before="0" w:after="0"/>
        <w:ind w:left="792"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43"/>
        <w:gridCol w:w="9824"/>
      </w:tblGrid>
      <w:tr>
        <w:trPr/>
        <w:tc>
          <w:tcPr>
            <w:tcW w:w="3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b/>
              </w:rPr>
            </w:pPr>
            <w:r>
              <w:rPr>
                <w:b/>
              </w:rPr>
              <w:t>8.2.</w:t>
            </w:r>
          </w:p>
        </w:tc>
        <w:tc>
          <w:tcPr>
            <w:tcW w:w="9824" w:type="dxa"/>
            <w:tcBorders/>
            <w:vAlign w:val="center"/>
          </w:tcPr>
          <w:p>
            <w:pPr>
              <w:pStyle w:val="TableContents"/>
              <w:bidi w:val="0"/>
              <w:spacing w:before="0" w:after="283"/>
              <w:jc w:val="left"/>
              <w:rPr/>
            </w:pPr>
            <w:r>
              <w:rPr>
                <w:b/>
                <w:i/>
              </w:rPr>
              <w:t>No Rights to Award.</w:t>
            </w:r>
            <w:r>
              <w:rPr/>
              <w:t xml:space="preserve"> No person shall have any claim or rights to be granted an award (or additional awards, as the case may be) under this Plan, subject to any express contractual rights (set forth in a document other than this Plan) to the contrary.</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6"/>
        <w:gridCol w:w="9841"/>
      </w:tblGrid>
      <w:tr>
        <w:trPr/>
        <w:tc>
          <w:tcPr>
            <w:tcW w:w="38"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b/>
              </w:rPr>
            </w:pPr>
            <w:r>
              <w:rPr>
                <w:b/>
              </w:rPr>
              <w:t>8.3.</w:t>
            </w:r>
          </w:p>
        </w:tc>
        <w:tc>
          <w:tcPr>
            <w:tcW w:w="9841" w:type="dxa"/>
            <w:tcBorders/>
            <w:vAlign w:val="center"/>
          </w:tcPr>
          <w:p>
            <w:pPr>
              <w:pStyle w:val="TableContents"/>
              <w:bidi w:val="0"/>
              <w:spacing w:before="0" w:after="283"/>
              <w:jc w:val="left"/>
              <w:rPr/>
            </w:pPr>
            <w:r>
              <w:rPr>
                <w:b/>
                <w:i/>
              </w:rPr>
              <w:t>No Employment/Service Contract.</w:t>
            </w:r>
            <w:r>
              <w:rPr/>
              <w:t xml:space="preserve"> Nothing contained in this Plan (or in any other documents under this Plan or in any award) shall confer upon any Eligible Person or other participant any right to continue in the employ or other service of the Corporation or one of its Subsidiaries, constitute any contract or agreement of employment or other service or affect an employee’s status as an employee at will, nor shall interfere in any way with the right of the Corporation or one of its Subsidiaries to change a person’s compensation or other benefits, or to terminate his or her employment or other service, with or without cause. Nothing in this Section 8.3, however, is intended to adversely affect any express independent right of such person under a separate employment or service contract other than an award agreement.</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5"/>
        <w:gridCol w:w="9842"/>
      </w:tblGrid>
      <w:tr>
        <w:trPr/>
        <w:tc>
          <w:tcPr>
            <w:tcW w:w="3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b/>
              </w:rPr>
            </w:pPr>
            <w:r>
              <w:rPr>
                <w:b/>
              </w:rPr>
              <w:t>8.4.</w:t>
            </w:r>
          </w:p>
        </w:tc>
        <w:tc>
          <w:tcPr>
            <w:tcW w:w="9842" w:type="dxa"/>
            <w:tcBorders/>
            <w:vAlign w:val="center"/>
          </w:tcPr>
          <w:p>
            <w:pPr>
              <w:pStyle w:val="TableContents"/>
              <w:bidi w:val="0"/>
              <w:spacing w:before="0" w:after="283"/>
              <w:jc w:val="left"/>
              <w:rPr/>
            </w:pPr>
            <w:r>
              <w:rPr>
                <w:b/>
                <w:i/>
              </w:rPr>
              <w:t>Plan Not Funded.</w:t>
            </w:r>
            <w:r>
              <w:rPr/>
              <w:t xml:space="preserve"> Awards payable under this Plan shall be payable in shares or from the general assets of the Corporation, and no special or separate reserve, fund or deposit shall be made to assure payment of such awards. No participant, beneficiary or other person shall have any right, title or interest in any fund or in any specific asset (including shares of Common Stock, except as expressly otherwise provided) of the Corporation or one of its Subsidiaries by reason of any award hereunder. Neither the provisions of this Plan (or of any related documents), nor the creation or adoption of this Plan, nor any action taken pursuant to the provisions of this Plan shall create, or be construed to create, a trust of any kind or a fiduciary relationship between the Corporation or one of its Subsidiaries and any participant, beneficiary or other person. To the extent that a participant, beneficiary or other person acquires a right to receive payment pursuant to any award hereunder, such right shall be no greater than the right of any unsecured general creditor of the Corporation.</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46"/>
        <w:gridCol w:w="9821"/>
      </w:tblGrid>
      <w:tr>
        <w:trPr/>
        <w:tc>
          <w:tcPr>
            <w:tcW w:w="3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b/>
              </w:rPr>
            </w:pPr>
            <w:r>
              <w:rPr>
                <w:b/>
              </w:rPr>
              <w:t>8.5.</w:t>
            </w:r>
          </w:p>
        </w:tc>
        <w:tc>
          <w:tcPr>
            <w:tcW w:w="9821" w:type="dxa"/>
            <w:tcBorders/>
            <w:vAlign w:val="center"/>
          </w:tcPr>
          <w:p>
            <w:pPr>
              <w:pStyle w:val="TableContents"/>
              <w:bidi w:val="0"/>
              <w:spacing w:before="0" w:after="283"/>
              <w:jc w:val="left"/>
              <w:rPr/>
            </w:pPr>
            <w:r>
              <w:rPr>
                <w:b/>
                <w:i/>
              </w:rPr>
              <w:t xml:space="preserve">Tax Withholding. </w:t>
            </w:r>
            <w:r>
              <w:rPr/>
              <w:t>Upon any exercise, vesting, or payment of any award, or upon any other tax withholding event with respect to any award, the Corporation or one of its Subsidiaries shall have the right at its option to:</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3"/>
        <w:gridCol w:w="9944"/>
      </w:tblGrid>
      <w:tr>
        <w:trPr/>
        <w:tc>
          <w:tcPr>
            <w:tcW w:w="3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(a)</w:t>
            </w:r>
          </w:p>
        </w:tc>
        <w:tc>
          <w:tcPr>
            <w:tcW w:w="9944" w:type="dxa"/>
            <w:tcBorders/>
            <w:vAlign w:val="center"/>
          </w:tcPr>
          <w:p>
            <w:pPr>
              <w:pStyle w:val="TableContents"/>
              <w:bidi w:val="0"/>
              <w:spacing w:before="0" w:after="283"/>
              <w:jc w:val="left"/>
              <w:rPr/>
            </w:pPr>
            <w:r>
              <w:rPr/>
              <w:t>require the participant (or the participant’s personal representative or beneficiary, as the case may be) to pay or provide for payment of at least the minimum amount of any taxes which the Corporation or one of its Subsidiaries may be required to withhold with respect to such award event or payment; or</w:t>
            </w:r>
          </w:p>
        </w:tc>
      </w:tr>
    </w:tbl>
    <w:p>
      <w:pPr>
        <w:pStyle w:val="TextBody"/>
        <w:bidi w:val="0"/>
        <w:spacing w:before="0" w:after="0"/>
        <w:ind w:left="144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(b)</w:t>
            </w:r>
          </w:p>
        </w:tc>
        <w:tc>
          <w:tcPr>
            <w:tcW w:w="9932" w:type="dxa"/>
            <w:tcBorders/>
            <w:vAlign w:val="center"/>
          </w:tcPr>
          <w:p>
            <w:pPr>
              <w:pStyle w:val="TableContents"/>
              <w:bidi w:val="0"/>
              <w:spacing w:before="0" w:after="283"/>
              <w:jc w:val="left"/>
              <w:rPr/>
            </w:pPr>
            <w:r>
              <w:rPr/>
              <w:t>deduct from any amount otherwise payable in cash (whether related to the award or otherwise) to the participant (or the participant’s personal representative or beneficiary, as the case may be) the minimum amount of any taxes which the Corporation or one of its Subsidiaries may be required to withhold with respect to such award event or payment.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8 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case where a tax is required to be withheld in connection with the delivery of shares of Common Stock under this Plan, the Administrator may in its sole discretion (subject to Section 8.1) require or grant (either at the time of the award or thereafter) to the participant the right to elect, pursuant to such rules and subject to such conditions as the Administrator may establish, that the Corporation reduce the number of shares to be delivered by (or otherwise reacquire) the appropriate number of shares, valued in a consistent manner at their fair market value or at the sales price in accordance with authorized procedures for cashless exercises, necessary to satisfy the applicable withholding obligation on exercise, vesting or payment. Shares of Common Stock to be delivered or withheld may not have an aggregate Fair Market Value in excess of the amount determined by applying the minimum statutory withholding rate (or, if permitted by the Corporation, such other rate as will not cause adverse accounting consequences under generally accepted accounting principles then in effect). Any fraction of a share of Common Stock which would be required to satisfy such an obligation shall be disregarded and the remaining amount due shall be paid in cash by the holder.</w:t>
      </w:r>
    </w:p>
    <w:p>
      <w:pPr>
        <w:pStyle w:val="TextBody"/>
        <w:bidi w:val="0"/>
        <w:spacing w:before="0" w:after="0"/>
        <w:ind w:left="720" w:right="0" w:firstLine="72"/>
        <w:jc w:val="left"/>
        <w:rPr>
          <w:caps w:val="false"/>
          <w:smallCaps w:val="false"/>
        </w:rPr>
      </w:pPr>
      <w:r>
        <w:rPr>
          <w:caps w:val="false"/>
          <w:smallCaps w:val="false"/>
        </w:rPr>
        <w:t> </w:t>
      </w:r>
    </w:p>
    <w:tbl>
      <w:tblPr>
        <w:tblW w:w="6243" w:type="dxa"/>
        <w:jc w:val="left"/>
        <w:tblInd w:w="0" w:type="dxa"/>
        <w:tblLayout w:type="fixed"/>
        <w:tblCellMar>
          <w:top w:w="0" w:type="dxa"/>
          <w:left w:w="0" w:type="dxa"/>
          <w:bottom w:w="0" w:type="dxa"/>
          <w:right w:w="0" w:type="dxa"/>
        </w:tblCellMar>
      </w:tblPr>
      <w:tblGrid>
        <w:gridCol w:w="38"/>
        <w:gridCol w:w="380"/>
        <w:gridCol w:w="582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b/>
              </w:rPr>
            </w:pPr>
            <w:r>
              <w:rPr>
                <w:b/>
              </w:rPr>
              <w:t>8.6.</w:t>
            </w:r>
          </w:p>
        </w:tc>
        <w:tc>
          <w:tcPr>
            <w:tcW w:w="5825" w:type="dxa"/>
            <w:tcBorders/>
            <w:vAlign w:val="center"/>
          </w:tcPr>
          <w:p>
            <w:pPr>
              <w:pStyle w:val="TableContents"/>
              <w:bidi w:val="0"/>
              <w:spacing w:before="0" w:after="283"/>
              <w:jc w:val="left"/>
              <w:rPr>
                <w:b/>
                <w:i/>
              </w:rPr>
            </w:pPr>
            <w:r>
              <w:rPr>
                <w:b/>
                <w:i/>
              </w:rPr>
              <w:t>Effective Date, Termination and Suspension, Amendments.</w:t>
            </w:r>
          </w:p>
        </w:tc>
      </w:tr>
    </w:tbl>
    <w:p>
      <w:pPr>
        <w:pStyle w:val="TextBody"/>
        <w:bidi w:val="0"/>
        <w:spacing w:before="0" w:after="0"/>
        <w:ind w:left="792"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10"/>
        <w:gridCol w:w="9657"/>
      </w:tblGrid>
      <w:tr>
        <w:trPr/>
        <w:tc>
          <w:tcPr>
            <w:tcW w:w="3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b/>
              </w:rPr>
            </w:pPr>
            <w:r>
              <w:rPr>
                <w:b/>
              </w:rPr>
              <w:t>8.6.1.</w:t>
            </w:r>
          </w:p>
        </w:tc>
        <w:tc>
          <w:tcPr>
            <w:tcW w:w="9657" w:type="dxa"/>
            <w:tcBorders/>
            <w:vAlign w:val="center"/>
          </w:tcPr>
          <w:p>
            <w:pPr>
              <w:pStyle w:val="TableContents"/>
              <w:bidi w:val="0"/>
              <w:spacing w:before="0" w:after="283"/>
              <w:jc w:val="left"/>
              <w:rPr/>
            </w:pPr>
            <w:r>
              <w:rPr>
                <w:b/>
                <w:i/>
              </w:rPr>
              <w:t xml:space="preserve">Effective Date. </w:t>
            </w:r>
            <w:r>
              <w:rPr/>
              <w:t>This Plan shall become effective on the date of its approval by the Board (the “</w:t>
            </w:r>
            <w:r>
              <w:rPr>
                <w:b/>
              </w:rPr>
              <w:t>Effective Date</w:t>
            </w:r>
            <w:r>
              <w:rPr/>
              <w:t>”). After the termination of this Plan upon its termination by the Board, no additional awards may be granted under this Plan, but previously granted awards (and the authority of the Administrator with respect thereto, including the authority to amend such awards) shall remain outstanding in accordance with their applicable terms and conditions and the terms and conditions of this Plan.</w:t>
            </w:r>
          </w:p>
        </w:tc>
      </w:tr>
    </w:tbl>
    <w:p>
      <w:pPr>
        <w:pStyle w:val="TextBody"/>
        <w:bidi w:val="0"/>
        <w:spacing w:before="0" w:after="0"/>
        <w:ind w:left="1224"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25"/>
        <w:gridCol w:w="9642"/>
      </w:tblGrid>
      <w:tr>
        <w:trPr/>
        <w:tc>
          <w:tcPr>
            <w:tcW w:w="3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b/>
              </w:rPr>
            </w:pPr>
            <w:r>
              <w:rPr>
                <w:b/>
              </w:rPr>
              <w:t>8.6.2.</w:t>
            </w:r>
          </w:p>
        </w:tc>
        <w:tc>
          <w:tcPr>
            <w:tcW w:w="9642" w:type="dxa"/>
            <w:tcBorders/>
            <w:vAlign w:val="center"/>
          </w:tcPr>
          <w:p>
            <w:pPr>
              <w:pStyle w:val="TableContents"/>
              <w:bidi w:val="0"/>
              <w:spacing w:before="0" w:after="283"/>
              <w:jc w:val="left"/>
              <w:rPr/>
            </w:pPr>
            <w:r>
              <w:rPr>
                <w:b/>
                <w:i/>
              </w:rPr>
              <w:t>Board Authorization.</w:t>
            </w:r>
            <w:r>
              <w:rPr/>
              <w:t xml:space="preserve"> The Board may, at any time, terminate or, from time to time, amend, modify or suspend this Plan, in whole or in part. No awards may be granted during any period that the Board suspends this Plan.</w:t>
            </w:r>
          </w:p>
        </w:tc>
      </w:tr>
    </w:tbl>
    <w:p>
      <w:pPr>
        <w:pStyle w:val="TextBody"/>
        <w:bidi w:val="0"/>
        <w:spacing w:before="0" w:after="0"/>
        <w:ind w:left="720" w:right="0" w:hanging="0"/>
        <w:jc w:val="left"/>
        <w:rPr>
          <w:caps w:val="false"/>
          <w:smallCaps w:val="false"/>
        </w:rPr>
      </w:pPr>
      <w:r>
        <w:rPr>
          <w:caps w:val="false"/>
          <w:smallCaps w:val="false"/>
        </w:rPr>
        <w:t> </w:t>
      </w:r>
    </w:p>
    <w:tbl>
      <w:tblPr>
        <w:tblW w:w="1728" w:type="dxa"/>
        <w:jc w:val="left"/>
        <w:tblInd w:w="0" w:type="dxa"/>
        <w:tblLayout w:type="fixed"/>
        <w:tblCellMar>
          <w:top w:w="0" w:type="dxa"/>
          <w:left w:w="0" w:type="dxa"/>
          <w:bottom w:w="0" w:type="dxa"/>
          <w:right w:w="0" w:type="dxa"/>
        </w:tblCellMar>
      </w:tblPr>
      <w:tblGrid>
        <w:gridCol w:w="38"/>
        <w:gridCol w:w="560"/>
        <w:gridCol w:w="1130"/>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b/>
              </w:rPr>
            </w:pPr>
            <w:r>
              <w:rPr>
                <w:b/>
              </w:rPr>
              <w:t>8.6.3.</w:t>
            </w:r>
          </w:p>
        </w:tc>
        <w:tc>
          <w:tcPr>
            <w:tcW w:w="1130" w:type="dxa"/>
            <w:tcBorders/>
            <w:vAlign w:val="center"/>
          </w:tcPr>
          <w:p>
            <w:pPr>
              <w:pStyle w:val="TableContents"/>
              <w:bidi w:val="0"/>
              <w:spacing w:before="0" w:after="283"/>
              <w:jc w:val="left"/>
              <w:rPr>
                <w:b/>
                <w:i/>
              </w:rPr>
            </w:pPr>
            <w:r>
              <w:rPr>
                <w:b/>
                <w:i/>
              </w:rPr>
              <w:t>[Reserved.]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08"/>
        <w:gridCol w:w="9659"/>
      </w:tblGrid>
      <w:tr>
        <w:trPr/>
        <w:tc>
          <w:tcPr>
            <w:tcW w:w="3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b/>
              </w:rPr>
            </w:pPr>
            <w:r>
              <w:rPr>
                <w:b/>
              </w:rPr>
              <w:t>8.6.4.</w:t>
            </w:r>
          </w:p>
        </w:tc>
        <w:tc>
          <w:tcPr>
            <w:tcW w:w="9659" w:type="dxa"/>
            <w:tcBorders/>
            <w:vAlign w:val="center"/>
          </w:tcPr>
          <w:p>
            <w:pPr>
              <w:pStyle w:val="TableContents"/>
              <w:bidi w:val="0"/>
              <w:spacing w:before="0" w:after="283"/>
              <w:jc w:val="left"/>
              <w:rPr/>
            </w:pPr>
            <w:r>
              <w:rPr>
                <w:b/>
                <w:i/>
              </w:rPr>
              <w:t>Amendments to Awards.</w:t>
            </w:r>
            <w:r>
              <w:rPr/>
              <w:t xml:space="preserve"> Without limiting any other express authority of the Administrator under (but subject to) the express limits of this Plan, the Administrator by agreement or resolution may waive conditions of or limitations on awards to participants that the Administrator in the prior exercise of its discretion has imposed, without the consent of a participant, and (subject to the requirements of Sections 3.2 and 8.6.5) may make other changes to the terms and conditions of awards. Any amendment or other action that would constitute a repricing of an award is subject to the limitations set forth in Section 3.2.</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09"/>
        <w:gridCol w:w="9658"/>
      </w:tblGrid>
      <w:tr>
        <w:trPr/>
        <w:tc>
          <w:tcPr>
            <w:tcW w:w="38"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b/>
              </w:rPr>
            </w:pPr>
            <w:r>
              <w:rPr>
                <w:b/>
              </w:rPr>
              <w:t>8.6.5.</w:t>
            </w:r>
          </w:p>
        </w:tc>
        <w:tc>
          <w:tcPr>
            <w:tcW w:w="9658" w:type="dxa"/>
            <w:tcBorders/>
            <w:vAlign w:val="center"/>
          </w:tcPr>
          <w:p>
            <w:pPr>
              <w:pStyle w:val="TableContents"/>
              <w:bidi w:val="0"/>
              <w:spacing w:before="0" w:after="283"/>
              <w:jc w:val="left"/>
              <w:rPr/>
            </w:pPr>
            <w:r>
              <w:rPr>
                <w:b/>
                <w:i/>
              </w:rPr>
              <w:t>Limitations on Amendments to Plan and Awards.</w:t>
            </w:r>
            <w:r>
              <w:rPr/>
              <w:t xml:space="preserve"> No amendment, suspension or termination of this Plan or amendment of any outstanding award agreement shall, without written consent of the participant, affect in any manner materially adverse to the participant any rights or benefits of the participant or obligations of the Corporation under any award granted under this Plan prior to the effective date of such change. Changes, settlements and other actions contemplated by Section 7 shall not be deemed to constitute changes or amendments for purposes of this Section 8.6.</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30"/>
        <w:gridCol w:w="9837"/>
      </w:tblGrid>
      <w:tr>
        <w:trPr/>
        <w:tc>
          <w:tcPr>
            <w:tcW w:w="3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b/>
              </w:rPr>
            </w:pPr>
            <w:r>
              <w:rPr>
                <w:b/>
              </w:rPr>
              <w:t>8.7.</w:t>
            </w:r>
          </w:p>
        </w:tc>
        <w:tc>
          <w:tcPr>
            <w:tcW w:w="9837" w:type="dxa"/>
            <w:tcBorders/>
            <w:vAlign w:val="center"/>
          </w:tcPr>
          <w:p>
            <w:pPr>
              <w:pStyle w:val="TableContents"/>
              <w:bidi w:val="0"/>
              <w:spacing w:before="0" w:after="283"/>
              <w:jc w:val="left"/>
              <w:rPr/>
            </w:pPr>
            <w:r>
              <w:rPr>
                <w:b/>
                <w:i/>
              </w:rPr>
              <w:t>Privileges of Stock Ownership.</w:t>
            </w:r>
            <w:r>
              <w:rPr/>
              <w:t xml:space="preserve"> Except as otherwise expressly authorized by the Administrator, a participant shall not be entitled to any privilege of stock ownership as to any shares of Common Stock not actually delivered to and held of record by the participant (subject to the last sentence of Section 5.1.4). Except as expressly required by Section 7.1 or otherwise expressly provided by the Administrator, no adjustment will be made for dividends or other rights as a stockholder for which a record date is prior to such date of delivery.</w:t>
            </w:r>
          </w:p>
        </w:tc>
      </w:tr>
    </w:tbl>
    <w:p>
      <w:pPr>
        <w:pStyle w:val="TextBody"/>
        <w:bidi w:val="0"/>
        <w:spacing w:before="0" w:after="0"/>
        <w:ind w:left="792" w:right="0" w:hanging="0"/>
        <w:jc w:val="left"/>
        <w:rPr>
          <w:caps w:val="false"/>
          <w:smallCaps w:val="false"/>
        </w:rPr>
      </w:pPr>
      <w:r>
        <w:rPr>
          <w:caps w:val="false"/>
          <w:smallCaps w:val="false"/>
        </w:rPr>
        <w:t> </w:t>
      </w:r>
    </w:p>
    <w:tbl>
      <w:tblPr>
        <w:tblW w:w="4728" w:type="dxa"/>
        <w:jc w:val="left"/>
        <w:tblInd w:w="0" w:type="dxa"/>
        <w:tblLayout w:type="fixed"/>
        <w:tblCellMar>
          <w:top w:w="0" w:type="dxa"/>
          <w:left w:w="0" w:type="dxa"/>
          <w:bottom w:w="0" w:type="dxa"/>
          <w:right w:w="0" w:type="dxa"/>
        </w:tblCellMar>
      </w:tblPr>
      <w:tblGrid>
        <w:gridCol w:w="38"/>
        <w:gridCol w:w="380"/>
        <w:gridCol w:w="431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b/>
              </w:rPr>
            </w:pPr>
            <w:r>
              <w:rPr>
                <w:b/>
              </w:rPr>
              <w:t>8.8.</w:t>
            </w:r>
          </w:p>
        </w:tc>
        <w:tc>
          <w:tcPr>
            <w:tcW w:w="4310" w:type="dxa"/>
            <w:tcBorders/>
            <w:vAlign w:val="center"/>
          </w:tcPr>
          <w:p>
            <w:pPr>
              <w:pStyle w:val="TableContents"/>
              <w:bidi w:val="0"/>
              <w:spacing w:before="0" w:after="283"/>
              <w:jc w:val="left"/>
              <w:rPr>
                <w:b/>
                <w:i/>
              </w:rPr>
            </w:pPr>
            <w:r>
              <w:rPr>
                <w:b/>
                <w:i/>
              </w:rPr>
              <w:t>Governing Law; Construction; Severability.</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29"/>
        <w:gridCol w:w="9638"/>
      </w:tblGrid>
      <w:tr>
        <w:trPr/>
        <w:tc>
          <w:tcPr>
            <w:tcW w:w="3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b/>
              </w:rPr>
            </w:pPr>
            <w:r>
              <w:rPr>
                <w:b/>
              </w:rPr>
              <w:t>8.8.1.</w:t>
            </w:r>
          </w:p>
        </w:tc>
        <w:tc>
          <w:tcPr>
            <w:tcW w:w="9638" w:type="dxa"/>
            <w:tcBorders/>
            <w:vAlign w:val="center"/>
          </w:tcPr>
          <w:p>
            <w:pPr>
              <w:pStyle w:val="TableContents"/>
              <w:bidi w:val="0"/>
              <w:spacing w:before="0" w:after="283"/>
              <w:jc w:val="left"/>
              <w:rPr/>
            </w:pPr>
            <w:r>
              <w:rPr>
                <w:b/>
                <w:i/>
              </w:rPr>
              <w:t>Choice of Law.</w:t>
            </w:r>
            <w:r>
              <w:rPr/>
              <w:t xml:space="preserve"> This Plan, the awards, all documents evidencing awards and all other related documents shall be governed by, and construed in accordance with the laws of the State of Delaware.</w:t>
            </w:r>
          </w:p>
        </w:tc>
      </w:tr>
    </w:tbl>
    <w:p>
      <w:pPr>
        <w:pStyle w:val="TextBody"/>
        <w:bidi w:val="0"/>
        <w:spacing w:before="0" w:after="0"/>
        <w:ind w:left="1224"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36"/>
        <w:gridCol w:w="9631"/>
      </w:tblGrid>
      <w:tr>
        <w:trPr/>
        <w:tc>
          <w:tcPr>
            <w:tcW w:w="38"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b/>
              </w:rPr>
            </w:pPr>
            <w:r>
              <w:rPr>
                <w:b/>
              </w:rPr>
              <w:t>8.8.2.</w:t>
            </w:r>
          </w:p>
        </w:tc>
        <w:tc>
          <w:tcPr>
            <w:tcW w:w="9631" w:type="dxa"/>
            <w:tcBorders/>
            <w:vAlign w:val="center"/>
          </w:tcPr>
          <w:p>
            <w:pPr>
              <w:pStyle w:val="TableContents"/>
              <w:bidi w:val="0"/>
              <w:spacing w:before="0" w:after="283"/>
              <w:jc w:val="left"/>
              <w:rPr/>
            </w:pPr>
            <w:r>
              <w:rPr>
                <w:b/>
                <w:i/>
              </w:rPr>
              <w:t>Severability.</w:t>
            </w:r>
            <w:r>
              <w:rPr/>
              <w:t xml:space="preserve"> If a court of competent jurisdiction holds any provision invalid and unenforceable, the remaining provisions of this Plan shall continue in effect.</w:t>
            </w:r>
          </w:p>
        </w:tc>
      </w:tr>
    </w:tbl>
    <w:p>
      <w:pPr>
        <w:pStyle w:val="TextBody"/>
        <w:bidi w:val="0"/>
        <w:spacing w:before="0" w:after="0"/>
        <w:ind w:left="720" w:right="0" w:hanging="0"/>
        <w:jc w:val="left"/>
        <w:rPr>
          <w:caps w:val="false"/>
          <w:smallCaps w:val="false"/>
        </w:rPr>
      </w:pPr>
      <w:r>
        <w:rPr>
          <w:caps w:val="false"/>
          <w:smallCaps w:val="false"/>
        </w:rPr>
        <w:t> </w:t>
      </w:r>
    </w:p>
    <w:tbl>
      <w:tblPr>
        <w:tblW w:w="2493" w:type="dxa"/>
        <w:jc w:val="left"/>
        <w:tblInd w:w="0" w:type="dxa"/>
        <w:tblLayout w:type="fixed"/>
        <w:tblCellMar>
          <w:top w:w="0" w:type="dxa"/>
          <w:left w:w="0" w:type="dxa"/>
          <w:bottom w:w="0" w:type="dxa"/>
          <w:right w:w="0" w:type="dxa"/>
        </w:tblCellMar>
      </w:tblPr>
      <w:tblGrid>
        <w:gridCol w:w="38"/>
        <w:gridCol w:w="560"/>
        <w:gridCol w:w="1895"/>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b/>
              </w:rPr>
            </w:pPr>
            <w:r>
              <w:rPr>
                <w:b/>
              </w:rPr>
              <w:t>8.8.3.</w:t>
            </w:r>
          </w:p>
        </w:tc>
        <w:tc>
          <w:tcPr>
            <w:tcW w:w="1895" w:type="dxa"/>
            <w:tcBorders/>
            <w:vAlign w:val="center"/>
          </w:tcPr>
          <w:p>
            <w:pPr>
              <w:pStyle w:val="TableContents"/>
              <w:bidi w:val="0"/>
              <w:spacing w:before="0" w:after="283"/>
              <w:jc w:val="left"/>
              <w:rPr>
                <w:b/>
                <w:i/>
              </w:rPr>
            </w:pPr>
            <w:r>
              <w:rPr>
                <w:b/>
                <w:i/>
              </w:rPr>
              <w:t>Plan Construction.</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1"/>
        <w:gridCol w:w="9956"/>
      </w:tblGrid>
      <w:tr>
        <w:trPr/>
        <w:tc>
          <w:tcPr>
            <w:tcW w:w="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(a)</w:t>
            </w:r>
          </w:p>
        </w:tc>
        <w:tc>
          <w:tcPr>
            <w:tcW w:w="9956" w:type="dxa"/>
            <w:tcBorders/>
            <w:vAlign w:val="center"/>
          </w:tcPr>
          <w:p>
            <w:pPr>
              <w:pStyle w:val="TableContents"/>
              <w:bidi w:val="0"/>
              <w:spacing w:before="0" w:after="283"/>
              <w:jc w:val="left"/>
              <w:rPr/>
            </w:pPr>
            <w:r>
              <w:rPr>
                <w:u w:val="single"/>
              </w:rPr>
              <w:t>Rule 16b-3</w:t>
            </w:r>
            <w:r>
              <w:rPr/>
              <w:t>. It is the intent of the Corporation that the awards and transactions permitted by awards be interpreted in a manner that, in the case of participants who are or may be subject to Section 16 of the Exchange Act, qualify, to the maximum extent compatible with the express terms of the award, for exemption from matching liability under Rule 16b-3 promulgated under the Exchange Act. Notwithstanding the foregoing, the Corporation shall have no liability to any participant for Section 16 consequences of awards or events under awards if an award or event does not so qualify.</w:t>
            </w:r>
          </w:p>
        </w:tc>
      </w:tr>
    </w:tbl>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center"/>
        <w:rPr>
          <w:bdr w:val="single" w:sz="12" w:space="1" w:color="000000"/>
        </w:rPr>
      </w:pPr>
      <w:r>
        <w:rPr>
          <w:bdr w:val="single" w:sz="12" w:space="1" w:color="000000"/>
        </w:rPr>
        <w:t>9 </w:t>
      </w:r>
    </w:p>
    <w:p>
      <w:pPr>
        <w:pStyle w:val="TextBody"/>
        <w:bidi w:val="0"/>
        <w:spacing w:before="0" w:after="0"/>
        <w:ind w:left="144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8"/>
        <w:gridCol w:w="9949"/>
      </w:tblGrid>
      <w:tr>
        <w:trPr/>
        <w:tc>
          <w:tcPr>
            <w:tcW w:w="3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(b)</w:t>
            </w:r>
          </w:p>
        </w:tc>
        <w:tc>
          <w:tcPr>
            <w:tcW w:w="9949" w:type="dxa"/>
            <w:tcBorders/>
            <w:vAlign w:val="center"/>
          </w:tcPr>
          <w:p>
            <w:pPr>
              <w:pStyle w:val="TableContents"/>
              <w:bidi w:val="0"/>
              <w:spacing w:before="0" w:after="283"/>
              <w:jc w:val="left"/>
              <w:rPr/>
            </w:pPr>
            <w:r>
              <w:rPr>
                <w:u w:val="single"/>
              </w:rPr>
              <w:t>Section 409A</w:t>
            </w:r>
            <w:r>
              <w:rPr/>
              <w:t>. It is intended that the provisions of the Plan comply with, or be exempt from, Section 409A of the Code, and all provisions of the Plan shall be construed and interpreted in a manner consistent with the requirements for avoiding taxes or penalties under Section 409A of the Code. If, at the time of a participant’s “separation from service” (within the meaning of Section 409A of the Code), (i) such participant shall be a specified employee (within the meaning of Section 409A of the Code and using the identification methodology selected by the Corporation from time to time) and (ii) the Corporation shall make a good faith determination that an amount payable pursuant to an award constitutes deferred compensation (within the meaning of Section 409A of the Code) the payment of which is required to be delayed pursuant to the six-month delay rule set forth in Section 409A of the Code in order to avoid taxes or penalties under Section 409A of the Code, then the Corporation shall not pay such amount on the otherwise scheduled payment date but shall instead pay it on the first business day after such six-month period. Such amount shall be paid without interest, unless otherwise determined by the Administrator, in its sole discretion, or as otherwise provided in any applicable award agreement between the Corporation and the relevant participant. Notwithstanding any provision of the Plan to the contrary, in light of the uncertainty with respect to the proper application of Section 409A of the Code, the Corporation reserves the right to make amendments to any award as the Corporation deems necessary or desirable to avoid the imposition of taxes or penalties under Section 409A of the Code. In any case, a participant shall be solely responsible and liable for the satisfaction of all taxes and penalties that may be imposed on such participant or for such participant’s account in connection with an award (including any taxes and penalties under Section 409A of the Code), and neither the Corporation nor any of its affiliates shall have any obligation to indemnify or otherwise hold such participant harmless from any or all of such taxes or penalties.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40"/>
        <w:gridCol w:w="9827"/>
      </w:tblGrid>
      <w:tr>
        <w:trPr/>
        <w:tc>
          <w:tcPr>
            <w:tcW w:w="38"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b/>
              </w:rPr>
            </w:pPr>
            <w:r>
              <w:rPr>
                <w:b/>
              </w:rPr>
              <w:t>8.9.</w:t>
            </w:r>
          </w:p>
        </w:tc>
        <w:tc>
          <w:tcPr>
            <w:tcW w:w="9827" w:type="dxa"/>
            <w:tcBorders/>
            <w:vAlign w:val="center"/>
          </w:tcPr>
          <w:p>
            <w:pPr>
              <w:pStyle w:val="TableContents"/>
              <w:bidi w:val="0"/>
              <w:spacing w:before="0" w:after="283"/>
              <w:jc w:val="left"/>
              <w:rPr/>
            </w:pPr>
            <w:r>
              <w:rPr>
                <w:b/>
                <w:i/>
              </w:rPr>
              <w:t>Captions.</w:t>
            </w:r>
            <w:r>
              <w:rPr/>
              <w:t xml:space="preserve"> Captions and headings are given to the sections and subsections of this Plan solely as a convenience to facilitate reference. Such </w:t>
            </w:r>
            <w:r>
              <w:rPr>
                <w:b/>
                <w:i/>
              </w:rPr>
              <w:t>headings</w:t>
            </w:r>
            <w:r>
              <w:rPr/>
              <w:t xml:space="preserve"> shall not be deemed in any way material or relevant to the construction or interpretation of this Plan or any provision thereof.</w:t>
            </w:r>
          </w:p>
        </w:tc>
      </w:tr>
    </w:tbl>
    <w:p>
      <w:pPr>
        <w:pStyle w:val="TextBody"/>
        <w:bidi w:val="0"/>
        <w:spacing w:before="0" w:after="0"/>
        <w:ind w:left="792"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3"/>
        <w:gridCol w:w="9724"/>
      </w:tblGrid>
      <w:tr>
        <w:trPr/>
        <w:tc>
          <w:tcPr>
            <w:tcW w:w="38"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b/>
              </w:rPr>
            </w:pPr>
            <w:r>
              <w:rPr>
                <w:b/>
              </w:rPr>
              <w:t>8.10.</w:t>
            </w:r>
          </w:p>
        </w:tc>
        <w:tc>
          <w:tcPr>
            <w:tcW w:w="9724" w:type="dxa"/>
            <w:tcBorders/>
            <w:vAlign w:val="center"/>
          </w:tcPr>
          <w:p>
            <w:pPr>
              <w:pStyle w:val="TableContents"/>
              <w:bidi w:val="0"/>
              <w:spacing w:before="0" w:after="283"/>
              <w:jc w:val="left"/>
              <w:rPr/>
            </w:pPr>
            <w:r>
              <w:rPr>
                <w:b/>
                <w:i/>
              </w:rPr>
              <w:t>Stock-Based Awards in Substitution for Stock Options or Awards Granted by Other Corporation.</w:t>
            </w:r>
            <w:r>
              <w:rPr/>
              <w:t xml:space="preserve"> Awards may be granted to Eligible Persons in substitution for or in connection with an assumption of employee stock options, SARs, restricted stock or other stock-based awards granted by other entities to persons who are or who will become Eligible Persons in respect of the Corporation or one of its Subsidiaries, in connection with a distribution, merger or other reorganization by or with the granting entity or an affiliated entity, or the acquisition by the Corporation or one of its Subsidiaries, directly or indirectly, of all or a substantial part of the stock or assets of the employing entity. The awards so granted need not comply with other specific terms of this Plan, provided the awards reflect only adjustments giving effect to the assumption or substitution consistent with the conversion applicable to the Common Stock in the transaction and any change in the issuer of the security. Any shares that are delivered and any awards that are granted by, or become obligations of, the Corporation, as a result of the assumption by the Corporation of, or in substitution for, outstanding awards previously granted by an acquired company (or previously granted by a predecessor employer (or direct or indirect parent thereof) in the case of persons that become employed by the Corporation or one of its Subsidiaries in connection with a business or asset acquisition or similar transaction) shall not be counted against the Share Limit or other limits on the number of shares available for issuance under this Plan.</w:t>
            </w:r>
          </w:p>
        </w:tc>
      </w:tr>
    </w:tbl>
    <w:p>
      <w:pPr>
        <w:pStyle w:val="TextBody"/>
        <w:bidi w:val="0"/>
        <w:spacing w:before="0" w:after="0"/>
        <w:ind w:left="792"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60"/>
        <w:gridCol w:w="9707"/>
      </w:tblGrid>
      <w:tr>
        <w:trPr/>
        <w:tc>
          <w:tcPr>
            <w:tcW w:w="3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b/>
              </w:rPr>
            </w:pPr>
            <w:r>
              <w:rPr>
                <w:b/>
              </w:rPr>
              <w:t>8.11.</w:t>
            </w:r>
          </w:p>
        </w:tc>
        <w:tc>
          <w:tcPr>
            <w:tcW w:w="9707" w:type="dxa"/>
            <w:tcBorders/>
            <w:vAlign w:val="center"/>
          </w:tcPr>
          <w:p>
            <w:pPr>
              <w:pStyle w:val="TableContents"/>
              <w:bidi w:val="0"/>
              <w:spacing w:before="0" w:after="283"/>
              <w:jc w:val="left"/>
              <w:rPr/>
            </w:pPr>
            <w:r>
              <w:rPr>
                <w:b/>
                <w:i/>
              </w:rPr>
              <w:t>Non-Exclusivity of Plan.</w:t>
            </w:r>
            <w:r>
              <w:rPr/>
              <w:t xml:space="preserve"> Nothing in this Plan shall limit or be deemed to limit the authority of the Board or the Administrator to grant awards or authorize any other compensation, with or without reference to the Common Stock, under any other plan or authority.</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4"/>
        <w:gridCol w:w="9723"/>
      </w:tblGrid>
      <w:tr>
        <w:trPr/>
        <w:tc>
          <w:tcPr>
            <w:tcW w:w="38"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b/>
              </w:rPr>
            </w:pPr>
            <w:r>
              <w:rPr>
                <w:b/>
              </w:rPr>
              <w:t>8.12.</w:t>
            </w:r>
          </w:p>
        </w:tc>
        <w:tc>
          <w:tcPr>
            <w:tcW w:w="9723" w:type="dxa"/>
            <w:tcBorders/>
            <w:vAlign w:val="center"/>
          </w:tcPr>
          <w:p>
            <w:pPr>
              <w:pStyle w:val="TableContents"/>
              <w:bidi w:val="0"/>
              <w:spacing w:before="0" w:after="283"/>
              <w:jc w:val="left"/>
              <w:rPr/>
            </w:pPr>
            <w:r>
              <w:rPr>
                <w:b/>
                <w:i/>
              </w:rPr>
              <w:t>No Corporate Action Restriction.</w:t>
            </w:r>
            <w:r>
              <w:rPr/>
              <w:t xml:space="preserve"> The existence of this Plan, the award agreements and the awards granted hereunder shall not limit, affect or restrict in any way the right or power of the Board or the stockholders of the Corporation to make or authorize: (a) any adjustment, recapitalization, reorganization or other change in the capital structure or business of the Corporation or any Subsidiary, (b) any merger, amalgamation, consolidation or change in the ownership of the Corporation or any Subsidiary, (c) any issue of bonds, debentures, capital, preferred or prior preference stock ahead of or affecting the capital stock (or the rights thereof) of the Corporation or any Subsidiary, (d) any dissolution or liquidation of the Corporation or any Subsidiary, (e) any sale or transfer of all or any part of the assets or business of the Corporation or any Subsidiary, or (f) any other corporate act or proceeding by the Corporation or any Subsidiary. No participant, beneficiary or any other person shall have any claim under any award or award agreement against any member of the Board or the Administrator, or the Corporation or any employees, officers or agents of the Corporation or any Subsidiary, as a result of any such action.</w:t>
            </w:r>
          </w:p>
        </w:tc>
      </w:tr>
    </w:tbl>
    <w:p>
      <w:pPr>
        <w:pStyle w:val="TextBody"/>
        <w:bidi w:val="0"/>
        <w:spacing w:before="0" w:after="0"/>
        <w:ind w:left="792"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7"/>
        <w:gridCol w:w="9720"/>
      </w:tblGrid>
      <w:tr>
        <w:trPr/>
        <w:tc>
          <w:tcPr>
            <w:tcW w:w="38"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b/>
              </w:rPr>
            </w:pPr>
            <w:r>
              <w:rPr>
                <w:b/>
              </w:rPr>
              <w:t>8.13.</w:t>
            </w:r>
          </w:p>
        </w:tc>
        <w:tc>
          <w:tcPr>
            <w:tcW w:w="9720" w:type="dxa"/>
            <w:tcBorders/>
            <w:vAlign w:val="center"/>
          </w:tcPr>
          <w:p>
            <w:pPr>
              <w:pStyle w:val="TableContents"/>
              <w:bidi w:val="0"/>
              <w:spacing w:before="0" w:after="283"/>
              <w:jc w:val="left"/>
              <w:rPr/>
            </w:pPr>
            <w:r>
              <w:rPr>
                <w:b/>
                <w:i/>
              </w:rPr>
              <w:t>Other Company Benefit and Compensation Programs</w:t>
            </w:r>
            <w:r>
              <w:rPr>
                <w:b/>
              </w:rPr>
              <w:t>.</w:t>
            </w:r>
            <w:r>
              <w:rPr/>
              <w:t xml:space="preserve"> Payments and other benefits received by a participant under an award made pursuant to this Plan shall not be deemed a part of a participant’s compensation for purposes of the determination of benefits under any other employee welfare or benefit plans or arrangements, if any, provided by the Corporation or any Subsidiary, except where the Administrator expressly otherwise provides or authorizes in writing. Awards under this Plan may be made in addition to, in combination with, as alternatives to or in payment of grants, awards or commitments under any other plans or arrangements of the Corporation or its Subsidiaries.</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50"/>
        <w:gridCol w:w="9717"/>
      </w:tblGrid>
      <w:tr>
        <w:trPr/>
        <w:tc>
          <w:tcPr>
            <w:tcW w:w="38"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b/>
              </w:rPr>
            </w:pPr>
            <w:r>
              <w:rPr>
                <w:b/>
              </w:rPr>
              <w:t>8.14.</w:t>
            </w:r>
          </w:p>
        </w:tc>
        <w:tc>
          <w:tcPr>
            <w:tcW w:w="9717" w:type="dxa"/>
            <w:tcBorders/>
            <w:vAlign w:val="center"/>
          </w:tcPr>
          <w:p>
            <w:pPr>
              <w:pStyle w:val="TableContents"/>
              <w:bidi w:val="0"/>
              <w:spacing w:before="0" w:after="283"/>
              <w:jc w:val="left"/>
              <w:rPr/>
            </w:pPr>
            <w:r>
              <w:rPr>
                <w:b/>
                <w:i/>
              </w:rPr>
              <w:t>Clawback Policy</w:t>
            </w:r>
            <w:r>
              <w:rPr>
                <w:b/>
              </w:rPr>
              <w:t>.</w:t>
            </w:r>
            <w:r>
              <w:rPr/>
              <w:t xml:space="preserve"> The awards granted under this Plan are subject to the terms of the Corporation’s recoupment, clawback or similar policy as it may be in effect from time to time, as well as any similar provisions of applicable law, any of which could in certain circumstances require repayment or forfeiture of awards or any shares of Common Stock or other cash or property received with respect to the awards (including any value received from a disposition of the shares acquired upon payment of the awards).</w:t>
            </w:r>
          </w:p>
        </w:tc>
      </w:tr>
    </w:tbl>
    <w:p>
      <w:pPr>
        <w:pStyle w:val="TextBody"/>
        <w:bidi w:val="0"/>
        <w:spacing w:before="0" w:after="283"/>
        <w:jc w:val="left"/>
        <w:rPr/>
      </w:pPr>
      <w:r>
        <w:rPr/>
        <w:t> </w:t>
      </w:r>
    </w:p>
    <w:p>
      <w:pPr>
        <w:pStyle w:val="TextBody"/>
        <w:bidi w:val="0"/>
        <w:spacing w:before="0" w:after="0"/>
        <w:ind w:left="0" w:right="0" w:hanging="0"/>
        <w:jc w:val="center"/>
        <w:rPr>
          <w:bdr w:val="single" w:sz="12" w:space="1" w:color="000000"/>
        </w:rPr>
      </w:pPr>
      <w:r>
        <w:rPr>
          <w:bdr w:val="single" w:sz="12" w:space="1" w:color="000000"/>
        </w:rPr>
        <w:t>10 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Amendment No. 1 to the 2025 Inducement Plan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Section 8.6 of the Nektar Therapeutics (the “</w:t>
      </w:r>
      <w:r>
        <w:rPr>
          <w:rFonts w:ascii="Times New Roman;Times;Serif" w:hAnsi="Times New Roman;Times;Serif"/>
          <w:b/>
          <w:i w:val="false"/>
          <w:caps w:val="false"/>
          <w:smallCaps w:val="false"/>
          <w:sz w:val="20"/>
          <w:u w:val="single"/>
        </w:rPr>
        <w:t>Company</w:t>
      </w:r>
      <w:r>
        <w:rPr>
          <w:rFonts w:ascii="Times New Roman;Times;Serif" w:hAnsi="Times New Roman;Times;Serif"/>
          <w:b w:val="false"/>
          <w:i w:val="false"/>
          <w:caps w:val="false"/>
          <w:smallCaps w:val="false"/>
          <w:sz w:val="20"/>
        </w:rPr>
        <w:t>”) 2025 Inducement Plan (the “</w:t>
      </w:r>
      <w:r>
        <w:rPr>
          <w:rFonts w:ascii="Times New Roman;Times;Serif" w:hAnsi="Times New Roman;Times;Serif"/>
          <w:b/>
          <w:i w:val="false"/>
          <w:caps w:val="false"/>
          <w:smallCaps w:val="false"/>
          <w:sz w:val="20"/>
          <w:u w:val="single"/>
        </w:rPr>
        <w:t>Plan</w:t>
      </w:r>
      <w:r>
        <w:rPr>
          <w:rFonts w:ascii="Times New Roman;Times;Serif" w:hAnsi="Times New Roman;Times;Serif"/>
          <w:b w:val="false"/>
          <w:i w:val="false"/>
          <w:caps w:val="false"/>
          <w:smallCaps w:val="false"/>
          <w:sz w:val="20"/>
        </w:rPr>
        <w:t>”), the Plan is hereby amended as follows:</w:t>
      </w:r>
    </w:p>
    <w:p>
      <w:pPr>
        <w:pStyle w:val="TextBody"/>
        <w:bidi w:val="0"/>
        <w:spacing w:before="0" w:after="0"/>
        <w:ind w:left="0" w:right="0" w:hanging="0"/>
        <w:jc w:val="left"/>
        <w:rPr>
          <w:caps w:val="false"/>
          <w:smallCaps w:val="false"/>
        </w:rPr>
      </w:pPr>
      <w:r>
        <w:rPr>
          <w:caps w:val="false"/>
          <w:smallCaps w:val="false"/>
        </w:rPr>
        <w:t> </w:t>
      </w:r>
    </w:p>
    <w:tbl>
      <w:tblPr>
        <w:tblW w:w="9168" w:type="dxa"/>
        <w:jc w:val="left"/>
        <w:tblInd w:w="0" w:type="dxa"/>
        <w:tblLayout w:type="fixed"/>
        <w:tblCellMar>
          <w:top w:w="0" w:type="dxa"/>
          <w:left w:w="0" w:type="dxa"/>
          <w:bottom w:w="0" w:type="dxa"/>
          <w:right w:w="0" w:type="dxa"/>
        </w:tblCellMar>
      </w:tblPr>
      <w:tblGrid>
        <w:gridCol w:w="38"/>
        <w:gridCol w:w="200"/>
        <w:gridCol w:w="893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1.</w:t>
            </w:r>
          </w:p>
        </w:tc>
        <w:tc>
          <w:tcPr>
            <w:tcW w:w="8930" w:type="dxa"/>
            <w:tcBorders/>
            <w:vAlign w:val="center"/>
          </w:tcPr>
          <w:p>
            <w:pPr>
              <w:pStyle w:val="TableContents"/>
              <w:bidi w:val="0"/>
              <w:spacing w:before="0" w:after="283"/>
              <w:jc w:val="left"/>
              <w:rPr/>
            </w:pPr>
            <w:r>
              <w:rPr/>
              <w:t>The first sentence of Section 4.2 of the Plan is hereby deleted and replaced with the following:</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Subject to Section 7.1, the maximum number of shares of Common Stock that may be delivered pursuant to awards granted to Eligible Persons under this Plan (the “</w:t>
      </w:r>
      <w:r>
        <w:rPr>
          <w:rFonts w:ascii="Times New Roman;Times;Serif" w:hAnsi="Times New Roman;Times;Serif"/>
          <w:b/>
          <w:i w:val="false"/>
          <w:caps w:val="false"/>
          <w:smallCaps w:val="false"/>
          <w:sz w:val="20"/>
        </w:rPr>
        <w:t>Share Limit</w:t>
      </w:r>
      <w:r>
        <w:rPr>
          <w:rFonts w:ascii="Times New Roman;Times;Serif" w:hAnsi="Times New Roman;Times;Serif"/>
          <w:b w:val="false"/>
          <w:i w:val="false"/>
          <w:caps w:val="false"/>
          <w:smallCaps w:val="false"/>
          <w:sz w:val="20"/>
        </w:rPr>
        <w:t>”) is equal to: 500,000 shares of Common Stock.”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1 to the Plan (this “</w:t>
      </w:r>
      <w:r>
        <w:rPr>
          <w:rFonts w:ascii="Times New Roman;Times;Serif" w:hAnsi="Times New Roman;Times;Serif"/>
          <w:b/>
          <w:i w:val="false"/>
          <w:caps w:val="false"/>
          <w:smallCaps w:val="false"/>
          <w:sz w:val="20"/>
          <w:u w:val="single"/>
        </w:rPr>
        <w:t>Amendment</w:t>
      </w:r>
      <w:r>
        <w:rPr>
          <w:rFonts w:ascii="Times New Roman;Times;Serif" w:hAnsi="Times New Roman;Times;Serif"/>
          <w:b w:val="false"/>
          <w:i w:val="false"/>
          <w:caps w:val="false"/>
          <w:smallCaps w:val="false"/>
          <w:sz w:val="20"/>
        </w:rPr>
        <w:t>”) constitutes an integral part of the Plan. For all purposes of this Amendment, capitalized terms used herein without definition shall have the meanings specified in the Plan, as the Plan shall be in effect on the date hereof after giving effect to the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herein, all of the terms and conditions of the Plan, as in effect prior to the effectiveness of this Amendment, shall continue to remain in full force and effect as originally stated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APPROVED BY BOARD OF DIRECTORS: September 23,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11 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 w:name="ea030898701ex5-1.htm"/>
      <w:bookmarkStart w:id="6" w:name="ksea030898701ex51"/>
      <w:bookmarkEnd w:id="5"/>
      <w:bookmarkEnd w:id="6"/>
      <w:r>
        <w:rPr>
          <w:rFonts w:ascii="Times New Roman;Times;Serif" w:hAnsi="Times New Roman;Times;Serif"/>
          <w:b/>
          <w:i w:val="false"/>
          <w:caps w:val="false"/>
          <w:smallCaps w:val="false"/>
          <w:sz w:val="20"/>
        </w:rPr>
        <w:t>Exhibit 5.1</w:t>
      </w:r>
      <w:r>
        <w:br w:type="page"/>
      </w:r>
    </w:p>
    <w:p>
      <w:pPr>
        <w:pStyle w:val="TextBody"/>
        <w:bidi w:val="0"/>
        <w:spacing w:before="0" w:after="0"/>
        <w:ind w:left="0" w:right="0" w:hanging="0"/>
        <w:jc w:val="left"/>
        <w:rPr>
          <w:caps w:val="false"/>
          <w:smallCaps w:val="false"/>
        </w:rPr>
      </w:pPr>
      <w:r>
        <w:rPr>
          <w:caps w:val="false"/>
          <w:smallCaps w:val="false"/>
        </w:rPr>
        <w:t> </w:t>
      </w:r>
    </w:p>
    <w:tbl>
      <w:tblPr>
        <w:tblW w:w="5405" w:type="dxa"/>
        <w:jc w:val="left"/>
        <w:tblInd w:w="0" w:type="dxa"/>
        <w:tblLayout w:type="fixed"/>
        <w:tblCellMar>
          <w:top w:w="0" w:type="dxa"/>
          <w:left w:w="0" w:type="dxa"/>
          <w:bottom w:w="0" w:type="dxa"/>
          <w:right w:w="0" w:type="dxa"/>
        </w:tblCellMar>
      </w:tblPr>
      <w:tblGrid>
        <w:gridCol w:w="3195"/>
        <w:gridCol w:w="60"/>
        <w:gridCol w:w="2150"/>
      </w:tblGrid>
      <w:tr>
        <w:trPr/>
        <w:tc>
          <w:tcPr>
            <w:tcW w:w="3195" w:type="dxa"/>
            <w:tcBorders/>
            <w:vAlign w:val="center"/>
          </w:tcPr>
          <w:p>
            <w:pPr>
              <w:pStyle w:val="TableContents"/>
              <w:bidi w:val="0"/>
              <w:spacing w:before="0" w:after="283"/>
              <w:jc w:val="left"/>
              <w:rPr/>
            </w:pPr>
            <w:r>
              <w:rPr/>
              <w:drawing>
                <wp:inline distT="0" distB="0" distL="0" distR="0">
                  <wp:extent cx="1981200" cy="495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9"/>
                          <a:stretch>
                            <a:fillRect/>
                          </a:stretch>
                        </pic:blipFill>
                        <pic:spPr bwMode="auto">
                          <a:xfrm>
                            <a:off x="0" y="0"/>
                            <a:ext cx="1981200" cy="495300"/>
                          </a:xfrm>
                          <a:prstGeom prst="rect">
                            <a:avLst/>
                          </a:prstGeom>
                        </pic:spPr>
                      </pic:pic>
                    </a:graphicData>
                  </a:graphic>
                </wp:inline>
              </w:drawing>
            </w:r>
            <w:r>
              <w:rPr/>
              <w:t> </w:t>
            </w:r>
          </w:p>
        </w:tc>
        <w:tc>
          <w:tcPr>
            <w:tcW w:w="60" w:type="dxa"/>
            <w:tcBorders/>
            <w:vAlign w:val="center"/>
          </w:tcPr>
          <w:p>
            <w:pPr>
              <w:pStyle w:val="TableContents"/>
              <w:bidi w:val="0"/>
              <w:spacing w:before="0" w:after="283"/>
              <w:jc w:val="left"/>
              <w:rPr/>
            </w:pPr>
            <w:r>
              <w:rPr/>
              <w:t> </w:t>
            </w:r>
          </w:p>
        </w:tc>
        <w:tc>
          <w:tcPr>
            <w:tcW w:w="215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Goodwin Procter LLP</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 Marshall St.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Redwood City, CA 94063</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goodwinlaw.com</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+1 650 752 3100</w:t>
            </w:r>
          </w:p>
        </w:tc>
      </w:tr>
    </w:tbl>
    <w:p>
      <w:pPr>
        <w:pStyle w:val="TextBody"/>
        <w:bidi w:val="0"/>
        <w:spacing w:before="0" w:after="0"/>
        <w:ind w:left="0" w:right="0" w:firstLine="7200"/>
        <w:jc w:val="right"/>
        <w:rPr>
          <w:caps w:val="false"/>
          <w:smallCaps w:val="false"/>
        </w:rPr>
      </w:pPr>
      <w:r>
        <w:rPr>
          <w:caps w:val="false"/>
          <w:smallCaps w:val="false"/>
        </w:rPr>
        <w:t> </w:t>
      </w:r>
    </w:p>
    <w:p>
      <w:pPr>
        <w:pStyle w:val="TextBody"/>
        <w:bidi w:val="0"/>
        <w:spacing w:before="0" w:after="0"/>
        <w:ind w:left="0" w:right="0" w:firstLine="720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Nektar Therapeutics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455 Mission Bay Boulevard South</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Francisco, California 94158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 Securities Being Registered under Registration Statement on Form S-8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your counsel in connection with your filing of a Registration Statement on Form S-8 (the “Registration Statement”) pursuant to the Securities Act of 1933, as amended (the “Securities Act”), on or about the date hereof relating to an aggregate of 250,000 shares (the “Shares”) of Common Stock, par value $0.0001 per share (“Common Stock”), of Nektar Therapeutics, a Delaware corporation (the “Company”), that may be issued pursuant to the Company’s 2025 Inducement Plan, as amended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reviewed such documents and made such examination of law as we have deemed appropriate to give the opinion set forth below. We have relied, without independent verification, on certificates of public officials and, as to matters of fact material to the opinion set forth below, on certificates of officers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opinion set forth below, we have assumed that, at the time Shares are issued, the total number of then unissued Shares, when added to the number of shares of Common Stock issued, subscribed for, or otherwise committed to be issued, does not exceed the number of shares of Common Stock authorized by the Company’s certificate of incorporation.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 set forth below is limited to the Delaware General Corporation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foregoing, we are of the opinion that the Shares have been duly authorized and, when delivered against payment therefor in accordance with the terms of the Plans, will be validly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letter and the opinion it contains shall be interpreted in accordance with the Core Opinion Principles as published in 74 Business Lawyer 815 (Summer 2019).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inclusion of this opinion as Exhibit 5.1 to the Registration Statement. In giving our consent, we do not admit that we are in the category of persons whose consent is required under Section 7 of the Securities Act or the rules and regulations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Goodwin Procter LLP</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GOODWIN PROCTER LLP</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7" w:name="ea030898701ex23-1.htm"/>
      <w:bookmarkStart w:id="8" w:name="ksea030898701ex231"/>
      <w:bookmarkEnd w:id="7"/>
      <w:bookmarkEnd w:id="8"/>
      <w:r>
        <w:rPr>
          <w:rFonts w:ascii="Times New Roman;Times;Serif" w:hAnsi="Times New Roman;Times;Serif"/>
          <w:b/>
          <w:i w:val="false"/>
          <w:caps w:val="false"/>
          <w:smallCaps w:val="false"/>
          <w:sz w:val="20"/>
        </w:rPr>
        <w:br/>
        <w:t>Exhibit 23.1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the Registration Statement (Form S-8) pertaining to the Nektar Therapeutics 2025 Inducement Plan of our report dated March 12, 2026, with respect to the consolidated financial statements of Nektar Therapeutics included in its Annual Report (Form 10-K) for the year ended December 31, 2025, filed with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Ernst &amp; Young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Mateo, California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40"/>
        <w:jc w:val="right"/>
        <w:rPr>
          <w:rFonts w:ascii="Times New Roman;Times;Serif" w:hAnsi="Times New Roman;Times;Serif"/>
          <w:b/>
          <w:i w:val="false"/>
          <w:caps w:val="false"/>
          <w:smallCaps w:val="false"/>
          <w:sz w:val="24"/>
        </w:rPr>
      </w:pPr>
      <w:bookmarkStart w:id="9" w:name="ea030898701ex-fee.htm"/>
      <w:bookmarkStart w:id="10" w:name="ksea030898701exfee"/>
      <w:bookmarkEnd w:id="9"/>
      <w:bookmarkEnd w:id="10"/>
      <w:r>
        <w:rPr>
          <w:rFonts w:ascii="Times New Roman;Times;Serif" w:hAnsi="Times New Roman;Times;Serif"/>
          <w:b/>
          <w:i w:val="false"/>
          <w:caps w:val="false"/>
          <w:smallCaps w:val="false"/>
          <w:sz w:val="24"/>
        </w:rPr>
        <w:t>Ex-Filing Fees</w:t>
      </w:r>
      <w:r>
        <w:br w:type="page"/>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CALCULATION OF FILING FEE TABLES</w:t>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S-8</w:t>
      </w:r>
    </w:p>
    <w:p>
      <w:pPr>
        <w:pStyle w:val="TextBody"/>
        <w:bidi w:val="0"/>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Nektar Therapeutics</w:t>
      </w:r>
    </w:p>
    <w:p>
      <w:pPr>
        <w:pStyle w:val="TextBody"/>
        <w:pBdr>
          <w:top w:val="double" w:sz="8" w:space="6" w:color="808080"/>
        </w:pBdr>
        <w:bidi w:val="0"/>
        <w:spacing w:before="0" w:after="8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Table 1: Newly Registered Securities</w:t>
      </w:r>
    </w:p>
    <w:tbl>
      <w:tblPr>
        <w:tblW w:w="10205" w:type="dxa"/>
        <w:jc w:val="left"/>
        <w:tblInd w:w="0" w:type="dxa"/>
        <w:tblLayout w:type="fixed"/>
        <w:tblCellMar>
          <w:top w:w="0" w:type="dxa"/>
          <w:left w:w="0" w:type="dxa"/>
          <w:bottom w:w="0" w:type="dxa"/>
          <w:right w:w="0" w:type="dxa"/>
        </w:tblCellMar>
      </w:tblPr>
      <w:tblGrid>
        <w:gridCol w:w="857"/>
        <w:gridCol w:w="60"/>
        <w:gridCol w:w="1158"/>
        <w:gridCol w:w="60"/>
        <w:gridCol w:w="575"/>
        <w:gridCol w:w="60"/>
        <w:gridCol w:w="1130"/>
        <w:gridCol w:w="60"/>
        <w:gridCol w:w="1088"/>
        <w:gridCol w:w="60"/>
        <w:gridCol w:w="226"/>
        <w:gridCol w:w="906"/>
        <w:gridCol w:w="60"/>
        <w:gridCol w:w="155"/>
        <w:gridCol w:w="1418"/>
        <w:gridCol w:w="60"/>
        <w:gridCol w:w="920"/>
        <w:gridCol w:w="60"/>
        <w:gridCol w:w="216"/>
        <w:gridCol w:w="1076"/>
      </w:tblGrid>
      <w:tr>
        <w:trPr/>
        <w:tc>
          <w:tcPr>
            <w:tcW w:w="85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4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1076" w:type="dxa"/>
            <w:tcBorders/>
            <w:vAlign w:val="center"/>
          </w:tcPr>
          <w:p>
            <w:pPr>
              <w:pStyle w:val="TableContents"/>
              <w:bidi w:val="0"/>
              <w:spacing w:before="0" w:after="283"/>
              <w:jc w:val="left"/>
              <w:rPr/>
            </w:pPr>
            <w:r>
              <w:rPr/>
              <w:t> </w:t>
            </w:r>
          </w:p>
        </w:tc>
      </w:tr>
      <w:tr>
        <w:trPr/>
        <w:tc>
          <w:tcPr>
            <w:tcW w:w="857" w:type="dxa"/>
            <w:tcBorders>
              <w:bottom w:val="single" w:sz="8" w:space="0" w:color="000000"/>
            </w:tcBorders>
            <w:tcMar>
              <w:bottom w:w="28" w:type="dxa"/>
            </w:tcMar>
            <w:vAlign w:val="center"/>
          </w:tcPr>
          <w:p>
            <w:pPr>
              <w:pStyle w:val="TableContents"/>
              <w:bidi w:val="0"/>
              <w:spacing w:before="0" w:after="283"/>
              <w:jc w:val="left"/>
              <w:rPr/>
            </w:pPr>
            <w:r>
              <w:rPr/>
              <w:t>Security Type</w:t>
            </w:r>
          </w:p>
        </w:tc>
        <w:tc>
          <w:tcPr>
            <w:tcW w:w="60" w:type="dxa"/>
            <w:tcBorders/>
            <w:vAlign w:val="center"/>
          </w:tcPr>
          <w:p>
            <w:pPr>
              <w:pStyle w:val="TableContents"/>
              <w:bidi w:val="0"/>
              <w:spacing w:before="0" w:after="283"/>
              <w:jc w:val="left"/>
              <w:rPr/>
            </w:pPr>
            <w:r>
              <w:rPr/>
              <w:t> </w:t>
            </w:r>
          </w:p>
        </w:tc>
        <w:tc>
          <w:tcPr>
            <w:tcW w:w="1158" w:type="dxa"/>
            <w:tcBorders>
              <w:bottom w:val="single" w:sz="8" w:space="0" w:color="000000"/>
            </w:tcBorders>
            <w:tcMar>
              <w:bottom w:w="28" w:type="dxa"/>
            </w:tcMar>
            <w:vAlign w:val="center"/>
          </w:tcPr>
          <w:p>
            <w:pPr>
              <w:pStyle w:val="TableContents"/>
              <w:bidi w:val="0"/>
              <w:spacing w:before="0" w:after="283"/>
              <w:jc w:val="left"/>
              <w:rPr/>
            </w:pPr>
            <w:r>
              <w:rPr/>
              <w:t>Security Class Title</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left"/>
              <w:rPr/>
            </w:pPr>
            <w:r>
              <w:rPr/>
              <w:t>Notes</w:t>
            </w:r>
          </w:p>
        </w:tc>
        <w:tc>
          <w:tcPr>
            <w:tcW w:w="60" w:type="dxa"/>
            <w:tcBorders/>
            <w:vAlign w:val="center"/>
          </w:tcPr>
          <w:p>
            <w:pPr>
              <w:pStyle w:val="TableContents"/>
              <w:bidi w:val="0"/>
              <w:spacing w:before="0" w:after="283"/>
              <w:jc w:val="left"/>
              <w:rPr/>
            </w:pPr>
            <w:r>
              <w:rPr/>
              <w:t> </w:t>
            </w:r>
          </w:p>
        </w:tc>
        <w:tc>
          <w:tcPr>
            <w:tcW w:w="1130" w:type="dxa"/>
            <w:tcBorders>
              <w:bottom w:val="single" w:sz="8" w:space="0" w:color="000000"/>
            </w:tcBorders>
            <w:tcMar>
              <w:bottom w:w="28" w:type="dxa"/>
            </w:tcMar>
            <w:vAlign w:val="center"/>
          </w:tcPr>
          <w:p>
            <w:pPr>
              <w:pStyle w:val="TableContents"/>
              <w:bidi w:val="0"/>
              <w:spacing w:before="0" w:after="283"/>
              <w:jc w:val="left"/>
              <w:rPr/>
            </w:pPr>
            <w:r>
              <w:rPr/>
              <w:t>Fee Calculation</w:t>
              <w:br/>
              <w:t>Rule</w:t>
            </w:r>
          </w:p>
        </w:tc>
        <w:tc>
          <w:tcPr>
            <w:tcW w:w="60" w:type="dxa"/>
            <w:tcBorders/>
            <w:vAlign w:val="center"/>
          </w:tcPr>
          <w:p>
            <w:pPr>
              <w:pStyle w:val="TableContents"/>
              <w:bidi w:val="0"/>
              <w:spacing w:before="0" w:after="283"/>
              <w:jc w:val="left"/>
              <w:rPr/>
            </w:pPr>
            <w:r>
              <w:rPr/>
              <w:t> </w:t>
            </w:r>
          </w:p>
        </w:tc>
        <w:tc>
          <w:tcPr>
            <w:tcW w:w="1088" w:type="dxa"/>
            <w:tcBorders>
              <w:bottom w:val="single" w:sz="8" w:space="0" w:color="000000"/>
            </w:tcBorders>
            <w:tcMar>
              <w:bottom w:w="28" w:type="dxa"/>
            </w:tcMar>
            <w:vAlign w:val="center"/>
          </w:tcPr>
          <w:p>
            <w:pPr>
              <w:pStyle w:val="TableContents"/>
              <w:bidi w:val="0"/>
              <w:spacing w:before="0" w:after="283"/>
              <w:jc w:val="left"/>
              <w:rPr/>
            </w:pPr>
            <w:r>
              <w:rPr/>
              <w:t>Amount Registered</w:t>
            </w:r>
          </w:p>
        </w:tc>
        <w:tc>
          <w:tcPr>
            <w:tcW w:w="60" w:type="dxa"/>
            <w:tcBorders/>
            <w:vAlign w:val="center"/>
          </w:tcPr>
          <w:p>
            <w:pPr>
              <w:pStyle w:val="TableContents"/>
              <w:bidi w:val="0"/>
              <w:spacing w:before="0" w:after="283"/>
              <w:jc w:val="left"/>
              <w:rPr/>
            </w:pPr>
            <w:r>
              <w:rPr/>
              <w:t> </w:t>
            </w:r>
          </w:p>
        </w:tc>
        <w:tc>
          <w:tcPr>
            <w:tcW w:w="1132" w:type="dxa"/>
            <w:gridSpan w:val="2"/>
            <w:tcBorders>
              <w:bottom w:val="single" w:sz="8" w:space="0" w:color="000000"/>
            </w:tcBorders>
            <w:tcMar>
              <w:bottom w:w="28" w:type="dxa"/>
            </w:tcMar>
            <w:vAlign w:val="center"/>
          </w:tcPr>
          <w:p>
            <w:pPr>
              <w:pStyle w:val="TableContents"/>
              <w:bidi w:val="0"/>
              <w:spacing w:before="0" w:after="283"/>
              <w:jc w:val="left"/>
              <w:rPr/>
            </w:pPr>
            <w:r>
              <w:rPr/>
              <w:t>Proposed Maximum Offering</w:t>
              <w:br/>
              <w:t>Price Per Unit</w:t>
            </w:r>
          </w:p>
        </w:tc>
        <w:tc>
          <w:tcPr>
            <w:tcW w:w="60" w:type="dxa"/>
            <w:tcBorders/>
            <w:vAlign w:val="center"/>
          </w:tcPr>
          <w:p>
            <w:pPr>
              <w:pStyle w:val="TableContents"/>
              <w:bidi w:val="0"/>
              <w:spacing w:before="0" w:after="283"/>
              <w:jc w:val="left"/>
              <w:rPr/>
            </w:pPr>
            <w:r>
              <w:rPr/>
              <w:t> </w:t>
            </w:r>
          </w:p>
        </w:tc>
        <w:tc>
          <w:tcPr>
            <w:tcW w:w="1573" w:type="dxa"/>
            <w:gridSpan w:val="2"/>
            <w:tcBorders>
              <w:bottom w:val="single" w:sz="8" w:space="0" w:color="000000"/>
            </w:tcBorders>
            <w:tcMar>
              <w:bottom w:w="28" w:type="dxa"/>
            </w:tcMar>
            <w:vAlign w:val="center"/>
          </w:tcPr>
          <w:p>
            <w:pPr>
              <w:pStyle w:val="TableContents"/>
              <w:bidi w:val="0"/>
              <w:spacing w:before="0" w:after="283"/>
              <w:jc w:val="left"/>
              <w:rPr/>
            </w:pPr>
            <w:r>
              <w:rPr/>
              <w:t>Maximum Aggregate Offering Price</w:t>
            </w:r>
          </w:p>
        </w:tc>
        <w:tc>
          <w:tcPr>
            <w:tcW w:w="60" w:type="dxa"/>
            <w:tcBorders/>
            <w:vAlign w:val="center"/>
          </w:tcPr>
          <w:p>
            <w:pPr>
              <w:pStyle w:val="TableContents"/>
              <w:bidi w:val="0"/>
              <w:spacing w:before="0" w:after="283"/>
              <w:jc w:val="left"/>
              <w:rPr/>
            </w:pPr>
            <w:r>
              <w:rPr/>
              <w:t> </w:t>
            </w:r>
          </w:p>
        </w:tc>
        <w:tc>
          <w:tcPr>
            <w:tcW w:w="920" w:type="dxa"/>
            <w:tcBorders>
              <w:bottom w:val="single" w:sz="8" w:space="0" w:color="000000"/>
            </w:tcBorders>
            <w:tcMar>
              <w:bottom w:w="28" w:type="dxa"/>
            </w:tcMar>
            <w:vAlign w:val="center"/>
          </w:tcPr>
          <w:p>
            <w:pPr>
              <w:pStyle w:val="TableContents"/>
              <w:bidi w:val="0"/>
              <w:spacing w:before="0" w:after="283"/>
              <w:jc w:val="left"/>
              <w:rPr/>
            </w:pPr>
            <w:r>
              <w:rPr/>
              <w:t>Fee Rate</w:t>
            </w:r>
          </w:p>
        </w:tc>
        <w:tc>
          <w:tcPr>
            <w:tcW w:w="60" w:type="dxa"/>
            <w:tcBorders/>
            <w:vAlign w:val="center"/>
          </w:tcPr>
          <w:p>
            <w:pPr>
              <w:pStyle w:val="TableContents"/>
              <w:bidi w:val="0"/>
              <w:spacing w:before="0" w:after="283"/>
              <w:jc w:val="left"/>
              <w:rPr/>
            </w:pPr>
            <w:r>
              <w:rPr/>
              <w:t> </w:t>
            </w:r>
          </w:p>
        </w:tc>
        <w:tc>
          <w:tcPr>
            <w:tcW w:w="1292" w:type="dxa"/>
            <w:gridSpan w:val="2"/>
            <w:tcBorders>
              <w:bottom w:val="single" w:sz="8" w:space="0" w:color="000000"/>
            </w:tcBorders>
            <w:tcMar>
              <w:bottom w:w="28" w:type="dxa"/>
            </w:tcMar>
            <w:vAlign w:val="center"/>
          </w:tcPr>
          <w:p>
            <w:pPr>
              <w:pStyle w:val="TableContents"/>
              <w:bidi w:val="0"/>
              <w:spacing w:before="0" w:after="283"/>
              <w:jc w:val="left"/>
              <w:rPr/>
            </w:pPr>
            <w:r>
              <w:rPr/>
              <w:t>Amount of Registration Fee</w:t>
            </w:r>
          </w:p>
        </w:tc>
      </w:tr>
      <w:tr>
        <w:trPr/>
        <w:tc>
          <w:tcPr>
            <w:tcW w:w="85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4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1076" w:type="dxa"/>
            <w:tcBorders/>
            <w:vAlign w:val="center"/>
          </w:tcPr>
          <w:p>
            <w:pPr>
              <w:pStyle w:val="TableContents"/>
              <w:bidi w:val="0"/>
              <w:spacing w:before="0" w:after="283"/>
              <w:jc w:val="left"/>
              <w:rPr/>
            </w:pPr>
            <w:r>
              <w:rPr/>
              <w:t> </w:t>
            </w:r>
          </w:p>
        </w:tc>
      </w:tr>
      <w:tr>
        <w:trPr/>
        <w:tc>
          <w:tcPr>
            <w:tcW w:w="857"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1158" w:type="dxa"/>
            <w:tcBorders/>
            <w:vAlign w:val="center"/>
          </w:tcPr>
          <w:p>
            <w:pPr>
              <w:pStyle w:val="TableContents"/>
              <w:bidi w:val="0"/>
              <w:spacing w:before="0" w:after="283"/>
              <w:jc w:val="left"/>
              <w:rPr/>
            </w:pPr>
            <w:r>
              <w:rPr/>
              <w:t>Common Stock, $0.0001 par value per share</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(1)</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pPr>
            <w:r>
              <w:rPr/>
              <w:t>Other</w:t>
            </w:r>
          </w:p>
        </w:tc>
        <w:tc>
          <w:tcPr>
            <w:tcW w:w="60" w:type="dxa"/>
            <w:tcBorders/>
            <w:vAlign w:val="center"/>
          </w:tcPr>
          <w:p>
            <w:pPr>
              <w:pStyle w:val="TableContents"/>
              <w:bidi w:val="0"/>
              <w:spacing w:before="0" w:after="283"/>
              <w:jc w:val="left"/>
              <w:rPr/>
            </w:pPr>
            <w:r>
              <w:rPr/>
              <w:t> </w:t>
            </w:r>
          </w:p>
        </w:tc>
        <w:tc>
          <w:tcPr>
            <w:tcW w:w="1088" w:type="dxa"/>
            <w:tcBorders/>
            <w:vAlign w:val="center"/>
          </w:tcPr>
          <w:p>
            <w:pPr>
              <w:pStyle w:val="TableContents"/>
              <w:bidi w:val="0"/>
              <w:spacing w:before="0" w:after="283"/>
              <w:jc w:val="right"/>
              <w:rPr/>
            </w:pPr>
            <w:r>
              <w:rPr/>
              <w:t>250,000</w:t>
            </w:r>
          </w:p>
        </w:tc>
        <w:tc>
          <w:tcPr>
            <w:tcW w:w="6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906" w:type="dxa"/>
            <w:tcBorders/>
            <w:vAlign w:val="center"/>
          </w:tcPr>
          <w:p>
            <w:pPr>
              <w:pStyle w:val="TableContents"/>
              <w:bidi w:val="0"/>
              <w:spacing w:before="0" w:after="283"/>
              <w:jc w:val="right"/>
              <w:rPr/>
            </w:pPr>
            <w:r>
              <w:rPr/>
              <w:t>36.83</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w:t>
            </w:r>
          </w:p>
        </w:tc>
        <w:tc>
          <w:tcPr>
            <w:tcW w:w="1418" w:type="dxa"/>
            <w:tcBorders/>
            <w:vAlign w:val="center"/>
          </w:tcPr>
          <w:p>
            <w:pPr>
              <w:pStyle w:val="TableContents"/>
              <w:bidi w:val="0"/>
              <w:spacing w:before="0" w:after="283"/>
              <w:jc w:val="right"/>
              <w:rPr/>
            </w:pPr>
            <w:r>
              <w:rPr/>
              <w:t>9,207,500.00</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pPr>
            <w:r>
              <w:rPr/>
              <w:t>0.000087</w:t>
            </w:r>
          </w:p>
        </w:tc>
        <w:tc>
          <w:tcPr>
            <w:tcW w:w="6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w:t>
            </w:r>
          </w:p>
        </w:tc>
        <w:tc>
          <w:tcPr>
            <w:tcW w:w="1076" w:type="dxa"/>
            <w:tcBorders/>
            <w:vAlign w:val="center"/>
          </w:tcPr>
          <w:p>
            <w:pPr>
              <w:pStyle w:val="TableContents"/>
              <w:bidi w:val="0"/>
              <w:spacing w:before="0" w:after="283"/>
              <w:jc w:val="right"/>
              <w:rPr/>
            </w:pPr>
            <w:r>
              <w:rPr/>
              <w:t>801.06</w:t>
            </w:r>
          </w:p>
        </w:tc>
      </w:tr>
      <w:tr>
        <w:trPr/>
        <w:tc>
          <w:tcPr>
            <w:tcW w:w="85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bottom w:val="single" w:sz="8" w:space="0" w:color="000000"/>
            </w:tcBorders>
            <w:tcMar>
              <w:bottom w:w="28" w:type="dxa"/>
            </w:tcMar>
            <w:vAlign w:val="center"/>
          </w:tcPr>
          <w:p>
            <w:pPr>
              <w:pStyle w:val="TableContents"/>
              <w:bidi w:val="0"/>
              <w:spacing w:before="0" w:after="283"/>
              <w:jc w:val="left"/>
              <w:rPr/>
            </w:pPr>
            <w:r>
              <w:rPr/>
              <w:t> </w:t>
            </w:r>
          </w:p>
        </w:tc>
        <w:tc>
          <w:tcPr>
            <w:tcW w:w="1418"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6" w:type="dxa"/>
            <w:tcBorders>
              <w:bottom w:val="single" w:sz="8" w:space="0" w:color="000000"/>
            </w:tcBorders>
            <w:tcMar>
              <w:bottom w:w="28" w:type="dxa"/>
            </w:tcMar>
            <w:vAlign w:val="center"/>
          </w:tcPr>
          <w:p>
            <w:pPr>
              <w:pStyle w:val="TableContents"/>
              <w:bidi w:val="0"/>
              <w:spacing w:before="0" w:after="283"/>
              <w:jc w:val="left"/>
              <w:rPr/>
            </w:pPr>
            <w:r>
              <w:rPr/>
              <w:t> </w:t>
            </w:r>
          </w:p>
        </w:tc>
        <w:tc>
          <w:tcPr>
            <w:tcW w:w="1076"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240" w:type="dxa"/>
            <w:gridSpan w:val="12"/>
            <w:tcBorders/>
            <w:vAlign w:val="center"/>
          </w:tcPr>
          <w:p>
            <w:pPr>
              <w:pStyle w:val="TableContents"/>
              <w:bidi w:val="0"/>
              <w:spacing w:before="0" w:after="283"/>
              <w:jc w:val="right"/>
              <w:rPr/>
            </w:pPr>
            <w:r>
              <w:rPr/>
              <w:t>Total Offering Amounts:</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w:t>
            </w:r>
          </w:p>
        </w:tc>
        <w:tc>
          <w:tcPr>
            <w:tcW w:w="1418" w:type="dxa"/>
            <w:tcBorders/>
            <w:vAlign w:val="center"/>
          </w:tcPr>
          <w:p>
            <w:pPr>
              <w:pStyle w:val="TableContents"/>
              <w:bidi w:val="0"/>
              <w:spacing w:before="0" w:after="283"/>
              <w:jc w:val="right"/>
              <w:rPr/>
            </w:pPr>
            <w:r>
              <w:rPr/>
              <w:t>9,207,500.00</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1076" w:type="dxa"/>
            <w:tcBorders/>
            <w:vAlign w:val="center"/>
          </w:tcPr>
          <w:p>
            <w:pPr>
              <w:pStyle w:val="TableContents"/>
              <w:bidi w:val="0"/>
              <w:spacing w:before="0" w:after="283"/>
              <w:jc w:val="right"/>
              <w:rPr/>
            </w:pPr>
            <w:r>
              <w:rPr/>
              <w:t>801.06</w:t>
            </w:r>
          </w:p>
        </w:tc>
      </w:tr>
      <w:tr>
        <w:trPr/>
        <w:tc>
          <w:tcPr>
            <w:tcW w:w="6240" w:type="dxa"/>
            <w:gridSpan w:val="12"/>
            <w:tcBorders/>
            <w:vAlign w:val="center"/>
          </w:tcPr>
          <w:p>
            <w:pPr>
              <w:pStyle w:val="TableContents"/>
              <w:bidi w:val="0"/>
              <w:spacing w:before="0" w:after="283"/>
              <w:jc w:val="right"/>
              <w:rPr/>
            </w:pPr>
            <w:r>
              <w:rPr/>
              <w:t>Total Fee Offsets:</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4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6" w:type="dxa"/>
            <w:tcBorders>
              <w:bottom w:val="single" w:sz="8" w:space="0" w:color="000000"/>
            </w:tcBorders>
            <w:tcMar>
              <w:bottom w:w="28" w:type="dxa"/>
            </w:tcMar>
            <w:vAlign w:val="center"/>
          </w:tcPr>
          <w:p>
            <w:pPr>
              <w:pStyle w:val="TableContents"/>
              <w:bidi w:val="0"/>
              <w:spacing w:before="0" w:after="283"/>
              <w:jc w:val="left"/>
              <w:rPr/>
            </w:pPr>
            <w:r>
              <w:rPr/>
              <w:t> </w:t>
            </w:r>
          </w:p>
        </w:tc>
        <w:tc>
          <w:tcPr>
            <w:tcW w:w="1076" w:type="dxa"/>
            <w:tcBorders>
              <w:bottom w:val="single" w:sz="8" w:space="0" w:color="000000"/>
            </w:tcBorders>
            <w:tcMar>
              <w:bottom w:w="28" w:type="dxa"/>
            </w:tcMar>
            <w:vAlign w:val="center"/>
          </w:tcPr>
          <w:p>
            <w:pPr>
              <w:pStyle w:val="TableContents"/>
              <w:bidi w:val="0"/>
              <w:spacing w:before="0" w:after="283"/>
              <w:jc w:val="right"/>
              <w:rPr/>
            </w:pPr>
            <w:r>
              <w:rPr/>
              <w:t>0.00</w:t>
            </w:r>
          </w:p>
        </w:tc>
      </w:tr>
      <w:tr>
        <w:trPr/>
        <w:tc>
          <w:tcPr>
            <w:tcW w:w="6240" w:type="dxa"/>
            <w:gridSpan w:val="12"/>
            <w:tcBorders/>
            <w:vAlign w:val="center"/>
          </w:tcPr>
          <w:p>
            <w:pPr>
              <w:pStyle w:val="TableContents"/>
              <w:bidi w:val="0"/>
              <w:spacing w:before="0" w:after="283"/>
              <w:jc w:val="right"/>
              <w:rPr/>
            </w:pPr>
            <w:r>
              <w:rPr/>
              <w:t>Net Fee Due:</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4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6" w:type="dxa"/>
            <w:tcBorders>
              <w:bottom w:val="double" w:sz="8" w:space="0" w:color="000000"/>
            </w:tcBorders>
            <w:tcMar>
              <w:bottom w:w="28" w:type="dxa"/>
            </w:tcMar>
            <w:vAlign w:val="center"/>
          </w:tcPr>
          <w:p>
            <w:pPr>
              <w:pStyle w:val="TableContents"/>
              <w:bidi w:val="0"/>
              <w:spacing w:before="0" w:after="283"/>
              <w:jc w:val="left"/>
              <w:rPr/>
            </w:pPr>
            <w:r>
              <w:rPr/>
              <w:t>$</w:t>
            </w:r>
          </w:p>
        </w:tc>
        <w:tc>
          <w:tcPr>
            <w:tcW w:w="1076" w:type="dxa"/>
            <w:tcBorders>
              <w:bottom w:val="double" w:sz="8" w:space="0" w:color="000000"/>
            </w:tcBorders>
            <w:tcMar>
              <w:bottom w:w="28" w:type="dxa"/>
            </w:tcMar>
            <w:vAlign w:val="center"/>
          </w:tcPr>
          <w:p>
            <w:pPr>
              <w:pStyle w:val="TableContents"/>
              <w:bidi w:val="0"/>
              <w:spacing w:before="0" w:after="283"/>
              <w:jc w:val="right"/>
              <w:rPr/>
            </w:pPr>
            <w:r>
              <w:rPr/>
              <w:t>801.06</w:t>
            </w:r>
          </w:p>
        </w:tc>
      </w:tr>
    </w:tbl>
    <w:p>
      <w:pPr>
        <w:pStyle w:val="TextBody"/>
        <w:bidi w:val="0"/>
        <w:spacing w:before="0" w:after="0"/>
        <w:jc w:val="left"/>
        <w:rPr>
          <w:caps w:val="false"/>
          <w:smallCaps w:val="false"/>
          <w:color w:val="3265FF"/>
        </w:rPr>
      </w:pPr>
      <w:r>
        <w:rPr>
          <w:caps w:val="false"/>
          <w:smallCaps w:val="false"/>
          <w:color w:val="3265FF"/>
        </w:rPr>
        <w:t> </w:t>
      </w:r>
    </w:p>
    <w:p>
      <w:pPr>
        <w:pStyle w:val="TextBody"/>
        <w:bidi w:val="0"/>
        <w:spacing w:before="120" w:after="12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__________________________________________</w:t>
        <w:br/>
        <w:t>Offering Note(s)</w:t>
      </w:r>
    </w:p>
    <w:tbl>
      <w:tblPr>
        <w:tblW w:w="10205" w:type="dxa"/>
        <w:jc w:val="left"/>
        <w:tblInd w:w="0" w:type="dxa"/>
        <w:tblLayout w:type="fixed"/>
        <w:tblCellMar>
          <w:top w:w="0" w:type="dxa"/>
          <w:left w:w="0" w:type="dxa"/>
          <w:bottom w:w="0" w:type="dxa"/>
          <w:right w:w="0" w:type="dxa"/>
        </w:tblCellMar>
      </w:tblPr>
      <w:tblGrid>
        <w:gridCol w:w="242"/>
        <w:gridCol w:w="23"/>
        <w:gridCol w:w="9940"/>
      </w:tblGrid>
      <w:tr>
        <w:trPr/>
        <w:tc>
          <w:tcPr>
            <w:tcW w:w="242" w:type="dxa"/>
            <w:tcBorders/>
            <w:vAlign w:val="center"/>
          </w:tcPr>
          <w:p>
            <w:pPr>
              <w:pStyle w:val="TableContents"/>
              <w:bidi w:val="0"/>
              <w:spacing w:before="0" w:after="283"/>
              <w:jc w:val="right"/>
              <w:rPr/>
            </w:pPr>
            <w:r>
              <w:rPr/>
              <w:t>(1)</w:t>
            </w:r>
          </w:p>
        </w:tc>
        <w:tc>
          <w:tcPr>
            <w:tcW w:w="23" w:type="dxa"/>
            <w:tcBorders/>
            <w:vAlign w:val="center"/>
          </w:tcPr>
          <w:p>
            <w:pPr>
              <w:pStyle w:val="TableContents"/>
              <w:bidi w:val="0"/>
              <w:spacing w:before="0" w:after="283"/>
              <w:jc w:val="left"/>
              <w:rPr>
                <w:sz w:val="4"/>
                <w:szCs w:val="4"/>
              </w:rPr>
            </w:pPr>
            <w:r>
              <w:rPr>
                <w:sz w:val="4"/>
                <w:szCs w:val="4"/>
              </w:rPr>
            </w:r>
          </w:p>
        </w:tc>
        <w:tc>
          <w:tcPr>
            <w:tcW w:w="9940" w:type="dxa"/>
            <w:tcBorders/>
            <w:vAlign w:val="center"/>
          </w:tcPr>
          <w:p>
            <w:pPr>
              <w:pStyle w:val="TableContents"/>
              <w:bidi w:val="0"/>
              <w:spacing w:before="0" w:after="283"/>
              <w:jc w:val="both"/>
              <w:rPr/>
            </w:pPr>
            <w:r>
              <w:rPr/>
              <w:t>Pursuant to Rule 416(a) under the Securities Act of 1933, as amended (the “Securities Act”), this Registration Statement shall also cover any additional shares of common stock, par value $0.0001 per share (the “Common Stock”), which become issuable under the Nektar Therapeutics 2025 Inducement Plan, as amended, (the “Plan”) by reason of any stock dividend, stock split, recapitalization or any other similar transaction effected without the receipt of consideration which results in an increase in the number of the Registrant’s outstanding shares of common stock.</w:t>
              <w:br/>
              <w:br/>
              <w:t>The amount to be registered represents 250,000 additional shares of Common Stock issuable under the Plan, pursuant to an amendment approved by the Board of Directors of the Registrant on September 23, 2026.</w:t>
              <w:br/>
              <w:br/>
              <w:t>The proposed maximum offering price per unit is estimated solely for the purpose of calculating the registration fee pursuant to Rules 457(c) and 457(h) under the Securities Act on the basis of the average of the high and low sales prices of the Common Stock as reported on the Nasdaq Capital Market on October 16, 2026.</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906709/000119312517204837/d386364ds8.htm" TargetMode="External"/><Relationship Id="rId3" Type="http://schemas.openxmlformats.org/officeDocument/2006/relationships/hyperlink" Target="https://www.sec.gov/Archives/edgar/data/906709/000119312518209728/d630281ds8.htm" TargetMode="External"/><Relationship Id="rId4" Type="http://schemas.openxmlformats.org/officeDocument/2006/relationships/hyperlink" Target="https://www.sec.gov/Archives/edgar/data/906709/000119312520213033/d17716ds8.htm" TargetMode="External"/><Relationship Id="rId5" Type="http://schemas.openxmlformats.org/officeDocument/2006/relationships/hyperlink" Target="https://www.sec.gov/Archives/edgar/data/906709/000121390021043637/ea145918-s8_nektarthera.htm" TargetMode="External"/><Relationship Id="rId6" Type="http://schemas.openxmlformats.org/officeDocument/2006/relationships/hyperlink" Target="https://www.sec.gov/Archives/edgar/data/906709/000121390022045060/ea163734-s8_nektarthera.htm" TargetMode="External"/><Relationship Id="rId7" Type="http://schemas.openxmlformats.org/officeDocument/2006/relationships/hyperlink" Target="https://www.sec.gov/Archives/edgar/data/906709/000121390023066403/ea183291-s8_nektarthera.htm" TargetMode="External"/><Relationship Id="rId8" Type="http://schemas.openxmlformats.org/officeDocument/2006/relationships/hyperlink" Target="https://www.sec.gov/Archives/edgar/data/906709/000119312525054820/d864612ds8.htm" TargetMode="External"/><Relationship Id="rId9" Type="http://schemas.openxmlformats.org/officeDocument/2006/relationships/hyperlink" Target="https://www.sec.gov/Archives/edgar/data/906709/000121390025073234/ea0252127-s8_nektarthera.htm" TargetMode="External"/><Relationship Id="rId10" Type="http://schemas.openxmlformats.org/officeDocument/2006/relationships/hyperlink" Target="https://www.sec.gov/Archives/edgar/data/906709/000121390025109222/ea0265149-s8_nektar.htm" TargetMode="External"/><Relationship Id="rId11" Type="http://schemas.openxmlformats.org/officeDocument/2006/relationships/hyperlink" Target="https://www.sec.gov/Archives/edgar/data/906709/000121390026090164/ea0301504-s8_nektar.htm" TargetMode="External"/><Relationship Id="rId12" Type="http://schemas.openxmlformats.org/officeDocument/2006/relationships/hyperlink" Target="https://www.sec.gov/Archives/edgar/data/906709/0001047469-98-031070.txt" TargetMode="External"/><Relationship Id="rId13" Type="http://schemas.openxmlformats.org/officeDocument/2006/relationships/hyperlink" Target="https://www.sec.gov/Archives/edgar/data/906709/000091205700037283/ex-3_3.txt" TargetMode="External"/><Relationship Id="rId14" Type="http://schemas.openxmlformats.org/officeDocument/2006/relationships/hyperlink" Target="https://www.sec.gov/Archives/edgar/data/906709/000104746903002325/a2101294zex-3_1.htm" TargetMode="External"/><Relationship Id="rId15" Type="http://schemas.openxmlformats.org/officeDocument/2006/relationships/hyperlink" Target="https://www.sec.gov/Archives/edgar/data/906709/000114420410011093/v176023_ex3-6.htm" TargetMode="External"/><Relationship Id="rId16" Type="http://schemas.openxmlformats.org/officeDocument/2006/relationships/hyperlink" Target="https://www.sec.gov/Archives/edgar/data/906709/000121390025052141/ea024492901ex3-1_nektar.htm" TargetMode="External"/><Relationship Id="rId17" Type="http://schemas.openxmlformats.org/officeDocument/2006/relationships/hyperlink" Target="https://www.sec.gov/Archives/edgar/data/906709/000121390025052141/ea024492901ex3-2_nektar.htm" TargetMode="External"/><Relationship Id="rId18" Type="http://schemas.openxmlformats.org/officeDocument/2006/relationships/hyperlink" Target="https://www.sec.gov/Archives/edgar/data/906709/000121390022080498/ea170222ex3-1_nektartherap.htm" TargetMode="External"/><Relationship Id="rId19" Type="http://schemas.openxmlformats.org/officeDocument/2006/relationships/image" Target="media/image1.jpeg"/><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Pages>
  <Words>10999</Words>
  <Characters>57383</Characters>
  <CharactersWithSpaces>68386</CharactersWithSpaces>
  <Paragraphs>784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