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 HOWARD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NEKTAR THERAPEUTICS 455 MISSION BAY BLVD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NEKTAR THERAPEUTICS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NKTR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80" w:lineRule="exact"/>
        <w:rPr>
          <w:sz w:val="24"/>
          <w:szCs w:val="24"/>
          <w:color w:val="auto"/>
        </w:rPr>
      </w:pPr>
    </w:p>
    <w:p>
      <w:pPr>
        <w:sectPr>
          <w:pgSz w:w="11900" w:h="16838" w:orient="portrait"/>
          <w:cols w:equalWidth="0" w:num="3">
            <w:col w:w="3200" w:space="720"/>
            <w:col w:w="3240" w:space="575"/>
            <w:col w:w="3345"/>
          </w:cols>
          <w:pgMar w:left="460" w:top="219" w:right="359" w:bottom="393"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94158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5,303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69,742</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4,697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65,045</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60.81</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59,545</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61.65</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55,045</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rPr>
              <w:t>28</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13, 2026.</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$59.35 to $60.33 The price reported above reflects the weighted average sale price. The reporting person hereby undertakes to provide full information regarding the number of shares and the prices at which the transactions were effected upon the request to the SEC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$60.37 to $61.15. The price reported above reflects the weighted average sale price. The reporting person hereby undertakes to provide full information regarding the number of shares and the prices at which the transactions were effected upon the request to the SEC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$60.22 to $61.21. The price reported above reflects the weighted average sale price. The reporting person hereby undertakes to provide full information regarding the number of shares and the prices at which the transactions were effected upon the request to the SEC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$61.22 to $62.44. The price reported above reflects the weighted average sale price. The reporting person hereby undertakes to provide full information regarding the number of shares and the prices at which the transactions were effected upon the request to the SEC staff, the Issuer, or a security holder of the Issuer.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Elizabeth Zhang, Attorney-in- </w:t>
      </w:r>
      <w:r>
        <w:rPr>
          <w:rFonts w:ascii="Times New Roman" w:cs="Times New Roman" w:eastAsia="Times New Roman" w:hAnsi="Times New Roman"/>
          <w:sz w:val="33"/>
          <w:szCs w:val="33"/>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6869" TargetMode="External"/><Relationship Id="rId14" Type="http://schemas.openxmlformats.org/officeDocument/2006/relationships/hyperlink" Target="http://www.sec.gov/cgi-bin/browse-edgar?action=getcompany&amp;CIK=0000906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2026-06-18T18:09:45Z</dcterms:created>
  <dcterms:modified xsi:type="dcterms:W3CDTF">2026-06-18T18:09:45Z</dcterms:modified>
</cp:coreProperties>
</file>