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w:t>
      </w:r>
    </w:p>
    <w:p>
      <w:pPr>
        <w:spacing w:after="0" w:line="1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5"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w:t>
      </w:r>
    </w:p>
    <w:p>
      <w:pPr>
        <w:spacing w:after="0" w:line="21"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1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54"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REPORTS PURSUANT TO SECTION 13 OR 15(d) OF THE SECURITIES EXCHANGE ACT OF 1934</w:t>
      </w:r>
    </w:p>
    <w:p>
      <w:pPr>
        <w:spacing w:after="0" w:line="207" w:lineRule="exact"/>
        <w:rPr>
          <w:sz w:val="24"/>
          <w:szCs w:val="24"/>
          <w:color w:val="auto"/>
        </w:rPr>
      </w:pPr>
    </w:p>
    <w:tbl>
      <w:tblPr>
        <w:tblLayout w:type="fixed"/>
        <w:tblInd w:w="13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99"/>
        </w:trPr>
        <w:tc>
          <w:tcPr>
            <w:tcW w:w="3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0" w:type="dxa"/>
            <w:vAlign w:val="bottom"/>
            <w:gridSpan w:val="3"/>
          </w:tcPr>
          <w:p>
            <w:pPr>
              <w:jc w:val="center"/>
              <w:ind w:right="3396"/>
              <w:spacing w:after="0"/>
              <w:rPr>
                <w:sz w:val="20"/>
                <w:szCs w:val="20"/>
                <w:color w:val="auto"/>
              </w:rPr>
            </w:pPr>
            <w:r>
              <w:rPr>
                <w:rFonts w:ascii="Times New Roman" w:cs="Times New Roman" w:eastAsia="Times New Roman" w:hAnsi="Times New Roman"/>
                <w:sz w:val="18"/>
                <w:szCs w:val="18"/>
                <w:b w:val="1"/>
                <w:bCs w:val="1"/>
                <w:color w:val="auto"/>
              </w:rPr>
              <w:t>Commission File Number: 0-24006</w:t>
            </w:r>
          </w:p>
        </w:tc>
      </w:tr>
      <w:tr>
        <w:trPr>
          <w:trHeight w:val="190"/>
        </w:trPr>
        <w:tc>
          <w:tcPr>
            <w:tcW w:w="110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w:t>
            </w:r>
          </w:p>
        </w:tc>
      </w:tr>
      <w:tr>
        <w:trPr>
          <w:trHeight w:val="541"/>
        </w:trPr>
        <w:tc>
          <w:tcPr>
            <w:tcW w:w="11040" w:type="dxa"/>
            <w:vAlign w:val="bottom"/>
            <w:gridSpan w:val="5"/>
          </w:tcPr>
          <w:p>
            <w:pPr>
              <w:jc w:val="center"/>
              <w:spacing w:after="0"/>
              <w:rPr>
                <w:sz w:val="20"/>
                <w:szCs w:val="20"/>
                <w:color w:val="auto"/>
              </w:rPr>
            </w:pPr>
            <w:r>
              <w:rPr>
                <w:rFonts w:ascii="Times New Roman" w:cs="Times New Roman" w:eastAsia="Times New Roman" w:hAnsi="Times New Roman"/>
                <w:sz w:val="41"/>
                <w:szCs w:val="41"/>
                <w:b w:val="1"/>
                <w:bCs w:val="1"/>
                <w:color w:val="auto"/>
              </w:rPr>
              <w:t>NEKTAR THERAPEUTICS</w:t>
            </w:r>
          </w:p>
        </w:tc>
      </w:tr>
      <w:tr>
        <w:trPr>
          <w:trHeight w:val="214"/>
        </w:trPr>
        <w:tc>
          <w:tcPr>
            <w:tcW w:w="3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0" w:type="dxa"/>
            <w:vAlign w:val="bottom"/>
            <w:gridSpan w:val="3"/>
          </w:tcPr>
          <w:p>
            <w:pPr>
              <w:jc w:val="center"/>
              <w:ind w:right="337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190"/>
        </w:trPr>
        <w:tc>
          <w:tcPr>
            <w:tcW w:w="110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w:t>
            </w:r>
          </w:p>
        </w:tc>
      </w:tr>
      <w:tr>
        <w:trPr>
          <w:trHeight w:val="255"/>
        </w:trPr>
        <w:tc>
          <w:tcPr>
            <w:tcW w:w="3140" w:type="dxa"/>
            <w:vAlign w:val="bottom"/>
          </w:tcPr>
          <w:p>
            <w:pPr>
              <w:jc w:val="center"/>
              <w:ind w:left="196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0" w:type="dxa"/>
            <w:vAlign w:val="bottom"/>
          </w:tcPr>
          <w:p>
            <w:pPr>
              <w:jc w:val="center"/>
              <w:ind w:right="576"/>
              <w:spacing w:after="0"/>
              <w:rPr>
                <w:sz w:val="20"/>
                <w:szCs w:val="20"/>
                <w:color w:val="auto"/>
              </w:rPr>
            </w:pPr>
            <w:r>
              <w:rPr>
                <w:rFonts w:ascii="Times New Roman" w:cs="Times New Roman" w:eastAsia="Times New Roman" w:hAnsi="Times New Roman"/>
                <w:sz w:val="18"/>
                <w:szCs w:val="18"/>
                <w:b w:val="1"/>
                <w:bCs w:val="1"/>
                <w:color w:val="auto"/>
                <w:w w:val="98"/>
              </w:rPr>
              <w:t>94-3134940</w:t>
            </w:r>
          </w:p>
        </w:tc>
      </w:tr>
      <w:tr>
        <w:trPr>
          <w:trHeight w:val="146"/>
        </w:trPr>
        <w:tc>
          <w:tcPr>
            <w:tcW w:w="6440" w:type="dxa"/>
            <w:vAlign w:val="bottom"/>
            <w:gridSpan w:val="4"/>
          </w:tcPr>
          <w:p>
            <w:pPr>
              <w:jc w:val="center"/>
              <w:ind w:right="1240"/>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600" w:type="dxa"/>
            <w:vAlign w:val="bottom"/>
          </w:tcPr>
          <w:p>
            <w:pPr>
              <w:jc w:val="center"/>
              <w:ind w:right="576"/>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440" w:type="dxa"/>
            <w:vAlign w:val="bottom"/>
            <w:gridSpan w:val="4"/>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600" w:type="dxa"/>
            <w:vAlign w:val="bottom"/>
          </w:tcPr>
          <w:p>
            <w:pPr>
              <w:jc w:val="center"/>
              <w:ind w:right="576"/>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5"/>
        </w:trPr>
        <w:tc>
          <w:tcPr>
            <w:tcW w:w="3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0" w:type="dxa"/>
            <w:vAlign w:val="bottom"/>
            <w:gridSpan w:val="3"/>
          </w:tcPr>
          <w:p>
            <w:pPr>
              <w:jc w:val="center"/>
              <w:ind w:right="3396"/>
              <w:spacing w:after="0"/>
              <w:rPr>
                <w:sz w:val="20"/>
                <w:szCs w:val="20"/>
                <w:color w:val="auto"/>
              </w:rPr>
            </w:pPr>
            <w:r>
              <w:rPr>
                <w:rFonts w:ascii="Times New Roman" w:cs="Times New Roman" w:eastAsia="Times New Roman" w:hAnsi="Times New Roman"/>
                <w:sz w:val="18"/>
                <w:szCs w:val="18"/>
                <w:b w:val="1"/>
                <w:bCs w:val="1"/>
                <w:color w:val="auto"/>
                <w:w w:val="99"/>
              </w:rPr>
              <w:t>455 Mission Bay Boulevard South</w:t>
            </w:r>
          </w:p>
        </w:tc>
      </w:tr>
      <w:tr>
        <w:trPr>
          <w:trHeight w:val="214"/>
        </w:trPr>
        <w:tc>
          <w:tcPr>
            <w:tcW w:w="3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0" w:type="dxa"/>
            <w:vAlign w:val="bottom"/>
            <w:gridSpan w:val="3"/>
          </w:tcPr>
          <w:p>
            <w:pPr>
              <w:jc w:val="center"/>
              <w:ind w:right="3376"/>
              <w:spacing w:after="0"/>
              <w:rPr>
                <w:sz w:val="20"/>
                <w:szCs w:val="20"/>
                <w:color w:val="auto"/>
              </w:rPr>
            </w:pPr>
            <w:r>
              <w:rPr>
                <w:rFonts w:ascii="Times New Roman" w:cs="Times New Roman" w:eastAsia="Times New Roman" w:hAnsi="Times New Roman"/>
                <w:sz w:val="18"/>
                <w:szCs w:val="18"/>
                <w:b w:val="1"/>
                <w:bCs w:val="1"/>
                <w:color w:val="auto"/>
                <w:w w:val="99"/>
              </w:rPr>
              <w:t>San Francisco, California 94158</w:t>
            </w:r>
          </w:p>
        </w:tc>
      </w:tr>
      <w:tr>
        <w:trPr>
          <w:trHeight w:val="190"/>
        </w:trPr>
        <w:tc>
          <w:tcPr>
            <w:tcW w:w="3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0" w:type="dxa"/>
            <w:vAlign w:val="bottom"/>
            <w:gridSpan w:val="3"/>
          </w:tcPr>
          <w:p>
            <w:pPr>
              <w:jc w:val="center"/>
              <w:ind w:right="337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r>
      <w:tr>
        <w:trPr>
          <w:trHeight w:val="309"/>
        </w:trPr>
        <w:tc>
          <w:tcPr>
            <w:tcW w:w="3140" w:type="dxa"/>
            <w:vAlign w:val="bottom"/>
          </w:tcPr>
          <w:p>
            <w:pPr>
              <w:spacing w:after="0"/>
              <w:rPr>
                <w:sz w:val="24"/>
                <w:szCs w:val="24"/>
                <w:color w:val="auto"/>
              </w:rPr>
            </w:pPr>
          </w:p>
        </w:tc>
        <w:tc>
          <w:tcPr>
            <w:tcW w:w="3300" w:type="dxa"/>
            <w:vAlign w:val="bottom"/>
            <w:gridSpan w:val="3"/>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415-482-5300</w:t>
            </w:r>
          </w:p>
        </w:tc>
        <w:tc>
          <w:tcPr>
            <w:tcW w:w="4600" w:type="dxa"/>
            <w:vAlign w:val="bottom"/>
          </w:tcPr>
          <w:p>
            <w:pPr>
              <w:spacing w:after="0"/>
              <w:rPr>
                <w:sz w:val="24"/>
                <w:szCs w:val="24"/>
                <w:color w:val="auto"/>
              </w:rPr>
            </w:pPr>
          </w:p>
        </w:tc>
      </w:tr>
      <w:tr>
        <w:trPr>
          <w:trHeight w:val="190"/>
        </w:trPr>
        <w:tc>
          <w:tcPr>
            <w:tcW w:w="3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0" w:type="dxa"/>
            <w:vAlign w:val="bottom"/>
            <w:gridSpan w:val="3"/>
          </w:tcPr>
          <w:p>
            <w:pPr>
              <w:jc w:val="center"/>
              <w:ind w:right="339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266"/>
        </w:trPr>
        <w:tc>
          <w:tcPr>
            <w:tcW w:w="3140" w:type="dxa"/>
            <w:vAlign w:val="bottom"/>
            <w:tcBorders>
              <w:bottom w:val="single" w:sz="8" w:color="auto"/>
            </w:tcBorders>
          </w:tcPr>
          <w:p>
            <w:pPr>
              <w:spacing w:after="0"/>
              <w:rPr>
                <w:sz w:val="23"/>
                <w:szCs w:val="23"/>
                <w:color w:val="auto"/>
              </w:rPr>
            </w:pPr>
          </w:p>
        </w:tc>
        <w:tc>
          <w:tcPr>
            <w:tcW w:w="7900" w:type="dxa"/>
            <w:vAlign w:val="bottom"/>
            <w:tcBorders>
              <w:bottom w:val="single" w:sz="8" w:color="auto"/>
            </w:tcBorders>
            <w:gridSpan w:val="4"/>
          </w:tcPr>
          <w:p>
            <w:pPr>
              <w:jc w:val="center"/>
              <w:ind w:right="3096"/>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223"/>
        </w:trPr>
        <w:tc>
          <w:tcPr>
            <w:tcW w:w="3140" w:type="dxa"/>
            <w:vAlign w:val="bottom"/>
            <w:tcBorders>
              <w:left w:val="single" w:sz="8" w:color="auto"/>
              <w:bottom w:val="single" w:sz="8" w:color="auto"/>
            </w:tcBorders>
          </w:tcPr>
          <w:p>
            <w:pPr>
              <w:jc w:val="center"/>
              <w:ind w:left="164"/>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0" w:type="dxa"/>
            <w:vAlign w:val="bottom"/>
            <w:tcBorders>
              <w:bottom w:val="single" w:sz="8" w:color="auto"/>
              <w:right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700" w:type="dxa"/>
            <w:vAlign w:val="bottom"/>
            <w:tcBorders>
              <w:bottom w:val="single" w:sz="8" w:color="auto"/>
            </w:tcBorders>
          </w:tcPr>
          <w:p>
            <w:pPr>
              <w:spacing w:after="0"/>
              <w:rPr>
                <w:sz w:val="19"/>
                <w:szCs w:val="19"/>
                <w:color w:val="auto"/>
              </w:rPr>
            </w:pPr>
          </w:p>
        </w:tc>
        <w:tc>
          <w:tcPr>
            <w:tcW w:w="4600" w:type="dxa"/>
            <w:vAlign w:val="bottom"/>
            <w:tcBorders>
              <w:bottom w:val="single" w:sz="8" w:color="auto"/>
              <w:right w:val="single" w:sz="8" w:color="auto"/>
            </w:tcBorders>
          </w:tcPr>
          <w:p>
            <w:pPr>
              <w:jc w:val="center"/>
              <w:ind w:right="656"/>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3140" w:type="dxa"/>
            <w:vAlign w:val="bottom"/>
            <w:tcBorders>
              <w:left w:val="single" w:sz="8" w:color="auto"/>
              <w:bottom w:val="single" w:sz="8" w:color="auto"/>
            </w:tcBorders>
          </w:tcPr>
          <w:p>
            <w:pPr>
              <w:jc w:val="center"/>
              <w:ind w:left="164"/>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300" w:type="dxa"/>
            <w:vAlign w:val="bottom"/>
            <w:tcBorders>
              <w:bottom w:val="single" w:sz="8" w:color="auto"/>
              <w:right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NKTR</w:t>
            </w:r>
          </w:p>
        </w:tc>
        <w:tc>
          <w:tcPr>
            <w:tcW w:w="700" w:type="dxa"/>
            <w:vAlign w:val="bottom"/>
            <w:tcBorders>
              <w:bottom w:val="single" w:sz="8" w:color="auto"/>
            </w:tcBorders>
          </w:tcPr>
          <w:p>
            <w:pPr>
              <w:spacing w:after="0"/>
              <w:rPr>
                <w:sz w:val="19"/>
                <w:szCs w:val="19"/>
                <w:color w:val="auto"/>
              </w:rPr>
            </w:pPr>
          </w:p>
        </w:tc>
        <w:tc>
          <w:tcPr>
            <w:tcW w:w="4600" w:type="dxa"/>
            <w:vAlign w:val="bottom"/>
            <w:tcBorders>
              <w:bottom w:val="single" w:sz="8" w:color="auto"/>
              <w:right w:val="single" w:sz="8" w:color="auto"/>
            </w:tcBorders>
          </w:tcPr>
          <w:p>
            <w:pPr>
              <w:jc w:val="center"/>
              <w:ind w:right="656"/>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19" w:lineRule="exact"/>
        <w:rPr>
          <w:sz w:val="24"/>
          <w:szCs w:val="24"/>
          <w:color w:val="auto"/>
        </w:rPr>
      </w:pPr>
    </w:p>
    <w:p>
      <w:pPr>
        <w:ind w:right="160" w:firstLine="972"/>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ind w:firstLine="972"/>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firstLine="972"/>
        <w:spacing w:after="0" w:line="24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97"/>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80" w:type="dxa"/>
            <w:vAlign w:val="bottom"/>
          </w:tcPr>
          <w:p>
            <w:pPr>
              <w:ind w:left="1540"/>
              <w:spacing w:after="0" w:line="201" w:lineRule="exact"/>
              <w:rPr>
                <w:sz w:val="20"/>
                <w:szCs w:val="20"/>
                <w:color w:val="auto"/>
              </w:rPr>
            </w:pPr>
            <w:r>
              <w:rPr>
                <w:rFonts w:ascii="MS PGothic" w:cs="MS PGothic" w:eastAsia="MS PGothic" w:hAnsi="MS PGothic"/>
                <w:sz w:val="20"/>
                <w:szCs w:val="20"/>
                <w:color w:val="auto"/>
              </w:rPr>
              <w:t>☒</w:t>
            </w:r>
          </w:p>
        </w:tc>
        <w:tc>
          <w:tcPr>
            <w:tcW w:w="37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44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31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80" w:type="dxa"/>
            <w:vAlign w:val="bottom"/>
          </w:tcPr>
          <w:p>
            <w:pPr>
              <w:ind w:left="1540"/>
              <w:spacing w:after="0" w:line="201" w:lineRule="exact"/>
              <w:rPr>
                <w:sz w:val="20"/>
                <w:szCs w:val="20"/>
                <w:color w:val="auto"/>
              </w:rPr>
            </w:pPr>
            <w:r>
              <w:rPr>
                <w:rFonts w:ascii="MS PGothic" w:cs="MS PGothic" w:eastAsia="MS PGothic" w:hAnsi="MS PGothic"/>
                <w:sz w:val="20"/>
                <w:szCs w:val="20"/>
                <w:color w:val="auto"/>
              </w:rPr>
              <w:t>☐</w:t>
            </w:r>
          </w:p>
        </w:tc>
        <w:tc>
          <w:tcPr>
            <w:tcW w:w="37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44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311"/>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080" w:type="dxa"/>
            <w:vAlign w:val="bottom"/>
          </w:tcPr>
          <w:p>
            <w:pPr>
              <w:ind w:left="1540"/>
              <w:spacing w:after="0" w:line="201" w:lineRule="exact"/>
              <w:rPr>
                <w:sz w:val="20"/>
                <w:szCs w:val="20"/>
                <w:color w:val="auto"/>
              </w:rPr>
            </w:pPr>
            <w:r>
              <w:rPr>
                <w:rFonts w:ascii="MS PGothic" w:cs="MS PGothic" w:eastAsia="MS PGothic" w:hAnsi="MS PGothic"/>
                <w:sz w:val="20"/>
                <w:szCs w:val="20"/>
                <w:color w:val="auto"/>
              </w:rPr>
              <w:t>☐</w:t>
            </w:r>
          </w:p>
        </w:tc>
        <w:tc>
          <w:tcPr>
            <w:tcW w:w="37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50" w:lineRule="exact"/>
        <w:rPr>
          <w:sz w:val="24"/>
          <w:szCs w:val="24"/>
          <w:color w:val="auto"/>
        </w:rPr>
      </w:pPr>
    </w:p>
    <w:p>
      <w:pPr>
        <w:jc w:val="both"/>
        <w:ind w:right="140" w:firstLine="972"/>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jc w:val="both"/>
        <w:ind w:left="980" w:right="920"/>
        <w:spacing w:after="0" w:line="21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outstanding shares of the registrant’s Common Stock, $0.0001 par value, was 187,954,482 on October 27,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80" w:type="dxa"/>
            <w:vAlign w:val="bottom"/>
            <w:gridSpan w:val="11"/>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w w:val="99"/>
              </w:rPr>
              <w:t>NEKTAR THERAPEUTICS</w:t>
            </w: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0" w:type="dxa"/>
            <w:vAlign w:val="bottom"/>
            <w:gridSpan w:val="7"/>
          </w:tcPr>
          <w:p>
            <w:pPr>
              <w:jc w:val="center"/>
              <w:ind w:right="41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0" w:type="dxa"/>
            <w:vAlign w:val="bottom"/>
            <w:gridSpan w:val="21"/>
          </w:tcPr>
          <w:p>
            <w:pPr>
              <w:ind w:left="140"/>
              <w:spacing w:after="0"/>
              <w:rPr>
                <w:sz w:val="20"/>
                <w:szCs w:val="20"/>
                <w:color w:val="auto"/>
              </w:rPr>
            </w:pPr>
            <w:r>
              <w:rPr>
                <w:rFonts w:ascii="Times New Roman" w:cs="Times New Roman" w:eastAsia="Times New Roman" w:hAnsi="Times New Roman"/>
                <w:sz w:val="18"/>
                <w:szCs w:val="18"/>
                <w:color w:val="0000FF"/>
              </w:rPr>
              <w:t>Summary of Risks</w:t>
            </w:r>
          </w:p>
        </w:tc>
        <w:tc>
          <w:tcPr>
            <w:tcW w:w="0" w:type="dxa"/>
            <w:vAlign w:val="bottom"/>
          </w:tcPr>
          <w:p>
            <w:pPr>
              <w:spacing w:after="0"/>
              <w:rPr>
                <w:sz w:val="1"/>
                <w:szCs w:val="1"/>
                <w:color w:val="auto"/>
              </w:rPr>
            </w:pPr>
          </w:p>
        </w:tc>
      </w:tr>
      <w:tr>
        <w:trPr>
          <w:trHeight w:val="466"/>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40" w:type="dxa"/>
            <w:vAlign w:val="bottom"/>
            <w:gridSpan w:val="12"/>
          </w:tcPr>
          <w:p>
            <w:pPr>
              <w:jc w:val="center"/>
              <w:ind w:right="2960"/>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20" w:type="dxa"/>
            <w:vAlign w:val="bottom"/>
          </w:tcPr>
          <w:p>
            <w:pPr>
              <w:spacing w:after="0"/>
              <w:rPr>
                <w:sz w:val="19"/>
                <w:szCs w:val="19"/>
                <w:color w:val="auto"/>
              </w:rPr>
            </w:pPr>
          </w:p>
        </w:tc>
        <w:tc>
          <w:tcPr>
            <w:tcW w:w="44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Financial Statements — Unaudited:</w:t>
            </w:r>
          </w:p>
        </w:tc>
        <w:tc>
          <w:tcPr>
            <w:tcW w:w="170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2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 September 30, 2022 and December 31, 2021</w:t>
            </w:r>
          </w:p>
        </w:tc>
        <w:tc>
          <w:tcPr>
            <w:tcW w:w="280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20" w:type="dxa"/>
            <w:vAlign w:val="bottom"/>
            <w:tcBorders>
              <w:bottom w:val="single" w:sz="8" w:color="0000FF"/>
            </w:tcBorders>
            <w:gridSpan w:val="18"/>
            <w:vMerge w:val="continue"/>
          </w:tcPr>
          <w:p>
            <w:pPr>
              <w:spacing w:after="0"/>
              <w:rPr>
                <w:sz w:val="18"/>
                <w:szCs w:val="18"/>
                <w:color w:val="auto"/>
              </w:rPr>
            </w:pPr>
          </w:p>
        </w:tc>
        <w:tc>
          <w:tcPr>
            <w:tcW w:w="280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5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nine months ended September 30, 2022 and 2021</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 for the three and nine months ended September 30, 2022 and 2021</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and nine months ended September 30, 2022 and 2021</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nine months ended September 30, 2022 and 2021</w:t>
            </w:r>
          </w:p>
        </w:tc>
        <w:tc>
          <w:tcPr>
            <w:tcW w:w="13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22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20" w:type="dxa"/>
            <w:vAlign w:val="bottom"/>
          </w:tcPr>
          <w:p>
            <w:pPr>
              <w:spacing w:after="0"/>
              <w:rPr>
                <w:sz w:val="21"/>
                <w:szCs w:val="21"/>
                <w:color w:val="auto"/>
              </w:rPr>
            </w:pPr>
          </w:p>
        </w:tc>
        <w:tc>
          <w:tcPr>
            <w:tcW w:w="64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20" w:type="dxa"/>
            <w:vAlign w:val="bottom"/>
          </w:tcPr>
          <w:p>
            <w:pPr>
              <w:spacing w:after="0"/>
              <w:rPr>
                <w:sz w:val="18"/>
                <w:szCs w:val="18"/>
                <w:color w:val="auto"/>
              </w:rPr>
            </w:pP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1740" w:type="dxa"/>
            <w:vAlign w:val="bottom"/>
            <w:gridSpan w:val="2"/>
          </w:tcPr>
          <w:p>
            <w:pPr>
              <w:spacing w:after="0"/>
              <w:rPr>
                <w:sz w:val="18"/>
                <w:szCs w:val="18"/>
                <w:color w:val="auto"/>
              </w:rPr>
            </w:pPr>
          </w:p>
        </w:tc>
        <w:tc>
          <w:tcPr>
            <w:tcW w:w="310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20" w:type="dxa"/>
            <w:vAlign w:val="bottom"/>
          </w:tcPr>
          <w:p>
            <w:pPr>
              <w:spacing w:after="0"/>
              <w:rPr>
                <w:sz w:val="18"/>
                <w:szCs w:val="18"/>
                <w:color w:val="auto"/>
              </w:rPr>
            </w:pPr>
          </w:p>
        </w:tc>
        <w:tc>
          <w:tcPr>
            <w:tcW w:w="17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5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1760" w:type="dxa"/>
            <w:vAlign w:val="bottom"/>
            <w:gridSpan w:val="3"/>
          </w:tcPr>
          <w:p>
            <w:pPr>
              <w:spacing w:after="0"/>
              <w:rPr>
                <w:sz w:val="18"/>
                <w:szCs w:val="18"/>
                <w:color w:val="auto"/>
              </w:rPr>
            </w:pPr>
          </w:p>
        </w:tc>
        <w:tc>
          <w:tcPr>
            <w:tcW w:w="310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40" w:type="dxa"/>
            <w:vAlign w:val="bottom"/>
            <w:gridSpan w:val="12"/>
            <w:vMerge w:val="restart"/>
          </w:tcPr>
          <w:p>
            <w:pPr>
              <w:jc w:val="center"/>
              <w:ind w:right="2940"/>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0" w:type="dxa"/>
            <w:vAlign w:val="bottom"/>
          </w:tcPr>
          <w:p>
            <w:pPr>
              <w:spacing w:after="0" w:line="20" w:lineRule="exact"/>
              <w:rPr>
                <w:sz w:val="1"/>
                <w:szCs w:val="1"/>
                <w:color w:val="auto"/>
              </w:rPr>
            </w:pPr>
          </w:p>
        </w:tc>
      </w:tr>
      <w:tr>
        <w:trPr>
          <w:trHeight w:val="35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40" w:type="dxa"/>
            <w:vAlign w:val="bottom"/>
            <w:gridSpan w:val="1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20" w:type="dxa"/>
            <w:vAlign w:val="bottom"/>
          </w:tcPr>
          <w:p>
            <w:pPr>
              <w:spacing w:after="0"/>
              <w:rPr>
                <w:sz w:val="19"/>
                <w:szCs w:val="19"/>
                <w:color w:val="auto"/>
              </w:rPr>
            </w:pPr>
          </w:p>
        </w:tc>
        <w:tc>
          <w:tcPr>
            <w:tcW w:w="1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980" w:type="dxa"/>
            <w:vAlign w:val="bottom"/>
            <w:gridSpan w:val="3"/>
          </w:tcPr>
          <w:p>
            <w:pPr>
              <w:spacing w:after="0"/>
              <w:rPr>
                <w:sz w:val="19"/>
                <w:szCs w:val="19"/>
                <w:color w:val="auto"/>
              </w:rPr>
            </w:pPr>
          </w:p>
        </w:tc>
        <w:tc>
          <w:tcPr>
            <w:tcW w:w="1020" w:type="dxa"/>
            <w:vAlign w:val="bottom"/>
            <w:gridSpan w:val="2"/>
          </w:tcPr>
          <w:p>
            <w:pPr>
              <w:spacing w:after="0"/>
              <w:rPr>
                <w:sz w:val="19"/>
                <w:szCs w:val="19"/>
                <w:color w:val="auto"/>
              </w:rPr>
            </w:pPr>
          </w:p>
        </w:tc>
        <w:tc>
          <w:tcPr>
            <w:tcW w:w="1020" w:type="dxa"/>
            <w:vAlign w:val="bottom"/>
            <w:tcBorders>
              <w:top w:val="single" w:sz="8" w:color="0000FF"/>
              <w:bottom w:val="single" w:sz="8" w:color="0000FF"/>
            </w:tcBorders>
            <w:gridSpan w:val="2"/>
          </w:tcPr>
          <w:p>
            <w:pPr>
              <w:spacing w:after="0"/>
              <w:rPr>
                <w:sz w:val="19"/>
                <w:szCs w:val="19"/>
                <w:color w:val="auto"/>
              </w:rPr>
            </w:pPr>
          </w:p>
        </w:tc>
        <w:tc>
          <w:tcPr>
            <w:tcW w:w="1760" w:type="dxa"/>
            <w:vAlign w:val="bottom"/>
            <w:tcBorders>
              <w:top w:val="single" w:sz="8" w:color="0000FF"/>
              <w:bottom w:val="single" w:sz="8" w:color="0000FF"/>
            </w:tcBorders>
            <w:gridSpan w:val="3"/>
          </w:tcPr>
          <w:p>
            <w:pPr>
              <w:spacing w:after="0"/>
              <w:rPr>
                <w:sz w:val="19"/>
                <w:szCs w:val="19"/>
                <w:color w:val="auto"/>
              </w:rPr>
            </w:pPr>
          </w:p>
        </w:tc>
        <w:tc>
          <w:tcPr>
            <w:tcW w:w="310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8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Item 1A.</w:t>
            </w:r>
          </w:p>
        </w:tc>
        <w:tc>
          <w:tcPr>
            <w:tcW w:w="92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8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2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3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86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0000FF"/>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8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20" w:type="dxa"/>
            <w:vAlign w:val="bottom"/>
          </w:tcPr>
          <w:p>
            <w:pPr>
              <w:spacing w:after="0"/>
              <w:rPr>
                <w:sz w:val="18"/>
                <w:szCs w:val="18"/>
                <w:color w:val="auto"/>
              </w:rPr>
            </w:pPr>
          </w:p>
        </w:tc>
        <w:tc>
          <w:tcPr>
            <w:tcW w:w="23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690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0000FF"/>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690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20" w:type="dxa"/>
            <w:vAlign w:val="bottom"/>
          </w:tcPr>
          <w:p>
            <w:pPr>
              <w:spacing w:after="0"/>
              <w:rPr>
                <w:sz w:val="18"/>
                <w:szCs w:val="18"/>
                <w:color w:val="auto"/>
              </w:rPr>
            </w:pPr>
          </w:p>
        </w:tc>
        <w:tc>
          <w:tcPr>
            <w:tcW w:w="17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744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0000FF"/>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90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5.</w:t>
            </w:r>
          </w:p>
        </w:tc>
        <w:tc>
          <w:tcPr>
            <w:tcW w:w="20" w:type="dxa"/>
            <w:vAlign w:val="bottom"/>
          </w:tcPr>
          <w:p>
            <w:pPr>
              <w:spacing w:after="0"/>
              <w:rPr>
                <w:sz w:val="18"/>
                <w:szCs w:val="18"/>
                <w:color w:val="auto"/>
              </w:rPr>
            </w:pPr>
          </w:p>
        </w:tc>
        <w:tc>
          <w:tcPr>
            <w:tcW w:w="13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900" w:type="dxa"/>
            <w:vAlign w:val="bottom"/>
            <w:gridSpan w:val="17"/>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0000FF"/>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90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20" w:type="dxa"/>
            <w:vAlign w:val="bottom"/>
          </w:tcPr>
          <w:p>
            <w:pPr>
              <w:spacing w:after="0"/>
              <w:rPr>
                <w:sz w:val="18"/>
                <w:szCs w:val="18"/>
                <w:color w:val="auto"/>
              </w:rPr>
            </w:pP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3"/>
              </w:rPr>
              <w:t>Exhibits</w:t>
            </w:r>
          </w:p>
        </w:tc>
        <w:tc>
          <w:tcPr>
            <w:tcW w:w="8620" w:type="dxa"/>
            <w:vAlign w:val="bottom"/>
            <w:gridSpan w:val="19"/>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0000FF"/>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2">
            <w:col w:w="10320" w:space="720"/>
            <w:col w:w="180"/>
          </w:cols>
          <w:pgMar w:left="320" w:top="12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firstLine="567"/>
        <w:spacing w:after="0" w:line="252"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 27A of the Securities Act of 1933, as amended, and Section 21E of the Securities Exchange Act of 1934, as amended. All statements other than statements of historical fact are “forward-looking statements” for purposes of this Quarterly Report on Form 10-Q, including any projections of market size, earnings, revenue, milestone payments, royalties, sales or other financial items, any statements of the plans and objectives of management for future operations (including, but not limited to, preclinical development, clinical trials and manufacturing), any statements related to our financial condition and future working capital needs, any statements related to our strategic reorganization and cost restructuring plans, any statements regarding potential future financing alternatives, any statements concerning proposed drug candidates and our future research and development plans, any statements regarding the timing for the start or end of clinical trials or submission of regulatory approval filings, any statements regarding future economic conditions or performance, any statements regarding the initiation, formation, or success of our collaboration arrangements, commercialization activities and product sales levels by our collaboration partners and future payments that may come due to us under these arrangements, any statements regarding our plans and objectives to initiate or continue clinical trials, any statements related to potential, anticipated, or ongoing litigation and any statements of assumptions underlying any of the foregoing. In some cases, forward-looking statements can be identified by the use of terminology such as “believe,” “may,” “will,” “expects,” “plans,” “anticipates,” “estimates,” “potential” or “continue,” or the negative thereof or other comparable terminology. Although we believe that the expectations reflected in the forward-looking statements contained herein are reasonable, such expectations or any of the forward-looking statements may prove to be incorrect and actual results could differ materially from those projected or assumed in the forward-looking statements. Our future financial condition and results of operations, as well as any forward-looking statements, are subject to inherent risks and uncertainties, including, but not limited to, the risk factors set forth in Part I, Item 1A “Risk Factors” below and for the reasons described elsewhere in this Quarterly Report on Form 10-Q. All forward-looking statements and reasons why results may differ included in this report are made as of the date hereof and we do not intend to update any forward-looking statements except as required by law or applicable regulations. Except where the context otherwise requires, in this Quarterly Report on Form 10-Q, the “Company,” “Nektar,” “we,” “us,” and “our” refer to Nektar Therapeutics, a Delaware corporation, and, where appropriate, its subsidiaries.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75" w:lineRule="exact"/>
        <w:rPr>
          <w:sz w:val="20"/>
          <w:szCs w:val="20"/>
          <w:color w:val="auto"/>
        </w:rPr>
      </w:pPr>
    </w:p>
    <w:p>
      <w:pPr>
        <w:ind w:right="80" w:firstLine="567"/>
        <w:spacing w:after="0" w:line="266" w:lineRule="auto"/>
        <w:rPr>
          <w:sz w:val="20"/>
          <w:szCs w:val="20"/>
          <w:color w:val="auto"/>
        </w:rPr>
      </w:pPr>
      <w:r>
        <w:rPr>
          <w:rFonts w:ascii="Times New Roman" w:cs="Times New Roman" w:eastAsia="Times New Roman" w:hAnsi="Times New Roman"/>
          <w:sz w:val="18"/>
          <w:szCs w:val="18"/>
          <w:color w:val="auto"/>
        </w:rPr>
        <w:t>The Nektar brand and product names, including but not limited to Nektar</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contained in this document are trademarks and registered trademarks of Nektar Therapeutics in the United States (U.S.) and certain other countries. This document also contains references to trademarks and service marks of other companies that are the property of their respective owners.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Summary of Risks</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are providing the following cautionary discussion of risk factors, uncertainties and assumptions that we believe are relevant to our business. These are factors that, individually or in the aggregate, we think could cause our actual results to differ materially from expected and historical results and our forward-looking statements. We note these factors for investors as permitted by Section 21E of the Exchange Act and Section 27A of the Securities Act. Investors in Nektar Therapeutics should carefully consider the risks described below before making an investment decision. You should understand that it is not possible to predict or identify all such factors. Consequently, you should not consider this section to be a complete discussion of all potential risks or uncertainties that may substantially impact our business. Moreover, we operate in a competitive and rapidly changing environment. New factors emerge from time to time, and it is not possible to predict the impact of all of these factors on our business, financial condition or results of operations.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Risks to our business are more fully described below in Item 1A in this Form 10-Q, which risks include, among others:</w:t>
      </w:r>
    </w:p>
    <w:p>
      <w:pPr>
        <w:spacing w:after="0" w:line="11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Risks Related to our Research and Development Efforts</w:t>
      </w:r>
      <w:r>
        <w:rPr>
          <w:rFonts w:ascii="Times New Roman" w:cs="Times New Roman" w:eastAsia="Times New Roman" w:hAnsi="Times New Roman"/>
          <w:sz w:val="18"/>
          <w:szCs w:val="18"/>
          <w:b w:val="1"/>
          <w:bCs w:val="1"/>
          <w:color w:val="auto"/>
        </w:rPr>
        <w:t>:</w:t>
      </w:r>
    </w:p>
    <w:p>
      <w:pPr>
        <w:spacing w:after="0" w:line="161" w:lineRule="exact"/>
        <w:rPr>
          <w:rFonts w:ascii="Times New Roman" w:cs="Times New Roman" w:eastAsia="Times New Roman" w:hAnsi="Times New Roman"/>
          <w:sz w:val="18"/>
          <w:szCs w:val="18"/>
          <w:b w:val="1"/>
          <w:bCs w:val="1"/>
          <w:color w:val="auto"/>
        </w:rPr>
      </w:pPr>
    </w:p>
    <w:p>
      <w:pPr>
        <w:ind w:left="1300" w:right="100" w:hanging="320"/>
        <w:spacing w:after="0" w:line="234" w:lineRule="auto"/>
        <w:tabs>
          <w:tab w:leader="none" w:pos="1296" w:val="left"/>
        </w:tabs>
        <w:numPr>
          <w:ilvl w:val="1"/>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clinical drug development is a lengthy and uncertain process and we may not be able to generate and develop successful drug candidates for commercial use;</w:t>
      </w:r>
    </w:p>
    <w:p>
      <w:pPr>
        <w:spacing w:after="0" w:line="91" w:lineRule="exact"/>
        <w:rPr>
          <w:rFonts w:ascii="Arial" w:cs="Arial" w:eastAsia="Arial" w:hAnsi="Arial"/>
          <w:sz w:val="22"/>
          <w:szCs w:val="22"/>
          <w:color w:val="auto"/>
        </w:rPr>
      </w:pPr>
    </w:p>
    <w:p>
      <w:pPr>
        <w:ind w:left="1300" w:right="20" w:hanging="320"/>
        <w:spacing w:after="0" w:line="282"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success of rezpegaldesleukin (previously referred to as NKTR-358) and NKTR-255 and our business will be significantly harmed if either rezpegaldesleukin or NKTR-255 do not continue to advance in clinical studies;</w:t>
      </w:r>
    </w:p>
    <w:p>
      <w:pPr>
        <w:spacing w:after="0" w:line="53" w:lineRule="exact"/>
        <w:rPr>
          <w:rFonts w:ascii="Times New Roman" w:cs="Times New Roman" w:eastAsia="Times New Roman" w:hAnsi="Times New Roman"/>
          <w:sz w:val="18"/>
          <w:szCs w:val="18"/>
          <w:color w:val="auto"/>
        </w:rPr>
      </w:pPr>
    </w:p>
    <w:p>
      <w:pPr>
        <w:ind w:left="1300" w:right="280" w:hanging="320"/>
        <w:spacing w:after="0" w:line="282"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outcomes from competitive oncology and immunology therapy clinical trials, and the discovery and development of new potential oncology and immunology therapies could have a material and adverse impact on the value of our pipeline;</w:t>
      </w:r>
    </w:p>
    <w:p>
      <w:pPr>
        <w:spacing w:after="0" w:line="53" w:lineRule="exact"/>
        <w:rPr>
          <w:rFonts w:ascii="Times New Roman" w:cs="Times New Roman" w:eastAsia="Times New Roman" w:hAnsi="Times New Roman"/>
          <w:sz w:val="18"/>
          <w:szCs w:val="18"/>
          <w:color w:val="auto"/>
        </w:rPr>
      </w:pPr>
    </w:p>
    <w:p>
      <w:pPr>
        <w:ind w:left="1300" w:right="100" w:hanging="320"/>
        <w:spacing w:after="0" w:line="282"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competition for our polymer conjugate chemistry technology platforms and our products and drug candidates could make our technologies, drug products or drug candidates obsolete or uncompetitive;</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and interim data from our clinical studies are subject to audit and verification procedures that could result in material changes in the final data and may change as more patient data become available; and</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for any of our drug candidates could be delayed for a variety of reasons.</w:t>
      </w:r>
    </w:p>
    <w:p>
      <w:pPr>
        <w:spacing w:after="0" w:line="1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Risks Related to our Financial Condition and Capital Requirements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implementing a strategic reorganization plan focused on prioritizing key research and development efforts, as well as a cost restructuring plan, and our business will be significantly harmed if either of these plans is unsuccessful;</w:t>
      </w:r>
    </w:p>
    <w:p>
      <w:pPr>
        <w:spacing w:after="0" w:line="53" w:lineRule="exact"/>
        <w:rPr>
          <w:rFonts w:ascii="Times New Roman" w:cs="Times New Roman" w:eastAsia="Times New Roman" w:hAnsi="Times New Roman"/>
          <w:sz w:val="18"/>
          <w:szCs w:val="18"/>
          <w:color w:val="auto"/>
        </w:rPr>
      </w:pPr>
    </w:p>
    <w:p>
      <w:pPr>
        <w:ind w:left="1300" w:right="600" w:hanging="320"/>
        <w:spacing w:after="0" w:line="282"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future capital requirements and there is a risk we may not have access to sufficient capital to meet our current business plan;</w:t>
      </w:r>
    </w:p>
    <w:p>
      <w:pPr>
        <w:spacing w:after="0" w:line="53" w:lineRule="exact"/>
        <w:rPr>
          <w:rFonts w:ascii="Times New Roman" w:cs="Times New Roman" w:eastAsia="Times New Roman" w:hAnsi="Times New Roman"/>
          <w:sz w:val="18"/>
          <w:szCs w:val="18"/>
          <w:color w:val="auto"/>
        </w:rPr>
      </w:pPr>
    </w:p>
    <w:p>
      <w:pPr>
        <w:ind w:left="1300" w:right="60" w:hanging="320"/>
        <w:spacing w:after="0" w:line="266"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is exclusively derived from our collaboration agreements. If we are unable to establish and maintain collaboration partnerships with attractive commercial terms, including significant development milestones and research and development cost-sharing, our business, results of operations and financial condition could suffer; and</w:t>
      </w:r>
    </w:p>
    <w:p>
      <w:pPr>
        <w:spacing w:after="0" w:line="6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to incur substantial net losses from operations and may not achieve or sustain profitability in the future.</w:t>
      </w:r>
    </w:p>
    <w:p>
      <w:pPr>
        <w:spacing w:after="0" w:line="1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Risks Related to our Collaboration Partners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color w:val="auto"/>
        </w:rPr>
      </w:pPr>
    </w:p>
    <w:p>
      <w:pPr>
        <w:ind w:left="1300" w:right="160" w:hanging="320"/>
        <w:spacing w:after="0" w:line="261"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Eli Lilly and Company, our collaboration partner for rezpegaldesleukin, our lead drug candidate, to initiate, properly conduct and prioritize clinical trials for rezpegaldesleukin and to perform important additional development and commercialization activities, and our business will be significantly harmed if our partner’s actions deprioritize or otherwise harm the prospects of rezpegaldesleukin;</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Risks Related to the COVID-19 Pandemic</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those of our collaboration partners could be adversely affected by the effects of health epidemics, including the ongoing COVID-19 pandemic. While the COVID-19 pandemic has not had a material adverse effect on our current operations, the ongoing challenges associated with the pandemic, including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300" w:right="480"/>
        <w:spacing w:after="0" w:line="282" w:lineRule="auto"/>
        <w:rPr>
          <w:sz w:val="20"/>
          <w:szCs w:val="20"/>
          <w:color w:val="auto"/>
        </w:rPr>
      </w:pPr>
      <w:r>
        <w:rPr>
          <w:rFonts w:ascii="Times New Roman" w:cs="Times New Roman" w:eastAsia="Times New Roman" w:hAnsi="Times New Roman"/>
          <w:sz w:val="18"/>
          <w:szCs w:val="18"/>
          <w:color w:val="auto"/>
        </w:rPr>
        <w:t>shortages in raw materials and equipment and other supply chain disruptions, could have a material negative impact on our and our collaboration partners' businesses and the clinical trial timelines for our drug candidates.</w:t>
      </w:r>
    </w:p>
    <w:p>
      <w:pPr>
        <w:spacing w:after="0" w:line="50"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Risks Related to Supply and Manufacturing</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1300" w:right="400" w:hanging="320"/>
        <w:spacing w:after="0" w:line="282" w:lineRule="auto"/>
        <w:tabs>
          <w:tab w:leader="none" w:pos="129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contract manufacturers are not able to manufacture drugs or drug substances in sufficient quantities that meet applicable quality standards, our business, financial condition and results of operations could be harmed; and</w:t>
      </w:r>
    </w:p>
    <w:p>
      <w:pPr>
        <w:spacing w:after="0" w:line="53"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29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purchase some of the starting material for drugs and drug candidates from a single source or a limited number of suppliers, and the partial or complete loss of one of these suppliers could cause delays, loss of revenue and contract liability.</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Risks Related to Intellectual Property, Litigation and Regulatory Concerns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not obtain regulatory approval for our drug candidates on a timely basis, or at all;</w:t>
      </w:r>
    </w:p>
    <w:p>
      <w:pPr>
        <w:spacing w:after="0" w:line="117" w:lineRule="exact"/>
        <w:rPr>
          <w:rFonts w:ascii="Times New Roman" w:cs="Times New Roman" w:eastAsia="Times New Roman" w:hAnsi="Times New Roman"/>
          <w:sz w:val="18"/>
          <w:szCs w:val="18"/>
          <w:color w:val="auto"/>
        </w:rPr>
      </w:pPr>
    </w:p>
    <w:p>
      <w:pPr>
        <w:jc w:val="both"/>
        <w:ind w:left="1300" w:hanging="320"/>
        <w:spacing w:after="0" w:line="312" w:lineRule="auto"/>
        <w:tabs>
          <w:tab w:leader="none" w:pos="1296"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patents may not issue from our patent applications for our drug candidates, patents that have issued may not be enforceable, or additional intellectual property licenses from third parties may be required, which may not be available to us on commercially reasonable terms; and</w:t>
      </w:r>
    </w:p>
    <w:p>
      <w:pPr>
        <w:spacing w:after="0" w:line="31" w:lineRule="exact"/>
        <w:rPr>
          <w:rFonts w:ascii="Times New Roman" w:cs="Times New Roman" w:eastAsia="Times New Roman" w:hAnsi="Times New Roman"/>
          <w:sz w:val="17"/>
          <w:szCs w:val="17"/>
          <w:color w:val="auto"/>
        </w:rPr>
      </w:pPr>
    </w:p>
    <w:p>
      <w:pPr>
        <w:ind w:left="1300" w:right="420" w:hanging="320"/>
        <w:spacing w:after="0" w:line="282" w:lineRule="auto"/>
        <w:tabs>
          <w:tab w:leader="none" w:pos="129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we are involved in legal proceedings and may incur substantial litigation costs and liabilities that could adversely affect our business, financial condition and results of operations.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above-mentioned risks, our business is subject to a number of additional risks faced by businesses generally.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Condensed Consolidated Financial Statements—Unaudited: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8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8000" w:type="dxa"/>
            <w:vAlign w:val="bottom"/>
            <w:tcBorders>
              <w:bottom w:val="single" w:sz="8" w:color="CCEEFF"/>
            </w:tcBorders>
            <w:shd w:val="clear" w:color="auto" w:fill="CCEEFF"/>
          </w:tcPr>
          <w:p>
            <w:pPr>
              <w:ind w:left="36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105,758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25,218</w:t>
            </w:r>
          </w:p>
        </w:tc>
      </w:tr>
      <w:tr>
        <w:trPr>
          <w:trHeight w:val="270"/>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708,737</w:t>
            </w:r>
          </w:p>
        </w:tc>
      </w:tr>
      <w:tr>
        <w:trPr>
          <w:trHeight w:val="270"/>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22,492</w:t>
            </w:r>
          </w:p>
        </w:tc>
      </w:tr>
      <w:tr>
        <w:trPr>
          <w:trHeight w:val="270"/>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15,801</w:t>
            </w:r>
          </w:p>
        </w:tc>
      </w:tr>
      <w:tr>
        <w:trPr>
          <w:trHeight w:val="270"/>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23,333</w:t>
            </w:r>
          </w:p>
        </w:tc>
      </w:tr>
      <w:tr>
        <w:trPr>
          <w:trHeight w:val="25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795,581</w:t>
            </w:r>
          </w:p>
        </w:tc>
      </w:tr>
      <w:tr>
        <w:trPr>
          <w:trHeight w:val="27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4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64,828</w:t>
            </w:r>
          </w:p>
        </w:tc>
      </w:tr>
      <w:tr>
        <w:trPr>
          <w:trHeight w:val="27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60,510</w:t>
            </w:r>
          </w:p>
        </w:tc>
      </w:tr>
      <w:tr>
        <w:trPr>
          <w:trHeight w:val="27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117,025</w:t>
            </w:r>
          </w:p>
        </w:tc>
      </w:tr>
      <w:tr>
        <w:trPr>
          <w:trHeight w:val="27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76,501</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781,006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1,117,189</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7"/>
        </w:trPr>
        <w:tc>
          <w:tcPr>
            <w:tcW w:w="8000" w:type="dxa"/>
            <w:vAlign w:val="bottom"/>
            <w:tcBorders>
              <w:bottom w:val="single" w:sz="8" w:color="CCEEFF"/>
            </w:tcBorders>
            <w:shd w:val="clear" w:color="auto" w:fill="CCEEFF"/>
          </w:tcPr>
          <w:p>
            <w:pPr>
              <w:ind w:left="20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r>
      <w:tr>
        <w:trPr>
          <w:trHeight w:val="24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9,747</w:t>
            </w:r>
          </w:p>
        </w:tc>
      </w:tr>
      <w:tr>
        <w:trPr>
          <w:trHeight w:val="270"/>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compensation</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15,735</w:t>
            </w:r>
          </w:p>
        </w:tc>
      </w:tr>
      <w:tr>
        <w:trPr>
          <w:trHeight w:val="270"/>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clinical trial expenses</w:t>
            </w: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26,809</w:t>
            </w:r>
          </w:p>
        </w:tc>
      </w:tr>
      <w:tr>
        <w:trPr>
          <w:trHeight w:val="270"/>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accrued expenses</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15,468</w:t>
            </w:r>
          </w:p>
        </w:tc>
      </w:tr>
      <w:tr>
        <w:trPr>
          <w:trHeight w:val="270"/>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17,441</w:t>
            </w:r>
          </w:p>
        </w:tc>
      </w:tr>
      <w:tr>
        <w:trPr>
          <w:trHeight w:val="25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85,200</w:t>
            </w:r>
          </w:p>
        </w:tc>
      </w:tr>
      <w:tr>
        <w:trPr>
          <w:trHeight w:val="27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116,145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125,736</w:t>
            </w: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derivative liability</w:t>
            </w:r>
          </w:p>
        </w:tc>
        <w:tc>
          <w:tcPr>
            <w:tcW w:w="1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27,726</w:t>
            </w:r>
          </w:p>
        </w:tc>
      </w:tr>
      <w:tr>
        <w:trPr>
          <w:trHeight w:val="27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related to the sales of future royalties, net</w:t>
            </w: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165,595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195,427</w:t>
            </w:r>
          </w:p>
        </w:tc>
      </w:tr>
      <w:tr>
        <w:trPr>
          <w:trHeight w:val="230"/>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w:t>
            </w:r>
          </w:p>
        </w:tc>
      </w:tr>
      <w:tr>
        <w:trPr>
          <w:trHeight w:val="25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368,783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437,681</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7"/>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25"/>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Preferred stock, $0.0001 par value; 10,000 shares authorized; no shares designated or outstanding at</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61"/>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September 30, 2022 or December 31, 2021, respectively</w:t>
            </w:r>
          </w:p>
        </w:tc>
        <w:tc>
          <w:tcPr>
            <w:tcW w:w="140" w:type="dxa"/>
            <w:vAlign w:val="bottom"/>
          </w:tcPr>
          <w:p>
            <w:pPr>
              <w:spacing w:after="0"/>
              <w:rPr>
                <w:sz w:val="22"/>
                <w:szCs w:val="22"/>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Common stock, $0.0001 par value; 300,000 shares authorized; 187,954 shares and 185,468 shares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61"/>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outstanding at September 30, 2022 and December 31, 2021, respectively</w:t>
            </w: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0"/>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3,561,878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3,516,641</w:t>
            </w:r>
          </w:p>
        </w:tc>
      </w:tr>
      <w:tr>
        <w:trPr>
          <w:trHeight w:val="230"/>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r>
      <w:tr>
        <w:trPr>
          <w:trHeight w:val="270"/>
        </w:trPr>
        <w:tc>
          <w:tcPr>
            <w:tcW w:w="80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(3,141,505)</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(2,832,995)</w:t>
            </w:r>
          </w:p>
        </w:tc>
      </w:tr>
      <w:tr>
        <w:trPr>
          <w:trHeight w:val="25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412,223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679,508</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781,006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1,117,189</w:t>
            </w:r>
          </w:p>
        </w:tc>
      </w:tr>
      <w:tr>
        <w:trPr>
          <w:trHeight w:val="21"/>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 w:lineRule="exact"/>
        <w:rPr>
          <w:sz w:val="20"/>
          <w:szCs w:val="20"/>
          <w:color w:val="auto"/>
        </w:rPr>
      </w:pPr>
    </w:p>
    <w:tbl>
      <w:tblPr>
        <w:tblLayout w:type="fixed"/>
        <w:tblInd w:w="5180" w:type="dxa"/>
        <w:tblCellMar>
          <w:top w:w="0" w:type="dxa"/>
          <w:left w:w="0" w:type="dxa"/>
          <w:bottom w:w="0" w:type="dxa"/>
          <w:right w:w="0" w:type="dxa"/>
        </w:tblCellMar>
      </w:tblPr>
      <w:tr>
        <w:trPr>
          <w:trHeight w:val="161"/>
        </w:trPr>
        <w:tc>
          <w:tcPr>
            <w:tcW w:w="3080" w:type="dxa"/>
            <w:vAlign w:val="bottom"/>
            <w:gridSpan w:val="3"/>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60" w:type="dxa"/>
            <w:vAlign w:val="bottom"/>
          </w:tcPr>
          <w:p>
            <w:pPr>
              <w:spacing w:after="0"/>
              <w:rPr>
                <w:sz w:val="13"/>
                <w:szCs w:val="13"/>
                <w:color w:val="auto"/>
              </w:rPr>
            </w:pPr>
          </w:p>
        </w:tc>
        <w:tc>
          <w:tcPr>
            <w:tcW w:w="2120" w:type="dxa"/>
            <w:vAlign w:val="bottom"/>
          </w:tcPr>
          <w:p>
            <w:pPr>
              <w:jc w:val="center"/>
              <w:ind w:right="78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3080" w:type="dxa"/>
            <w:vAlign w:val="bottom"/>
            <w:gridSpan w:val="3"/>
            <w:vMerge w:val="continue"/>
          </w:tcPr>
          <w:p>
            <w:pPr>
              <w:spacing w:after="0"/>
              <w:rPr>
                <w:sz w:val="16"/>
                <w:szCs w:val="16"/>
                <w:color w:val="auto"/>
              </w:rPr>
            </w:pPr>
          </w:p>
        </w:tc>
        <w:tc>
          <w:tcPr>
            <w:tcW w:w="860" w:type="dxa"/>
            <w:vAlign w:val="bottom"/>
          </w:tcPr>
          <w:p>
            <w:pPr>
              <w:spacing w:after="0"/>
              <w:rPr>
                <w:sz w:val="16"/>
                <w:szCs w:val="16"/>
                <w:color w:val="auto"/>
              </w:rPr>
            </w:pPr>
          </w:p>
        </w:tc>
        <w:tc>
          <w:tcPr>
            <w:tcW w:w="2120" w:type="dxa"/>
            <w:vAlign w:val="bottom"/>
          </w:tcPr>
          <w:p>
            <w:pPr>
              <w:jc w:val="center"/>
              <w:ind w:right="8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9"/>
        </w:trPr>
        <w:tc>
          <w:tcPr>
            <w:tcW w:w="1480" w:type="dxa"/>
            <w:vAlign w:val="bottom"/>
            <w:tcBorders>
              <w:top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00" w:type="dxa"/>
            <w:vAlign w:val="bottom"/>
            <w:tcBorders>
              <w:top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120" w:type="dxa"/>
            <w:vAlign w:val="bottom"/>
            <w:tcBorders>
              <w:top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w:t>
      </w:r>
    </w:p>
    <w:p>
      <w:pPr>
        <w:spacing w:after="0" w:line="63" w:lineRule="exact"/>
        <w:rPr>
          <w:sz w:val="20"/>
          <w:szCs w:val="20"/>
          <w:color w:val="auto"/>
        </w:rPr>
      </w:pPr>
    </w:p>
    <w:p>
      <w:pPr>
        <w:ind w:left="220"/>
        <w:spacing w:after="0"/>
        <w:tabs>
          <w:tab w:leader="none" w:pos="5180" w:val="left"/>
        </w:tabs>
        <w:rPr>
          <w:sz w:val="20"/>
          <w:szCs w:val="20"/>
          <w:color w:val="auto"/>
        </w:rPr>
      </w:pPr>
      <w:r>
        <w:rPr>
          <w:rFonts w:ascii="Times New Roman" w:cs="Times New Roman" w:eastAsia="Times New Roman" w:hAnsi="Times New Roman"/>
          <w:sz w:val="18"/>
          <w:szCs w:val="18"/>
          <w:color w:val="auto"/>
        </w:rPr>
        <w:t>Product sales</w:t>
      </w:r>
      <w:r>
        <w:rPr>
          <w:sz w:val="20"/>
          <w:szCs w:val="20"/>
          <w:color w:val="auto"/>
        </w:rPr>
        <w:tab/>
      </w:r>
      <w:r>
        <w:rPr>
          <w:rFonts w:ascii="Times New Roman" w:cs="Times New Roman" w:eastAsia="Times New Roman" w:hAnsi="Times New Roman"/>
          <w:sz w:val="16"/>
          <w:szCs w:val="16"/>
          <w:color w:val="auto"/>
        </w:rPr>
        <w:t>$</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Non-cash royalty revenue related to the sales of future royalties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License, collaboration and other revenue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revenue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Cost of goods sold</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50" w:lineRule="exact"/>
        <w:rPr>
          <w:sz w:val="20"/>
          <w:szCs w:val="20"/>
          <w:color w:val="auto"/>
        </w:rPr>
      </w:pPr>
    </w:p>
    <w:p>
      <w:pPr>
        <w:ind w:left="20" w:right="360" w:firstLine="202"/>
        <w:spacing w:after="0" w:line="297" w:lineRule="auto"/>
        <w:rPr>
          <w:sz w:val="20"/>
          <w:szCs w:val="20"/>
          <w:color w:val="auto"/>
        </w:rPr>
      </w:pPr>
      <w:r>
        <w:rPr>
          <w:rFonts w:ascii="Times New Roman" w:cs="Times New Roman" w:eastAsia="Times New Roman" w:hAnsi="Times New Roman"/>
          <w:sz w:val="18"/>
          <w:szCs w:val="18"/>
          <w:color w:val="auto"/>
        </w:rPr>
        <w:t>Restructuring, impairment and other costs of terminated program Total operating costs and expenses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p>
      <w:pPr>
        <w:spacing w:after="0" w:line="50" w:lineRule="exact"/>
        <w:rPr>
          <w:sz w:val="20"/>
          <w:szCs w:val="20"/>
          <w:color w:val="auto"/>
        </w:rPr>
      </w:pPr>
    </w:p>
    <w:p>
      <w:pPr>
        <w:ind w:left="220" w:right="180"/>
        <w:spacing w:after="0" w:line="295" w:lineRule="auto"/>
        <w:rPr>
          <w:sz w:val="20"/>
          <w:szCs w:val="20"/>
          <w:color w:val="auto"/>
        </w:rPr>
      </w:pPr>
      <w:r>
        <w:rPr>
          <w:rFonts w:ascii="Times New Roman" w:cs="Times New Roman" w:eastAsia="Times New Roman" w:hAnsi="Times New Roman"/>
          <w:sz w:val="18"/>
          <w:szCs w:val="18"/>
          <w:color w:val="auto"/>
        </w:rPr>
        <w:t>Change in fair value of development derivative liability Non-cash interest expense on liabilities related to the sales of future royalties</w:t>
      </w: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Interest income and other income (expense), net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non-operating income (expense), net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4,969</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15,969</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17,835</w:t>
            </w:r>
          </w:p>
        </w:tc>
      </w:tr>
      <w:tr>
        <w:trPr>
          <w:trHeight w:val="27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18,342</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58,667</w:t>
            </w:r>
          </w:p>
        </w:tc>
      </w:tr>
      <w:tr>
        <w:trPr>
          <w:trHeight w:val="27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314</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5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23,625</w:t>
            </w: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24,921</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70,032</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76,898</w:t>
            </w:r>
          </w:p>
        </w:tc>
      </w:tr>
      <w:tr>
        <w:trPr>
          <w:trHeight w:val="52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4,972</w:t>
            </w: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18,734</w:t>
            </w:r>
          </w:p>
        </w:tc>
      </w:tr>
      <w:tr>
        <w:trPr>
          <w:trHeight w:val="27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33,590</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103,738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183,583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300,655</w:t>
            </w:r>
          </w:p>
        </w:tc>
      </w:tr>
      <w:tr>
        <w:trPr>
          <w:trHeight w:val="265"/>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22,534</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70,394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90,702</w:t>
            </w:r>
          </w:p>
        </w:tc>
      </w:tr>
      <w:tr>
        <w:trPr>
          <w:trHeight w:val="234"/>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16,830</w:t>
            </w:r>
          </w:p>
        </w:tc>
        <w:tc>
          <w:tcPr>
            <w:tcW w:w="4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124,350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77,926</w:t>
            </w:r>
          </w:p>
        </w:tc>
        <w:tc>
          <w:tcPr>
            <w:tcW w:w="4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138,517</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393,729</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410,091</w:t>
            </w:r>
          </w:p>
        </w:tc>
      </w:tr>
      <w:tr>
        <w:trPr>
          <w:trHeight w:val="250"/>
        </w:trPr>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7"/>
              </w:rPr>
              <w:t>(54,301)</w:t>
            </w: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(113,596)</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(323,697)</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(333,193)</w:t>
            </w:r>
          </w:p>
        </w:tc>
      </w:tr>
      <w:tr>
        <w:trPr>
          <w:trHeight w:val="48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w:t>
            </w:r>
          </w:p>
        </w:tc>
      </w:tr>
      <w:tr>
        <w:trPr>
          <w:trHeight w:val="486"/>
        </w:trPr>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(6,953)</w:t>
            </w: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(39,186)</w:t>
            </w:r>
          </w:p>
        </w:tc>
      </w:tr>
      <w:tr>
        <w:trPr>
          <w:trHeight w:val="27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2,050</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w:t>
            </w:r>
          </w:p>
        </w:tc>
      </w:tr>
      <w:tr>
        <w:trPr>
          <w:trHeight w:val="250"/>
        </w:trPr>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(4,903)</w:t>
            </w: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(15,998)</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15,258</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(44,438)</w:t>
            </w:r>
          </w:p>
        </w:tc>
      </w:tr>
      <w:tr>
        <w:trPr>
          <w:trHeight w:val="250"/>
        </w:trPr>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7"/>
              </w:rPr>
              <w:t>(59,204)</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(377,631)</w:t>
            </w:r>
          </w:p>
        </w:tc>
      </w:tr>
      <w:tr>
        <w:trPr>
          <w:trHeight w:val="270"/>
        </w:trPr>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(155)</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-2999740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-2313940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-1971040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-993775</wp:posOffset>
            </wp:positionV>
            <wp:extent cx="71323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-170815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-513715</wp:posOffset>
            </wp:positionV>
            <wp:extent cx="71323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-1310640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-1653540</wp:posOffset>
            </wp:positionV>
            <wp:extent cx="7132320"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-2656840</wp:posOffset>
            </wp:positionV>
            <wp:extent cx="7132320"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280" w:space="680"/>
            <w:col w:w="52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(59,049)</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(129,706)</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(308,510)</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(378,192)</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5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2"/>
        </w:trPr>
        <w:tc>
          <w:tcPr>
            <w:tcW w:w="518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Weighted average shares outstanding used in computing basic and</w:t>
            </w:r>
          </w:p>
        </w:tc>
        <w:tc>
          <w:tcPr>
            <w:tcW w:w="4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59"/>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4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187,641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184,110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186,767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182,736</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4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vMerge w:val="continue"/>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8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(308,510)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(378,192)</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unrealized gain (loss) on available-for-sale investments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foreign currency translation gain (loss)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(59,027)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(129,869)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(312,522)</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(379,460)</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320" w:type="dxa"/>
            <w:vAlign w:val="bottom"/>
          </w:tcPr>
          <w:p>
            <w:pPr>
              <w:spacing w:after="0"/>
              <w:rPr>
                <w:sz w:val="12"/>
                <w:szCs w:val="12"/>
                <w:color w:val="auto"/>
              </w:rPr>
            </w:pPr>
          </w:p>
        </w:tc>
        <w:tc>
          <w:tcPr>
            <w:tcW w:w="1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2"/>
                <w:szCs w:val="12"/>
                <w:color w:val="auto"/>
              </w:rPr>
            </w:pPr>
          </w:p>
        </w:tc>
        <w:tc>
          <w:tcPr>
            <w:tcW w:w="10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Par</w:t>
            </w: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Excess of</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3320" w:type="dxa"/>
            <w:vAlign w:val="bottom"/>
          </w:tcPr>
          <w:p>
            <w:pPr>
              <w:spacing w:after="0"/>
              <w:rPr>
                <w:sz w:val="17"/>
                <w:szCs w:val="17"/>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6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10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8"/>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180,091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3,388,730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(2,309,158)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1,077,295</w:t>
            </w:r>
          </w:p>
        </w:tc>
        <w:tc>
          <w:tcPr>
            <w:tcW w:w="0" w:type="dxa"/>
            <w:vAlign w:val="bottom"/>
          </w:tcPr>
          <w:p>
            <w:pPr>
              <w:spacing w:after="0"/>
              <w:rPr>
                <w:sz w:val="1"/>
                <w:szCs w:val="1"/>
                <w:color w:val="auto"/>
              </w:rPr>
            </w:pPr>
          </w:p>
        </w:tc>
      </w:tr>
      <w:tr>
        <w:trPr>
          <w:trHeight w:val="176"/>
        </w:trPr>
        <w:tc>
          <w:tcPr>
            <w:tcW w:w="3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issued under equity compensation</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17,106</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23,898</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(123,793)</w:t>
            </w:r>
          </w:p>
        </w:tc>
        <w:tc>
          <w:tcPr>
            <w:tcW w:w="0" w:type="dxa"/>
            <w:vAlign w:val="bottom"/>
          </w:tcPr>
          <w:p>
            <w:pPr>
              <w:spacing w:after="0"/>
              <w:rPr>
                <w:sz w:val="1"/>
                <w:szCs w:val="1"/>
                <w:color w:val="auto"/>
              </w:rPr>
            </w:pPr>
          </w:p>
        </w:tc>
      </w:tr>
      <w:tr>
        <w:trPr>
          <w:trHeight w:val="223"/>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2021</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182,290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3,429,734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(2,432,125)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994,506</w:t>
            </w:r>
          </w:p>
        </w:tc>
        <w:tc>
          <w:tcPr>
            <w:tcW w:w="0" w:type="dxa"/>
            <w:vAlign w:val="bottom"/>
          </w:tcPr>
          <w:p>
            <w:pPr>
              <w:spacing w:after="0"/>
              <w:rPr>
                <w:sz w:val="1"/>
                <w:szCs w:val="1"/>
                <w:color w:val="auto"/>
              </w:rPr>
            </w:pPr>
          </w:p>
        </w:tc>
      </w:tr>
      <w:tr>
        <w:trPr>
          <w:trHeight w:val="176"/>
        </w:trPr>
        <w:tc>
          <w:tcPr>
            <w:tcW w:w="3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issued under equity compensation</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12,553</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23,714</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(125,798)</w:t>
            </w:r>
          </w:p>
        </w:tc>
        <w:tc>
          <w:tcPr>
            <w:tcW w:w="0" w:type="dxa"/>
            <w:vAlign w:val="bottom"/>
          </w:tcPr>
          <w:p>
            <w:pPr>
              <w:spacing w:after="0"/>
              <w:rPr>
                <w:sz w:val="1"/>
                <w:szCs w:val="1"/>
                <w:color w:val="auto"/>
              </w:rPr>
            </w:pPr>
          </w:p>
        </w:tc>
      </w:tr>
      <w:tr>
        <w:trPr>
          <w:trHeight w:val="223"/>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2021</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183,773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3,466,001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(2,557,644)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904,975</w:t>
            </w:r>
          </w:p>
        </w:tc>
        <w:tc>
          <w:tcPr>
            <w:tcW w:w="0" w:type="dxa"/>
            <w:vAlign w:val="bottom"/>
          </w:tcPr>
          <w:p>
            <w:pPr>
              <w:spacing w:after="0"/>
              <w:rPr>
                <w:sz w:val="1"/>
                <w:szCs w:val="1"/>
                <w:color w:val="auto"/>
              </w:rPr>
            </w:pPr>
          </w:p>
        </w:tc>
      </w:tr>
      <w:tr>
        <w:trPr>
          <w:trHeight w:val="176"/>
        </w:trPr>
        <w:tc>
          <w:tcPr>
            <w:tcW w:w="3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issued under equity compensation</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24,657</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(129,869)</w:t>
            </w:r>
          </w:p>
        </w:tc>
        <w:tc>
          <w:tcPr>
            <w:tcW w:w="0" w:type="dxa"/>
            <w:vAlign w:val="bottom"/>
          </w:tcPr>
          <w:p>
            <w:pPr>
              <w:spacing w:after="0"/>
              <w:rPr>
                <w:sz w:val="1"/>
                <w:szCs w:val="1"/>
                <w:color w:val="auto"/>
              </w:rPr>
            </w:pPr>
          </w:p>
        </w:tc>
      </w:tr>
      <w:tr>
        <w:trPr>
          <w:trHeight w:val="24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2021</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3,492,435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(2,687,350)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801,540</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3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12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2"/>
                <w:szCs w:val="12"/>
                <w:color w:val="auto"/>
              </w:rPr>
            </w:pPr>
          </w:p>
        </w:tc>
        <w:tc>
          <w:tcPr>
            <w:tcW w:w="10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Par</w:t>
            </w: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Excess of</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6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10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9"/>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185,468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3,516,641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(2,832,995)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679,508</w:t>
            </w:r>
          </w:p>
        </w:tc>
        <w:tc>
          <w:tcPr>
            <w:tcW w:w="0" w:type="dxa"/>
            <w:vAlign w:val="bottom"/>
          </w:tcPr>
          <w:p>
            <w:pPr>
              <w:spacing w:after="0"/>
              <w:rPr>
                <w:sz w:val="1"/>
                <w:szCs w:val="1"/>
                <w:color w:val="auto"/>
              </w:rPr>
            </w:pPr>
          </w:p>
        </w:tc>
      </w:tr>
      <w:tr>
        <w:trPr>
          <w:trHeight w:val="175"/>
        </w:trPr>
        <w:tc>
          <w:tcPr>
            <w:tcW w:w="3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issued under equity compensation</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20,961</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(92,768)</w:t>
            </w:r>
          </w:p>
        </w:tc>
        <w:tc>
          <w:tcPr>
            <w:tcW w:w="0" w:type="dxa"/>
            <w:vAlign w:val="bottom"/>
          </w:tcPr>
          <w:p>
            <w:pPr>
              <w:spacing w:after="0"/>
              <w:rPr>
                <w:sz w:val="1"/>
                <w:szCs w:val="1"/>
                <w:color w:val="auto"/>
              </w:rPr>
            </w:pPr>
          </w:p>
        </w:tc>
      </w:tr>
      <w:tr>
        <w:trPr>
          <w:trHeight w:val="223"/>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186,274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3,537,790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(2,923,388)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607,889</w:t>
            </w:r>
          </w:p>
        </w:tc>
        <w:tc>
          <w:tcPr>
            <w:tcW w:w="0" w:type="dxa"/>
            <w:vAlign w:val="bottom"/>
          </w:tcPr>
          <w:p>
            <w:pPr>
              <w:spacing w:after="0"/>
              <w:rPr>
                <w:sz w:val="1"/>
                <w:szCs w:val="1"/>
                <w:color w:val="auto"/>
              </w:rPr>
            </w:pPr>
          </w:p>
        </w:tc>
      </w:tr>
      <w:tr>
        <w:trPr>
          <w:trHeight w:val="175"/>
        </w:trPr>
        <w:tc>
          <w:tcPr>
            <w:tcW w:w="3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issued under equity compensation</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11,103</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(160,727)</w:t>
            </w:r>
          </w:p>
        </w:tc>
        <w:tc>
          <w:tcPr>
            <w:tcW w:w="0" w:type="dxa"/>
            <w:vAlign w:val="bottom"/>
          </w:tcPr>
          <w:p>
            <w:pPr>
              <w:spacing w:after="0"/>
              <w:rPr>
                <w:sz w:val="1"/>
                <w:szCs w:val="1"/>
                <w:color w:val="auto"/>
              </w:rPr>
            </w:pPr>
          </w:p>
        </w:tc>
      </w:tr>
      <w:tr>
        <w:trPr>
          <w:trHeight w:val="223"/>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187,405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3,549,360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(3,082,456)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458,732</w:t>
            </w:r>
          </w:p>
        </w:tc>
        <w:tc>
          <w:tcPr>
            <w:tcW w:w="0" w:type="dxa"/>
            <w:vAlign w:val="bottom"/>
          </w:tcPr>
          <w:p>
            <w:pPr>
              <w:spacing w:after="0"/>
              <w:rPr>
                <w:sz w:val="1"/>
                <w:szCs w:val="1"/>
                <w:color w:val="auto"/>
              </w:rPr>
            </w:pPr>
          </w:p>
        </w:tc>
      </w:tr>
      <w:tr>
        <w:trPr>
          <w:trHeight w:val="175"/>
        </w:trPr>
        <w:tc>
          <w:tcPr>
            <w:tcW w:w="3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issued under equity compensation</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12,518</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(59,027)</w:t>
            </w:r>
          </w:p>
        </w:tc>
        <w:tc>
          <w:tcPr>
            <w:tcW w:w="0" w:type="dxa"/>
            <w:vAlign w:val="bottom"/>
          </w:tcPr>
          <w:p>
            <w:pPr>
              <w:spacing w:after="0"/>
              <w:rPr>
                <w:sz w:val="1"/>
                <w:szCs w:val="1"/>
                <w:color w:val="auto"/>
              </w:rPr>
            </w:pPr>
          </w:p>
        </w:tc>
      </w:tr>
      <w:tr>
        <w:trPr>
          <w:trHeight w:val="24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3,561,878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(3,141,505)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412,223</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3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(308,510)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(378,192)</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royalty revenue related to the sales of future royalties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(58,667)</w:t>
            </w:r>
          </w:p>
        </w:tc>
      </w:tr>
      <w:tr>
        <w:trPr>
          <w:trHeight w:val="23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interest expense on liabilities related to the sales of future royalties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39,186</w:t>
            </w:r>
          </w:p>
        </w:tc>
      </w:tr>
      <w:tr>
        <w:trPr>
          <w:trHeight w:val="229"/>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development derivative liability</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w:t>
            </w:r>
          </w:p>
        </w:tc>
      </w:tr>
      <w:tr>
        <w:trPr>
          <w:trHeight w:val="229"/>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research and development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11,497</w:t>
            </w:r>
          </w:p>
        </w:tc>
      </w:tr>
      <w:tr>
        <w:trPr>
          <w:trHeight w:val="230"/>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72,269</w:t>
            </w:r>
          </w:p>
        </w:tc>
      </w:tr>
      <w:tr>
        <w:trPr>
          <w:trHeight w:val="229"/>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10,710</w:t>
            </w:r>
          </w:p>
        </w:tc>
      </w:tr>
      <w:tr>
        <w:trPr>
          <w:trHeight w:val="230"/>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of right-of-use assets and property, plant and equipment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premiums (discounts), net and other non-cash transactions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5,677</w:t>
            </w: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9,895</w:t>
            </w:r>
          </w:p>
        </w:tc>
      </w:tr>
      <w:tr>
        <w:trPr>
          <w:trHeight w:val="229"/>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r>
      <w:tr>
        <w:trPr>
          <w:trHeight w:val="230"/>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r>
      <w:tr>
        <w:trPr>
          <w:trHeight w:val="229"/>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r>
      <w:tr>
        <w:trPr>
          <w:trHeight w:val="230"/>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compensation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18,350</w:t>
            </w:r>
          </w:p>
        </w:tc>
      </w:tr>
      <w:tr>
        <w:trPr>
          <w:trHeight w:val="229"/>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accrued expenses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w:t>
            </w:r>
          </w:p>
        </w:tc>
      </w:tr>
      <w:tr>
        <w:trPr>
          <w:trHeight w:val="223"/>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(246,304)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(261,122)</w:t>
            </w:r>
          </w:p>
        </w:tc>
      </w:tr>
      <w:tr>
        <w:trPr>
          <w:trHeight w:val="21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(816,049)</w:t>
            </w:r>
          </w:p>
        </w:tc>
      </w:tr>
      <w:tr>
        <w:trPr>
          <w:trHeight w:val="229"/>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Maturities of investments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902,687</w:t>
            </w:r>
          </w:p>
        </w:tc>
      </w:tr>
      <w:tr>
        <w:trPr>
          <w:trHeight w:val="230"/>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of investments</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w:t>
            </w:r>
          </w:p>
        </w:tc>
      </w:tr>
      <w:tr>
        <w:trPr>
          <w:trHeight w:val="23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(9,093)</w:t>
            </w:r>
          </w:p>
        </w:tc>
      </w:tr>
      <w:tr>
        <w:trPr>
          <w:trHeight w:val="223"/>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325,821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82,580</w:t>
            </w:r>
          </w:p>
        </w:tc>
      </w:tr>
      <w:tr>
        <w:trPr>
          <w:trHeight w:val="21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shares issued under equity compensation plans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31,436</w:t>
            </w:r>
          </w:p>
        </w:tc>
      </w:tr>
      <w:tr>
        <w:trPr>
          <w:trHeight w:val="229"/>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receipts from development derivative liability</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r>
      <w:tr>
        <w:trPr>
          <w:trHeight w:val="223"/>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33,686</w:t>
            </w: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rates on cash and cash equivalents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(144,938)</w:t>
            </w: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198,955</w:t>
            </w:r>
          </w:p>
        </w:tc>
      </w:tr>
      <w:tr>
        <w:trPr>
          <w:trHeight w:val="22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105,758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54,017</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8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 recognized in exchange for lease liabilities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75" w:lineRule="exact"/>
        <w:rPr>
          <w:sz w:val="20"/>
          <w:szCs w:val="20"/>
          <w:color w:val="auto"/>
        </w:rPr>
      </w:pPr>
    </w:p>
    <w:p>
      <w:pPr>
        <w:ind w:firstLine="567"/>
        <w:spacing w:after="0" w:line="261" w:lineRule="auto"/>
        <w:rPr>
          <w:sz w:val="20"/>
          <w:szCs w:val="20"/>
          <w:color w:val="auto"/>
        </w:rPr>
      </w:pPr>
      <w:r>
        <w:rPr>
          <w:rFonts w:ascii="Times New Roman" w:cs="Times New Roman" w:eastAsia="Times New Roman" w:hAnsi="Times New Roman"/>
          <w:sz w:val="18"/>
          <w:szCs w:val="18"/>
          <w:color w:val="auto"/>
        </w:rPr>
        <w:t>We are a research-based biopharmaceutical company headquartered in San Francisco, California and incorporated in Delaware. We (individually or with a partner) are developing a pipeline of drug candidates that utilize our advanced polymer conjugate technology platforms, which are designed to enable the development of new molecular entities that target known mechanisms of action. Our research and development pipeline of new investigational drugs includes investigational treatments in oncology and immunology.</w:t>
      </w:r>
    </w:p>
    <w:p>
      <w:pPr>
        <w:spacing w:after="0" w:line="72" w:lineRule="exact"/>
        <w:rPr>
          <w:sz w:val="20"/>
          <w:szCs w:val="20"/>
          <w:color w:val="auto"/>
        </w:rPr>
      </w:pPr>
    </w:p>
    <w:p>
      <w:pPr>
        <w:ind w:right="120" w:firstLine="567"/>
        <w:spacing w:after="0" w:line="261" w:lineRule="auto"/>
        <w:rPr>
          <w:sz w:val="20"/>
          <w:szCs w:val="20"/>
          <w:color w:val="auto"/>
        </w:rPr>
      </w:pPr>
      <w:r>
        <w:rPr>
          <w:rFonts w:ascii="Times New Roman" w:cs="Times New Roman" w:eastAsia="Times New Roman" w:hAnsi="Times New Roman"/>
          <w:sz w:val="18"/>
          <w:szCs w:val="18"/>
          <w:color w:val="auto"/>
        </w:rPr>
        <w:t>Our research and development activities have required significant ongoing investment to date and are expected to continue to require significant investment. As a result, we expect to continue to incur substantial losses and negative cash flows from operations in the future. We have financed our operations primarily through cash generated from licensing, collaboration and manufacturing agreements and financing transactions. As of September 30, 2022, we had approximately $546.4 million in cash and investments in marketable securities.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Bempegaldesleukin Program and the Restructuring Plan</w:t>
      </w:r>
    </w:p>
    <w:p>
      <w:pPr>
        <w:spacing w:after="0" w:line="172" w:lineRule="exact"/>
        <w:rPr>
          <w:sz w:val="20"/>
          <w:szCs w:val="20"/>
          <w:color w:val="auto"/>
        </w:rPr>
      </w:pPr>
    </w:p>
    <w:p>
      <w:pPr>
        <w:ind w:right="40" w:firstLine="567"/>
        <w:spacing w:after="0" w:line="239" w:lineRule="auto"/>
        <w:rPr>
          <w:sz w:val="20"/>
          <w:szCs w:val="20"/>
          <w:color w:val="auto"/>
        </w:rPr>
      </w:pPr>
      <w:r>
        <w:rPr>
          <w:rFonts w:ascii="Times New Roman" w:cs="Times New Roman" w:eastAsia="Times New Roman" w:hAnsi="Times New Roman"/>
          <w:sz w:val="18"/>
          <w:szCs w:val="18"/>
          <w:color w:val="auto"/>
        </w:rPr>
        <w:t>In March and April 2022, we announced the unsuccessful results from our clinical trials studying bempegaldesleukin in combination with Opdivo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under our Strategic Collaboration Agreement with Bristol-Myers Squibb Company (BMS). Based on these results, we decided to discontinue all of our ongoing clinical trials of bempegaldesleukin in combination with checkpoint inhibitors and tyrosine kinase inhibitors. In April 2022, we also announced new strategic reorganization and cost restructuring plans (together, the Restructuring Plan) for the Company’s future:</w:t>
      </w:r>
    </w:p>
    <w:p>
      <w:pPr>
        <w:spacing w:after="0" w:line="90" w:lineRule="exact"/>
        <w:rPr>
          <w:sz w:val="20"/>
          <w:szCs w:val="20"/>
          <w:color w:val="auto"/>
        </w:rPr>
      </w:pPr>
    </w:p>
    <w:p>
      <w:pPr>
        <w:ind w:left="660" w:right="280" w:hanging="328"/>
        <w:spacing w:after="0" w:line="23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14, 2022, BMS and we announced that the registrational trial for bempegaldesleukin in combination with Opdivo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metastatic melanoma did not meet its primary endpoints and that BMS and we decided to discontinue the registrational trials in metastatic melanoma and adjuvant melanoma. See Note 7 for additional information on our BMS Collaboration Agreement.</w:t>
      </w:r>
    </w:p>
    <w:p>
      <w:pPr>
        <w:spacing w:after="0" w:line="88" w:lineRule="exact"/>
        <w:rPr>
          <w:rFonts w:ascii="Times New Roman" w:cs="Times New Roman" w:eastAsia="Times New Roman" w:hAnsi="Times New Roman"/>
          <w:sz w:val="18"/>
          <w:szCs w:val="18"/>
          <w:color w:val="auto"/>
        </w:rPr>
      </w:pPr>
    </w:p>
    <w:p>
      <w:pPr>
        <w:ind w:left="660" w:hanging="328"/>
        <w:spacing w:after="0" w:line="257" w:lineRule="auto"/>
        <w:tabs>
          <w:tab w:leader="none" w:pos="6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14, 2022, we announced that each of our registrational trials for bempegaldesleukin in combination with Opdivo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in renal cell carcinoma and in cisplatin-ineligible, locally advanced or metastatic urothelial cancer did not meet their respective primary endpoints. Due to these results, BMS and we decided to discontinue these studies and all other ongoing studies for bempegaldesleukin in combination with Opdivo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w:t>
      </w:r>
    </w:p>
    <w:p>
      <w:pPr>
        <w:spacing w:after="0" w:line="7" w:lineRule="exact"/>
        <w:rPr>
          <w:rFonts w:ascii="Times New Roman" w:cs="Times New Roman" w:eastAsia="Times New Roman" w:hAnsi="Times New Roman"/>
          <w:sz w:val="17"/>
          <w:szCs w:val="17"/>
          <w:color w:val="auto"/>
        </w:rPr>
      </w:pPr>
    </w:p>
    <w:p>
      <w:pPr>
        <w:ind w:left="660" w:right="40" w:hanging="328"/>
        <w:spacing w:after="0" w:line="23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14, 2022, we announced that, in consultation with SFJ Pharmaceuticals and based upon a recommendation from an independent Data Monitoring Committee, we decided to discontinue our Phase 2/3 study in bempegaldesleukin in combination with Keytruda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patients with metastatic or unresectable recurrent squamous cell cancer of the head and neck under our Co-Development Agreement with SFJ Pharmaceuticals. See Note 4 for additional information regarding our Co-Development Agreement with SFJ Pharmaceuticals.</w:t>
      </w:r>
    </w:p>
    <w:p>
      <w:pPr>
        <w:spacing w:after="0" w:line="86" w:lineRule="exact"/>
        <w:rPr>
          <w:rFonts w:ascii="Times New Roman" w:cs="Times New Roman" w:eastAsia="Times New Roman" w:hAnsi="Times New Roman"/>
          <w:sz w:val="18"/>
          <w:szCs w:val="18"/>
          <w:color w:val="auto"/>
        </w:rPr>
      </w:pPr>
    </w:p>
    <w:p>
      <w:pPr>
        <w:ind w:left="660" w:right="60" w:hanging="328"/>
        <w:spacing w:after="0" w:line="253" w:lineRule="auto"/>
        <w:tabs>
          <w:tab w:leader="none" w:pos="6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also announced on April 14, 2022, the discontinuation of our Phase 1/2 PROPEL study of bempegaldesleukin in combination with Keytruda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in locally advanced or metastatic solid tumors, including non-small cell lung cancer. With these announcements on April 14, 2022, subject to activities required for an orderly wind down of the studies, there will be no ongoing clinical development activities of bempegaldesleukin.</w:t>
      </w:r>
    </w:p>
    <w:p>
      <w:pPr>
        <w:spacing w:after="0" w:line="80" w:lineRule="exact"/>
        <w:rPr>
          <w:rFonts w:ascii="Times New Roman" w:cs="Times New Roman" w:eastAsia="Times New Roman" w:hAnsi="Times New Roman"/>
          <w:sz w:val="17"/>
          <w:szCs w:val="17"/>
          <w:color w:val="auto"/>
        </w:rPr>
      </w:pPr>
    </w:p>
    <w:p>
      <w:pPr>
        <w:ind w:left="660" w:right="1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25, 2022, we announced our Restructuring Plan, which was reviewed and approved by our Board of Directors on April 14, 2022. Pursuant to the Restructuring Plan, on April 26, 2022, our duly authorized officers implemented certain strategic, operational and organizational steps, including the prioritization of key Phase 2 development programs to advance our early stage research pipeline. In addition, we announced our plan to reduce our workforce by approximately 70% and to close our research facility in India.</w:t>
      </w:r>
    </w:p>
    <w:p>
      <w:pPr>
        <w:spacing w:after="0" w:line="72" w:lineRule="exact"/>
        <w:rPr>
          <w:sz w:val="20"/>
          <w:szCs w:val="20"/>
          <w:color w:val="auto"/>
        </w:rPr>
      </w:pPr>
    </w:p>
    <w:p>
      <w:pPr>
        <w:ind w:right="60" w:firstLine="567"/>
        <w:spacing w:after="0" w:line="282" w:lineRule="auto"/>
        <w:rPr>
          <w:sz w:val="20"/>
          <w:szCs w:val="20"/>
          <w:color w:val="auto"/>
        </w:rPr>
      </w:pPr>
      <w:r>
        <w:rPr>
          <w:rFonts w:ascii="Times New Roman" w:cs="Times New Roman" w:eastAsia="Times New Roman" w:hAnsi="Times New Roman"/>
          <w:sz w:val="18"/>
          <w:szCs w:val="18"/>
          <w:color w:val="auto"/>
        </w:rPr>
        <w:t>We have incurred and expect to incur significant costs resulting from these decisions and plans. See Note 8 for additional information on the effect on our Condensed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ind w:right="160" w:firstLine="567"/>
        <w:spacing w:after="0" w:line="282" w:lineRule="auto"/>
        <w:rPr>
          <w:sz w:val="20"/>
          <w:szCs w:val="20"/>
          <w:color w:val="auto"/>
        </w:rPr>
      </w:pPr>
      <w:r>
        <w:rPr>
          <w:rFonts w:ascii="Times New Roman" w:cs="Times New Roman" w:eastAsia="Times New Roman" w:hAnsi="Times New Roman"/>
          <w:sz w:val="18"/>
          <w:szCs w:val="18"/>
          <w:color w:val="auto"/>
        </w:rPr>
        <w:t>Our Condensed Consolidated Financial Statements include the financial position, results of operations and cash flows of Nektar Therapeutics and our wholly-owned subsidiaries. We have eliminated all intercompany accounts and transactions in consolidation.</w:t>
      </w:r>
    </w:p>
    <w:p>
      <w:pPr>
        <w:spacing w:after="0" w:line="54" w:lineRule="exact"/>
        <w:rPr>
          <w:sz w:val="20"/>
          <w:szCs w:val="20"/>
          <w:color w:val="auto"/>
        </w:rPr>
      </w:pPr>
    </w:p>
    <w:p>
      <w:pPr>
        <w:ind w:right="40" w:firstLine="567"/>
        <w:spacing w:after="0" w:line="261" w:lineRule="auto"/>
        <w:rPr>
          <w:sz w:val="20"/>
          <w:szCs w:val="20"/>
          <w:color w:val="auto"/>
        </w:rPr>
      </w:pPr>
      <w:r>
        <w:rPr>
          <w:rFonts w:ascii="Times New Roman" w:cs="Times New Roman" w:eastAsia="Times New Roman" w:hAnsi="Times New Roman"/>
          <w:sz w:val="18"/>
          <w:szCs w:val="18"/>
          <w:color w:val="auto"/>
        </w:rPr>
        <w:t>We prepared our Condensed Consolidated Financial Statements following the requirements of the Securities and Exchange Commission (SEC) for interim reporting. As permitted under those rules, we may condense or omit certain footnotes or other financial information that are normally required by U.S. generally accepted accounting principles (GAAP) for annual periods. In the opinion of management, these financial statements include all normal and recurring adjustments that we consider necessary for the fair presentation of our financial position and operating results.</w:t>
      </w:r>
    </w:p>
    <w:p>
      <w:pPr>
        <w:spacing w:after="0" w:line="72" w:lineRule="exact"/>
        <w:rPr>
          <w:sz w:val="20"/>
          <w:szCs w:val="20"/>
          <w:color w:val="auto"/>
        </w:rPr>
      </w:pPr>
    </w:p>
    <w:p>
      <w:pPr>
        <w:ind w:right="20" w:firstLine="567"/>
        <w:spacing w:after="0" w:line="258" w:lineRule="auto"/>
        <w:rPr>
          <w:sz w:val="20"/>
          <w:szCs w:val="20"/>
          <w:color w:val="auto"/>
        </w:rPr>
      </w:pPr>
      <w:r>
        <w:rPr>
          <w:rFonts w:ascii="Times New Roman" w:cs="Times New Roman" w:eastAsia="Times New Roman" w:hAnsi="Times New Roman"/>
          <w:sz w:val="18"/>
          <w:szCs w:val="18"/>
          <w:color w:val="auto"/>
        </w:rPr>
        <w:t>Our Condensed Consolidated Financial Statements are denominated in U.S. dollars. Accordingly, changes in exchange rates between the applicable foreign currency and the U.S. dollar will affect the translation of each foreign subsidiary’s financial results into U.S. dollars for purposes of reporting our consolidated financial results. We include translation gains and losses in accumulated other comprehensive loss in the stockholders’ equity section of our Condensed Consolidated Balance Sheets. To date, such cumulative currency translation adjustments have not been significant to our consolidated financial position.</w:t>
      </w:r>
    </w:p>
    <w:p>
      <w:pPr>
        <w:spacing w:after="0" w:line="75" w:lineRule="exact"/>
        <w:rPr>
          <w:sz w:val="20"/>
          <w:szCs w:val="20"/>
          <w:color w:val="auto"/>
        </w:rPr>
      </w:pPr>
    </w:p>
    <w:p>
      <w:pPr>
        <w:jc w:val="both"/>
        <w:ind w:right="60" w:firstLine="567"/>
        <w:spacing w:after="0" w:line="266" w:lineRule="auto"/>
        <w:rPr>
          <w:sz w:val="20"/>
          <w:szCs w:val="20"/>
          <w:color w:val="auto"/>
        </w:rPr>
      </w:pPr>
      <w:r>
        <w:rPr>
          <w:rFonts w:ascii="Times New Roman" w:cs="Times New Roman" w:eastAsia="Times New Roman" w:hAnsi="Times New Roman"/>
          <w:sz w:val="18"/>
          <w:szCs w:val="18"/>
          <w:color w:val="auto"/>
        </w:rPr>
        <w:t>Our comprehensive loss consists of our net loss plus our foreign currency translation gains and losses and unrealized gains and losses on available-for-sale securities. There were no significant reclassifications out of accumulated other comprehensive loss to the statements of operations during the three and nine months ended September 30, 2022 and 2021.</w:t>
      </w:r>
    </w:p>
    <w:p>
      <w:pPr>
        <w:spacing w:after="0" w:line="68" w:lineRule="exact"/>
        <w:rPr>
          <w:sz w:val="20"/>
          <w:szCs w:val="20"/>
          <w:color w:val="auto"/>
        </w:rPr>
      </w:pPr>
    </w:p>
    <w:p>
      <w:pPr>
        <w:ind w:right="280" w:firstLine="567"/>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unaudited. The Condensed Consolidated Balance Sheet data as of December 31, 2021 was derived from the audited consolidated financial statements which are included in our Annual Report on Form 10-K for the year ended December 31, 2021 filed with the SEC on March 1, 2022. The information included in this Quarterly Report on Form 10-Q should be read in conjunction with the consolidated financial statements and the accompanying notes to those financial statements.</w:t>
      </w:r>
    </w:p>
    <w:p>
      <w:pPr>
        <w:spacing w:after="0" w:line="72" w:lineRule="exact"/>
        <w:rPr>
          <w:sz w:val="20"/>
          <w:szCs w:val="20"/>
          <w:color w:val="auto"/>
        </w:rPr>
      </w:pPr>
    </w:p>
    <w:p>
      <w:pPr>
        <w:ind w:right="120" w:firstLine="567"/>
        <w:spacing w:after="0" w:line="282" w:lineRule="auto"/>
        <w:rPr>
          <w:sz w:val="20"/>
          <w:szCs w:val="20"/>
          <w:color w:val="auto"/>
        </w:rPr>
      </w:pPr>
      <w:r>
        <w:rPr>
          <w:rFonts w:ascii="Times New Roman" w:cs="Times New Roman" w:eastAsia="Times New Roman" w:hAnsi="Times New Roman"/>
          <w:sz w:val="18"/>
          <w:szCs w:val="18"/>
          <w:color w:val="auto"/>
        </w:rPr>
        <w:t>Revenue, expenses, assets, and liabilities can vary during each quarter of the year. The results and trends in these interim Condensed Consolidated Financial Statements are not necessarily indicative of the results to be expected for the full year or any other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140" w:firstLine="567"/>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generally accepted accounting principles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Accounting estimates and assumptions are inherently uncertain.</w:t>
      </w:r>
    </w:p>
    <w:p>
      <w:pPr>
        <w:spacing w:after="0" w:line="7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Actual results could differ materially from those estimates and assumptions. As appropriate, we assess estimates each period, update them to reflect current information, and generally reflect any changes in estimates in the period first identified.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Concentrations</w:t>
      </w:r>
    </w:p>
    <w:p>
      <w:pPr>
        <w:spacing w:after="0" w:line="175" w:lineRule="exact"/>
        <w:rPr>
          <w:sz w:val="20"/>
          <w:szCs w:val="20"/>
          <w:color w:val="auto"/>
        </w:rPr>
      </w:pPr>
    </w:p>
    <w:p>
      <w:pPr>
        <w:ind w:firstLine="567"/>
        <w:spacing w:after="0" w:line="254" w:lineRule="auto"/>
        <w:rPr>
          <w:sz w:val="20"/>
          <w:szCs w:val="20"/>
          <w:color w:val="auto"/>
        </w:rPr>
      </w:pPr>
      <w:r>
        <w:rPr>
          <w:rFonts w:ascii="Times New Roman" w:cs="Times New Roman" w:eastAsia="Times New Roman" w:hAnsi="Times New Roman"/>
          <w:sz w:val="18"/>
          <w:szCs w:val="18"/>
          <w:color w:val="auto"/>
        </w:rPr>
        <w:t>Our customers are primarily pharmaceutical companies that are located in the U.S. and Europe and with whom we have multi-year arrangements. Our accounts receivable balance contains billed and unbilled trade receivables from product sales, milestones (to the extent that they have been achieved and are due from the counterparty), and other contingent payments, as well as reimbursable costs from collaborative research and development agreements. As of September 30, 2022 and December 31, 2021, our accounts receivable includes $8.0 million and $21.4 million, respectively, for unbilled net expense reimbursements from BMS. The remaining accounts receivable relate primarily to product sales. We generally do not require collateral from our customers. We perform a regular review of our customers’ credit risk and payment histories, including payments made after period end. Historically, we have not experienced credit losses from our accounts receivable. We have not recorded reserves for credit losses for the three and nine months ended September 30, 2022 and 2021, nor have recorded such an allowance as of September 30, 2022 or December 31, 2021.</w:t>
      </w:r>
    </w:p>
    <w:p>
      <w:pPr>
        <w:spacing w:after="0" w:line="84"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We are dependent on our suppliers and contract manufacturers to provide raw materials and drugs of appropriate quality and reliability and to meet applicable contract and regulatory requirements. In certain cases, we rely on single sources of supply of one or more critical materials. Consequently, in the event that supplies are delayed or interrupted for any reason, including as a result of the COVID-19 pandemic, our ability to develop and produce our drug candidates, our ability to supply comparator drugs for our clinical trials, or our ability to meet our supply obligations could be significantly impaired, which could have a material adverse effect on our business, financial condition and results of operations.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For our available-for-sale securities, we have significant concentrations of issuers in the banking and financial services industries. While our investment policy requires that we only invest in highly-rated securities and limit our exposure to any single issuer, various factors may materially affect the financial condition of issuers. Additionally, pursuant to our investment policy, we may sell securities before maturity if the issuer’s credit rating has been downgraded below our minimum credit rating requirements, which may result in a loss on the sale. Accordingly, if various factors result in downgrades below our minimum credit rating requirements and if we decide to sell these securities, we may experience losses on such sales.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175"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We recognize restructuring charges related to reorganization plans that have been committed to by management when liabilities have been incurred. In connection with these activities, we record restructuring charges at fair value for:</w:t>
      </w:r>
    </w:p>
    <w:p>
      <w:pPr>
        <w:spacing w:after="0" w:line="108" w:lineRule="exact"/>
        <w:rPr>
          <w:sz w:val="20"/>
          <w:szCs w:val="20"/>
          <w:color w:val="auto"/>
        </w:rPr>
      </w:pPr>
    </w:p>
    <w:p>
      <w:pPr>
        <w:ind w:left="660" w:right="5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employee termination benefits provided that the obligations result from services already rendered based on vested rights to such benefits when the payment of benefits becomes probable and the amount can be reasonably estimated,</w:t>
      </w:r>
    </w:p>
    <w:p>
      <w:pPr>
        <w:spacing w:after="0" w:line="107"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employee termination benefits on the communication date from management to the employees provided that management has committed to a plan of termination, the plan identifies the employees and their expected termination dates, the details of termination benefits are complete, and it is unlikely that changes to the plan will be made or the plan will be withdrawn,</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termination costs when we cancel the contract in accordance with its terms,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be incurred over the remaining contract term without economic benefit to us at the cease-use date.</w:t>
      </w:r>
    </w:p>
    <w:p>
      <w:pPr>
        <w:spacing w:after="0" w:line="11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For one-time employee terminations benefits, we recognize the liability in full on the communication date when future services are not required or amortize the liability ratably over the service period, if required. The fair value of termination benefits reflects our estimates of expected utilization of certain Company-funded post-employment benefits.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8 for additional information on the severance expense that we recognized for employees terminated in connection with our reduction-in-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 Impairment</w:t>
      </w:r>
    </w:p>
    <w:p>
      <w:pPr>
        <w:spacing w:after="0" w:line="17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assess the impairment of long-lived assets whenever events or changes in business circumstances indicate that the carrying amounts of the assets may not be fully recoverable. In the case of property, plant and equipment and right-of-use assets for our leases, we determine whether there has been an impairment by comparing the carrying value of the asset to the anticipated undiscounted net cash flows associated with the asset. If such cash flows are less than the carrying value, we write down the asset to its fair value, which may be measured as anticipated net cash flows associated with the asset, discounted at a rate that we believe a market participant would utilize to reflect the risks associated with the cash flows, such as credit risk. See Note 8 for additional information regarding the impairment charge we recorded in connection with our leased facilities and certain property and equipment.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Cash and Investments in Marketable Securities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Cash and investments in marketable securities, including cash equivalents, are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80" w:type="dxa"/>
            <w:vAlign w:val="bottom"/>
            <w:gridSpan w:val="4"/>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Estimated Fair Value at</w:t>
            </w:r>
          </w:p>
        </w:tc>
      </w:tr>
      <w:tr>
        <w:trPr>
          <w:trHeight w:val="23"/>
        </w:trPr>
        <w:tc>
          <w:tcPr>
            <w:tcW w:w="7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7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6"/>
                <w:szCs w:val="16"/>
                <w:color w:val="auto"/>
              </w:rPr>
            </w:pPr>
          </w:p>
        </w:tc>
        <w:tc>
          <w:tcPr>
            <w:tcW w:w="146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9"/>
        </w:trPr>
        <w:tc>
          <w:tcPr>
            <w:tcW w:w="79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105,758</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25,218</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708,737</w:t>
            </w:r>
          </w:p>
        </w:tc>
      </w:tr>
      <w:tr>
        <w:trPr>
          <w:trHeight w:val="230"/>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64,828</w:t>
            </w:r>
          </w:p>
        </w:tc>
      </w:tr>
      <w:tr>
        <w:trPr>
          <w:trHeight w:val="223"/>
        </w:trPr>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cash and investments in marketable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546,387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798,783</w:t>
            </w:r>
          </w:p>
        </w:tc>
      </w:tr>
      <w:tr>
        <w:trPr>
          <w:trHeight w:val="21"/>
        </w:trPr>
        <w:tc>
          <w:tcPr>
            <w:tcW w:w="7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0" w:firstLine="567"/>
        <w:spacing w:after="0" w:line="266" w:lineRule="auto"/>
        <w:rPr>
          <w:sz w:val="20"/>
          <w:szCs w:val="20"/>
          <w:color w:val="auto"/>
        </w:rPr>
      </w:pPr>
      <w:r>
        <w:rPr>
          <w:rFonts w:ascii="Times New Roman" w:cs="Times New Roman" w:eastAsia="Times New Roman" w:hAnsi="Times New Roman"/>
          <w:sz w:val="18"/>
          <w:szCs w:val="18"/>
          <w:color w:val="auto"/>
        </w:rPr>
        <w:t>We invest in liquid, high quality debt securities which are subject to interest rate risk. To minimize the exposure due to an adverse shift in interest rates, we invest in securities with maturities of two years or less and maintain a weighted average maturity of one year or less. As of December 31, 2021, all of our long-term investments had maturities between one and two years.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Our portfolio of cash and investments in marketable securities includes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Hierarchy</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0" w:type="dxa"/>
            <w:vAlign w:val="bottom"/>
            <w:gridSpan w:val="5"/>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5"/>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36"/>
        </w:trPr>
        <w:tc>
          <w:tcPr>
            <w:tcW w:w="4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40" w:type="dxa"/>
            <w:vAlign w:val="bottom"/>
            <w:gridSpan w:val="3"/>
          </w:tcPr>
          <w:p>
            <w:pPr>
              <w:ind w:left="40"/>
              <w:spacing w:after="0" w:line="136"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20" w:type="dxa"/>
            <w:vAlign w:val="bottom"/>
            <w:gridSpan w:val="3"/>
          </w:tcPr>
          <w:p>
            <w:pPr>
              <w:ind w:left="40"/>
              <w:spacing w:after="0" w:line="136"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8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1"/>
                <w:szCs w:val="11"/>
                <w:color w:val="auto"/>
              </w:rPr>
            </w:pPr>
          </w:p>
        </w:tc>
        <w:tc>
          <w:tcPr>
            <w:tcW w:w="100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notes and bonds</w:t>
            </w:r>
          </w:p>
        </w:tc>
        <w:tc>
          <w:tcPr>
            <w:tcW w:w="1040" w:type="dxa"/>
            <w:vAlign w:val="bottom"/>
            <w:tcBorders>
              <w:top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115,652</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114,163</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278,121</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commercial paper</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478,629</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U.S. government agencies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0" w:type="dxa"/>
            <w:vAlign w:val="bottom"/>
          </w:tcPr>
          <w:p>
            <w:pPr>
              <w:spacing w:after="0"/>
              <w:rPr>
                <w:sz w:val="1"/>
                <w:szCs w:val="1"/>
                <w:color w:val="auto"/>
              </w:rPr>
            </w:pPr>
          </w:p>
        </w:tc>
      </w:tr>
      <w:tr>
        <w:trPr>
          <w:trHeight w:val="223"/>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1040" w:type="dxa"/>
            <w:vAlign w:val="bottom"/>
          </w:tcPr>
          <w:p>
            <w:pPr>
              <w:spacing w:after="0"/>
              <w:rPr>
                <w:sz w:val="19"/>
                <w:szCs w:val="19"/>
                <w:color w:val="auto"/>
              </w:rPr>
            </w:pPr>
          </w:p>
        </w:tc>
        <w:tc>
          <w:tcPr>
            <w:tcW w:w="30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474,848</w:t>
            </w:r>
          </w:p>
        </w:tc>
        <w:tc>
          <w:tcPr>
            <w:tcW w:w="100" w:type="dxa"/>
            <w:vAlign w:val="bottom"/>
          </w:tcPr>
          <w:p>
            <w:pPr>
              <w:spacing w:after="0"/>
              <w:rPr>
                <w:sz w:val="19"/>
                <w:szCs w:val="19"/>
                <w:color w:val="auto"/>
              </w:rPr>
            </w:pP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471,596</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762,625</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23,968</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23"/>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cash and investments in marketable securities</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546,387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798,783</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For the three and nine months ended September 30, 2022 and 2021, there were no transfers between Level 1 and Level 2 of the fair value hierarchy.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2021, our gross unrealized losses totaled $0.7 million, and our gross unrealized gains were insignificant.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Inventory</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Inventory consists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6"/>
                <w:szCs w:val="16"/>
                <w:color w:val="auto"/>
              </w:rPr>
            </w:pPr>
          </w:p>
        </w:tc>
        <w:tc>
          <w:tcPr>
            <w:tcW w:w="146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9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3,166</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9,342</w:t>
            </w:r>
          </w:p>
        </w:tc>
      </w:tr>
      <w:tr>
        <w:trPr>
          <w:trHeight w:val="230"/>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3,293</w:t>
            </w:r>
          </w:p>
        </w:tc>
      </w:tr>
      <w:tr>
        <w:trPr>
          <w:trHeight w:val="223"/>
        </w:trPr>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inventory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15,801</w:t>
            </w:r>
          </w:p>
        </w:tc>
      </w:tr>
      <w:tr>
        <w:trPr>
          <w:trHeight w:val="20"/>
        </w:trPr>
        <w:tc>
          <w:tcPr>
            <w:tcW w:w="7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320" w:firstLine="567"/>
        <w:spacing w:after="0" w:line="256" w:lineRule="auto"/>
        <w:rPr>
          <w:sz w:val="20"/>
          <w:szCs w:val="20"/>
          <w:color w:val="auto"/>
        </w:rPr>
      </w:pPr>
      <w:r>
        <w:rPr>
          <w:rFonts w:ascii="Times New Roman" w:cs="Times New Roman" w:eastAsia="Times New Roman" w:hAnsi="Times New Roman"/>
          <w:sz w:val="18"/>
          <w:szCs w:val="18"/>
          <w:color w:val="auto"/>
        </w:rPr>
        <w:t>We manufacture finished goods inventory upon receipt of firm purchase orders, and we may manufacture certain intermediate work-in-process materials and purchase raw materials based on purchase forecasts from our collaboration partners. We include direct materials, direct labor, and manufacturing overhead in inventory and determine cost on a first-in, first-out basis for raw materials and on a specific identification basis for work-in-process and finished goods. We value inventory at the lower of cost or net realizable value, and we write down defective or excess inventory to net realizable value based on historical experience or projected usage. We expense inventory related to our research and development activities as manufactured by us or when purchased.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Co-Development Agreement with SFJ Pharmaceuticals and Development Derivative Liability</w:t>
      </w:r>
    </w:p>
    <w:p>
      <w:pPr>
        <w:spacing w:after="0" w:line="175" w:lineRule="exact"/>
        <w:rPr>
          <w:sz w:val="20"/>
          <w:szCs w:val="20"/>
          <w:color w:val="auto"/>
        </w:rPr>
      </w:pPr>
    </w:p>
    <w:p>
      <w:pPr>
        <w:ind w:right="20" w:firstLine="567"/>
        <w:spacing w:after="0" w:line="244" w:lineRule="auto"/>
        <w:rPr>
          <w:sz w:val="20"/>
          <w:szCs w:val="20"/>
          <w:color w:val="auto"/>
        </w:rPr>
      </w:pPr>
      <w:r>
        <w:rPr>
          <w:rFonts w:ascii="Times New Roman" w:cs="Times New Roman" w:eastAsia="Times New Roman" w:hAnsi="Times New Roman"/>
          <w:sz w:val="18"/>
          <w:szCs w:val="18"/>
          <w:color w:val="auto"/>
        </w:rPr>
        <w:t>On February 12, 2021, we entered into a Co-Development Agreement (the SFJ Agreement) with SFJ Pharmaceuticals XII, L.P., a SFJ Pharmaceuticals Group company (SFJ), pursuant to which SFJ would pay up to $150.0 million in committed funding to support a Phase 2/3 study of bempegaldesleukin in combination with Keytruda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(pembrolizumab) for first-line treatment of patients with metastatic or unresectable recurrent squamous cell carcinoma of the head and neck (the SCCHN Clinical Trial) whose tumors express PD-L1 (the SCCHN Indication). SFJ has primary responsibility for the clinical trial management of the SCCHN Clinical Trial, and we are the sponsor of the SCCHN Clinical Trial. The SFJ Agreement provided for us to pay up to $637.5 million in Success Payments in the event of FDA approval of bempegaldesleukin for the metastatic melanoma, the SCCHN Indication, or both, and in the event of FDA approval of one additional bempegaldesleukin indication.</w:t>
      </w:r>
    </w:p>
    <w:p>
      <w:pPr>
        <w:spacing w:after="0" w:line="89" w:lineRule="exact"/>
        <w:rPr>
          <w:sz w:val="20"/>
          <w:szCs w:val="20"/>
          <w:color w:val="auto"/>
        </w:rPr>
      </w:pPr>
    </w:p>
    <w:p>
      <w:pPr>
        <w:ind w:right="20" w:firstLine="567"/>
        <w:spacing w:after="0" w:line="241" w:lineRule="auto"/>
        <w:rPr>
          <w:sz w:val="20"/>
          <w:szCs w:val="20"/>
          <w:color w:val="auto"/>
        </w:rPr>
      </w:pPr>
      <w:r>
        <w:rPr>
          <w:rFonts w:ascii="Times New Roman" w:cs="Times New Roman" w:eastAsia="Times New Roman" w:hAnsi="Times New Roman"/>
          <w:sz w:val="18"/>
          <w:szCs w:val="18"/>
          <w:color w:val="auto"/>
        </w:rPr>
        <w:t>As of March 31, 2022, due to the negative results of the metastatic melanoma trial and initial discussions with SFJ, we concluded that it was remote that SFJ and we would continue the SCCHN Clinical Trial. Accordingly, the fair value of the development derivative liability was reduced to $0 as of March 31, 2022, and we recognized a corresponding gain in the Change in fair value of development derivative liability. As discussed in Note 1, on April 14, 2022, BMS and we decided to end the development for bempegaldesleukin in combination with Opdivo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that all other ongoing studies in the bempegaldesleukin program would be discontinued. We also announced that SFJ and we agreed to discontinue the SCCHN Clinical Trial.</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Accordingly, SFJ will not be entitled to any Success Payments, and SFJ has the responsibility to wind down the SCCHN Clinical Trial at its sole cost. SFJ has no right to seek reimbursement from us for any costs incurred for the SCCHN Clinical Trial.</w:t>
      </w:r>
    </w:p>
    <w:p>
      <w:pPr>
        <w:spacing w:after="0" w:line="54" w:lineRule="exact"/>
        <w:rPr>
          <w:sz w:val="20"/>
          <w:szCs w:val="20"/>
          <w:color w:val="auto"/>
        </w:rPr>
      </w:pPr>
    </w:p>
    <w:p>
      <w:pPr>
        <w:ind w:right="60" w:firstLine="567"/>
        <w:spacing w:after="0" w:line="258" w:lineRule="auto"/>
        <w:rPr>
          <w:sz w:val="20"/>
          <w:szCs w:val="20"/>
          <w:color w:val="auto"/>
        </w:rPr>
      </w:pPr>
      <w:r>
        <w:rPr>
          <w:rFonts w:ascii="Times New Roman" w:cs="Times New Roman" w:eastAsia="Times New Roman" w:hAnsi="Times New Roman"/>
          <w:sz w:val="18"/>
          <w:szCs w:val="18"/>
          <w:color w:val="auto"/>
        </w:rPr>
        <w:t>We presented the SFJ Agreement as a Development derivative liability in our Condensed Consolidated Balance Sheets, which we remeasured to fair value at each reporting date. As SFJ conducted the SCCHN Clinical Trial, we recorded non-cash research and development expense with a corresponding increase to the development derivative liability, and as SFJ remitted funding to us to support our internal costs of conducting the trial, we also recorded a corresponding increase to the development derivative liability. We presented the gain (loss) from the remeasurement as change in fair value of development derivative liability in our Condensed Consolidated Statements of Operations.</w:t>
      </w:r>
    </w:p>
    <w:p>
      <w:pPr>
        <w:spacing w:after="0" w:line="1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presents the changes in the development derivative liability:</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500" w:type="dxa"/>
            <w:vAlign w:val="bottom"/>
            <w:vMerge w:val="restart"/>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664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6640" w:type="dxa"/>
            <w:vAlign w:val="bottom"/>
          </w:tcPr>
          <w:p>
            <w:pPr>
              <w:spacing w:after="0"/>
              <w:rPr>
                <w:sz w:val="12"/>
                <w:szCs w:val="12"/>
                <w:color w:val="auto"/>
              </w:rPr>
            </w:pPr>
          </w:p>
        </w:tc>
        <w:tc>
          <w:tcPr>
            <w:tcW w:w="1500" w:type="dxa"/>
            <w:vAlign w:val="bottom"/>
          </w:tcPr>
          <w:p>
            <w:pPr>
              <w:jc w:val="center"/>
              <w:ind w:left="241"/>
              <w:spacing w:after="0" w:line="146" w:lineRule="exact"/>
              <w:rPr>
                <w:sz w:val="20"/>
                <w:szCs w:val="20"/>
                <w:color w:val="auto"/>
              </w:rPr>
            </w:pPr>
            <w:r>
              <w:rPr>
                <w:rFonts w:ascii="Times New Roman" w:cs="Times New Roman" w:eastAsia="Times New Roman" w:hAnsi="Times New Roman"/>
                <w:sz w:val="14"/>
                <w:szCs w:val="14"/>
                <w:b w:val="1"/>
                <w:bCs w:val="1"/>
                <w:color w:val="auto"/>
              </w:rPr>
              <w:t>Hierarchy</w:t>
            </w:r>
          </w:p>
        </w:tc>
        <w:tc>
          <w:tcPr>
            <w:tcW w:w="260" w:type="dxa"/>
            <w:vAlign w:val="bottom"/>
          </w:tcPr>
          <w:p>
            <w:pPr>
              <w:spacing w:after="0"/>
              <w:rPr>
                <w:sz w:val="12"/>
                <w:szCs w:val="12"/>
                <w:color w:val="auto"/>
              </w:rPr>
            </w:pPr>
          </w:p>
        </w:tc>
        <w:tc>
          <w:tcPr>
            <w:tcW w:w="122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CCEEFF"/>
            </w:tcBorders>
          </w:tcPr>
          <w:p>
            <w:pPr>
              <w:spacing w:after="0"/>
              <w:rPr>
                <w:sz w:val="17"/>
                <w:szCs w:val="17"/>
                <w:color w:val="auto"/>
              </w:rPr>
            </w:pPr>
          </w:p>
        </w:tc>
        <w:tc>
          <w:tcPr>
            <w:tcW w:w="1500" w:type="dxa"/>
            <w:vAlign w:val="bottom"/>
            <w:tcBorders>
              <w:bottom w:val="single" w:sz="8" w:color="CCEEFF"/>
            </w:tcBorders>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June 30, 2022 and 2021, respectively</w:t>
            </w:r>
          </w:p>
        </w:tc>
        <w:tc>
          <w:tcPr>
            <w:tcW w:w="1500" w:type="dxa"/>
            <w:vAlign w:val="bottom"/>
            <w:shd w:val="clear" w:color="auto" w:fill="CCEEFF"/>
          </w:tcPr>
          <w:p>
            <w:pPr>
              <w:jc w:val="center"/>
              <w:ind w:left="241"/>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0" w:type="dxa"/>
            <w:vAlign w:val="bottom"/>
          </w:tcPr>
          <w:p>
            <w:pPr>
              <w:spacing w:after="0"/>
              <w:rPr>
                <w:sz w:val="1"/>
                <w:szCs w:val="1"/>
                <w:color w:val="auto"/>
              </w:rPr>
            </w:pPr>
          </w:p>
        </w:tc>
      </w:tr>
      <w:tr>
        <w:trPr>
          <w:trHeight w:val="229"/>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research and development expense</w:t>
            </w: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receipts from SFJ</w:t>
            </w:r>
          </w:p>
        </w:tc>
        <w:tc>
          <w:tcPr>
            <w:tcW w:w="1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30"/>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the fair value of development derivative liability</w:t>
            </w: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0" w:type="dxa"/>
            <w:vAlign w:val="bottom"/>
          </w:tcPr>
          <w:p>
            <w:pPr>
              <w:spacing w:after="0"/>
              <w:rPr>
                <w:sz w:val="1"/>
                <w:szCs w:val="1"/>
                <w:color w:val="auto"/>
              </w:rPr>
            </w:pPr>
          </w:p>
        </w:tc>
      </w:tr>
      <w:tr>
        <w:trPr>
          <w:trHeight w:val="248"/>
        </w:trPr>
        <w:tc>
          <w:tcPr>
            <w:tcW w:w="6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1500" w:type="dxa"/>
            <w:vAlign w:val="bottom"/>
            <w:tcBorders>
              <w:top w:val="single" w:sz="8" w:color="CCEEFF"/>
              <w:bottom w:val="single" w:sz="8" w:color="CCEEFF"/>
            </w:tcBorders>
            <w:shd w:val="clear" w:color="auto" w:fill="CCEEFF"/>
          </w:tcPr>
          <w:p>
            <w:pPr>
              <w:jc w:val="center"/>
              <w:ind w:left="241"/>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21,387</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6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500" w:type="dxa"/>
            <w:vAlign w:val="bottom"/>
            <w:vMerge w:val="restart"/>
          </w:tcPr>
          <w:p>
            <w:pPr>
              <w:jc w:val="center"/>
              <w:ind w:left="261"/>
              <w:spacing w:after="0" w:line="15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664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6640" w:type="dxa"/>
            <w:vAlign w:val="bottom"/>
          </w:tcPr>
          <w:p>
            <w:pPr>
              <w:spacing w:after="0"/>
              <w:rPr>
                <w:sz w:val="11"/>
                <w:szCs w:val="11"/>
                <w:color w:val="auto"/>
              </w:rPr>
            </w:pPr>
          </w:p>
        </w:tc>
        <w:tc>
          <w:tcPr>
            <w:tcW w:w="1500" w:type="dxa"/>
            <w:vAlign w:val="bottom"/>
          </w:tcPr>
          <w:p>
            <w:pPr>
              <w:jc w:val="center"/>
              <w:ind w:left="241"/>
              <w:spacing w:after="0" w:line="137" w:lineRule="exact"/>
              <w:rPr>
                <w:sz w:val="20"/>
                <w:szCs w:val="20"/>
                <w:color w:val="auto"/>
              </w:rPr>
            </w:pPr>
            <w:r>
              <w:rPr>
                <w:rFonts w:ascii="Times New Roman" w:cs="Times New Roman" w:eastAsia="Times New Roman" w:hAnsi="Times New Roman"/>
                <w:sz w:val="14"/>
                <w:szCs w:val="14"/>
                <w:b w:val="1"/>
                <w:bCs w:val="1"/>
                <w:color w:val="auto"/>
              </w:rPr>
              <w:t>Hierarchy</w:t>
            </w:r>
          </w:p>
        </w:tc>
        <w:tc>
          <w:tcPr>
            <w:tcW w:w="260" w:type="dxa"/>
            <w:vAlign w:val="bottom"/>
          </w:tcPr>
          <w:p>
            <w:pPr>
              <w:spacing w:after="0"/>
              <w:rPr>
                <w:sz w:val="11"/>
                <w:szCs w:val="11"/>
                <w:color w:val="auto"/>
              </w:rPr>
            </w:pPr>
          </w:p>
        </w:tc>
        <w:tc>
          <w:tcPr>
            <w:tcW w:w="122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0"/>
        </w:trPr>
        <w:tc>
          <w:tcPr>
            <w:tcW w:w="6640" w:type="dxa"/>
            <w:vAlign w:val="bottom"/>
          </w:tcPr>
          <w:p>
            <w:pPr>
              <w:spacing w:after="0"/>
              <w:rPr>
                <w:sz w:val="16"/>
                <w:szCs w:val="16"/>
                <w:color w:val="auto"/>
              </w:rPr>
            </w:pPr>
          </w:p>
        </w:tc>
        <w:tc>
          <w:tcPr>
            <w:tcW w:w="150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December 31, 2021 and February 12, 2021 (inception), respectively</w:t>
            </w:r>
          </w:p>
        </w:tc>
        <w:tc>
          <w:tcPr>
            <w:tcW w:w="1500" w:type="dxa"/>
            <w:vAlign w:val="bottom"/>
            <w:shd w:val="clear" w:color="auto" w:fill="CCEEFF"/>
          </w:tcPr>
          <w:p>
            <w:pPr>
              <w:jc w:val="center"/>
              <w:ind w:left="241"/>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research and development expense</w:t>
            </w: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11,497</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receipts from SFJ</w:t>
            </w:r>
          </w:p>
        </w:tc>
        <w:tc>
          <w:tcPr>
            <w:tcW w:w="1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Change in the fair value of development derivative liability</w:t>
            </w:r>
          </w:p>
        </w:tc>
        <w:tc>
          <w:tcPr>
            <w:tcW w:w="15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(33,427)</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1500" w:type="dxa"/>
            <w:vAlign w:val="bottom"/>
            <w:tcBorders>
              <w:bottom w:val="single" w:sz="8" w:color="CCEEFF"/>
            </w:tcBorders>
            <w:shd w:val="clear" w:color="auto" w:fill="CCEEFF"/>
          </w:tcPr>
          <w:p>
            <w:pPr>
              <w:jc w:val="center"/>
              <w:ind w:left="241"/>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21,387</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Liabilities Related to Sales of Future Royalties</w:t>
      </w:r>
    </w:p>
    <w:p>
      <w:pPr>
        <w:spacing w:after="0" w:line="175" w:lineRule="exact"/>
        <w:rPr>
          <w:sz w:val="20"/>
          <w:szCs w:val="20"/>
          <w:color w:val="auto"/>
        </w:rPr>
      </w:pPr>
    </w:p>
    <w:p>
      <w:pPr>
        <w:ind w:right="360" w:firstLine="567"/>
        <w:spacing w:after="0" w:line="266" w:lineRule="auto"/>
        <w:rPr>
          <w:sz w:val="20"/>
          <w:szCs w:val="20"/>
          <w:color w:val="auto"/>
        </w:rPr>
      </w:pPr>
      <w:r>
        <w:rPr>
          <w:rFonts w:ascii="Times New Roman" w:cs="Times New Roman" w:eastAsia="Times New Roman" w:hAnsi="Times New Roman"/>
          <w:sz w:val="18"/>
          <w:szCs w:val="18"/>
          <w:color w:val="auto"/>
        </w:rPr>
        <w:t>In 2012 and 2020, we sold to RPI Finance Trust (RPI) and entities managed by Healthcare Royalty Management, LLC (collectively, HCR), respectively, our rights to receive royalties under our license and manufacturing agreements with certain pharmaceutical partners as summarized below under the 2012 Purchase and Sale Agreement and the 2020 Purchase and Sale Agreement, respectively:</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gridSpan w:val="2"/>
            <w:vMerge w:val="restart"/>
          </w:tcPr>
          <w:p>
            <w:pPr>
              <w:ind w:left="1900"/>
              <w:spacing w:after="0"/>
              <w:rPr>
                <w:sz w:val="20"/>
                <w:szCs w:val="20"/>
                <w:color w:val="auto"/>
              </w:rPr>
            </w:pPr>
            <w:r>
              <w:rPr>
                <w:rFonts w:ascii="Times New Roman" w:cs="Times New Roman" w:eastAsia="Times New Roman" w:hAnsi="Times New Roman"/>
                <w:sz w:val="14"/>
                <w:szCs w:val="14"/>
                <w:b w:val="1"/>
                <w:bCs w:val="1"/>
                <w:color w:val="auto"/>
              </w:rPr>
              <w:t>Drug</w:t>
            </w:r>
          </w:p>
        </w:tc>
        <w:tc>
          <w:tcPr>
            <w:tcW w:w="264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Manufacturer</w:t>
            </w:r>
          </w:p>
        </w:tc>
        <w:tc>
          <w:tcPr>
            <w:tcW w:w="2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Counterparty under Purchase and</w:t>
            </w:r>
          </w:p>
        </w:tc>
        <w:tc>
          <w:tcPr>
            <w:tcW w:w="192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Date Sold</w:t>
            </w:r>
          </w:p>
        </w:tc>
        <w:tc>
          <w:tcPr>
            <w:tcW w:w="0" w:type="dxa"/>
            <w:vAlign w:val="bottom"/>
          </w:tcPr>
          <w:p>
            <w:pPr>
              <w:spacing w:after="0"/>
              <w:rPr>
                <w:sz w:val="1"/>
                <w:szCs w:val="1"/>
                <w:color w:val="auto"/>
              </w:rPr>
            </w:pPr>
          </w:p>
        </w:tc>
      </w:tr>
      <w:tr>
        <w:trPr>
          <w:trHeight w:val="195"/>
        </w:trPr>
        <w:tc>
          <w:tcPr>
            <w:tcW w:w="4260" w:type="dxa"/>
            <w:vAlign w:val="bottom"/>
            <w:gridSpan w:val="2"/>
            <w:vMerge w:val="continue"/>
          </w:tcPr>
          <w:p>
            <w:pPr>
              <w:spacing w:after="0"/>
              <w:rPr>
                <w:sz w:val="16"/>
                <w:szCs w:val="16"/>
                <w:color w:val="auto"/>
              </w:rPr>
            </w:pPr>
          </w:p>
        </w:tc>
        <w:tc>
          <w:tcPr>
            <w:tcW w:w="2640" w:type="dxa"/>
            <w:vAlign w:val="bottom"/>
            <w:gridSpan w:val="2"/>
            <w:vMerge w:val="continue"/>
          </w:tcPr>
          <w:p>
            <w:pPr>
              <w:spacing w:after="0"/>
              <w:rPr>
                <w:sz w:val="16"/>
                <w:szCs w:val="16"/>
                <w:color w:val="auto"/>
              </w:rPr>
            </w:pPr>
          </w:p>
        </w:tc>
        <w:tc>
          <w:tcPr>
            <w:tcW w:w="2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Sale Agreement</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120" w:type="dxa"/>
            <w:vAlign w:val="bottom"/>
            <w:tcBorders>
              <w:top w:val="single" w:sz="8" w:color="auto"/>
            </w:tcBorders>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ADYNOVATE</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and ADYNOVI</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(brand name for</w:t>
            </w:r>
          </w:p>
        </w:tc>
        <w:tc>
          <w:tcPr>
            <w:tcW w:w="140" w:type="dxa"/>
            <w:vAlign w:val="bottom"/>
            <w:tcBorders>
              <w:top w:val="single" w:sz="8" w:color="CCEEFF"/>
            </w:tcBorders>
            <w:shd w:val="clear" w:color="auto" w:fill="CCEEFF"/>
          </w:tcPr>
          <w:p>
            <w:pPr>
              <w:spacing w:after="0"/>
              <w:rPr>
                <w:sz w:val="15"/>
                <w:szCs w:val="15"/>
                <w:color w:val="auto"/>
              </w:rPr>
            </w:pPr>
          </w:p>
        </w:tc>
        <w:tc>
          <w:tcPr>
            <w:tcW w:w="2500" w:type="dxa"/>
            <w:vAlign w:val="bottom"/>
            <w:tcBorders>
              <w:top w:val="single" w:sz="8" w:color="auto"/>
            </w:tcBorders>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Takeda Pharmaceutical Company</w:t>
            </w:r>
          </w:p>
        </w:tc>
        <w:tc>
          <w:tcPr>
            <w:tcW w:w="140" w:type="dxa"/>
            <w:vAlign w:val="bottom"/>
            <w:tcBorders>
              <w:top w:val="single" w:sz="8" w:color="CCEEFF"/>
            </w:tcBorders>
            <w:shd w:val="clear" w:color="auto" w:fill="CCEEFF"/>
          </w:tcPr>
          <w:p>
            <w:pPr>
              <w:spacing w:after="0"/>
              <w:rPr>
                <w:sz w:val="15"/>
                <w:szCs w:val="15"/>
                <w:color w:val="auto"/>
              </w:rPr>
            </w:pPr>
          </w:p>
        </w:tc>
        <w:tc>
          <w:tcPr>
            <w:tcW w:w="2280" w:type="dxa"/>
            <w:vAlign w:val="bottom"/>
            <w:tcBorders>
              <w:top w:val="single" w:sz="8" w:color="auto"/>
            </w:tcBorders>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Healthcare Royalty</w:t>
            </w:r>
          </w:p>
        </w:tc>
        <w:tc>
          <w:tcPr>
            <w:tcW w:w="140" w:type="dxa"/>
            <w:vAlign w:val="bottom"/>
            <w:tcBorders>
              <w:top w:val="single" w:sz="8" w:color="CCEEFF"/>
            </w:tcBorders>
            <w:shd w:val="clear" w:color="auto" w:fill="CCEEFF"/>
          </w:tcPr>
          <w:p>
            <w:pPr>
              <w:spacing w:after="0"/>
              <w:rPr>
                <w:sz w:val="15"/>
                <w:szCs w:val="15"/>
                <w:color w:val="auto"/>
              </w:rPr>
            </w:pPr>
          </w:p>
        </w:tc>
        <w:tc>
          <w:tcPr>
            <w:tcW w:w="1920" w:type="dxa"/>
            <w:vAlign w:val="bottom"/>
            <w:tcBorders>
              <w:top w:val="single" w:sz="8" w:color="auto"/>
            </w:tcBorders>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December 16, 2020</w:t>
            </w:r>
          </w:p>
        </w:tc>
        <w:tc>
          <w:tcPr>
            <w:tcW w:w="0" w:type="dxa"/>
            <w:vAlign w:val="bottom"/>
          </w:tcPr>
          <w:p>
            <w:pPr>
              <w:spacing w:after="0"/>
              <w:rPr>
                <w:sz w:val="1"/>
                <w:szCs w:val="1"/>
                <w:color w:val="auto"/>
              </w:rPr>
            </w:pPr>
          </w:p>
        </w:tc>
      </w:tr>
      <w:tr>
        <w:trPr>
          <w:trHeight w:val="238"/>
        </w:trPr>
        <w:tc>
          <w:tcPr>
            <w:tcW w:w="4260" w:type="dxa"/>
            <w:vAlign w:val="bottom"/>
            <w:gridSpan w:val="2"/>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ADYNOVATE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Europe)</w:t>
            </w:r>
          </w:p>
        </w:tc>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Limited</w:t>
            </w:r>
          </w:p>
        </w:tc>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LLC</w:t>
            </w:r>
          </w:p>
        </w:tc>
        <w:tc>
          <w:tcPr>
            <w:tcW w:w="1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line="205" w:lineRule="auto"/>
        <w:rPr>
          <w:sz w:val="20"/>
          <w:szCs w:val="20"/>
          <w:color w:val="auto"/>
        </w:rPr>
      </w:pPr>
      <w:r>
        <w:rPr>
          <w:rFonts w:ascii="Times New Roman" w:cs="Times New Roman" w:eastAsia="Times New Roman" w:hAnsi="Times New Roman"/>
          <w:sz w:val="17"/>
          <w:szCs w:val="17"/>
          <w:color w:val="auto"/>
        </w:rPr>
        <w:t>MOVANTIK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(naloxegol tablets) and MOVENTIG</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(brand name for MOVANTIK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in Europe)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REBINYN</w:t>
      </w:r>
      <w:r>
        <w:rPr>
          <w:rFonts w:ascii="Times New Roman" w:cs="Times New Roman" w:eastAsia="Times New Roman" w:hAnsi="Times New Roman"/>
          <w:sz w:val="23"/>
          <w:szCs w:val="23"/>
          <w:color w:val="auto"/>
          <w:vertAlign w:val="superscript"/>
        </w:rPr>
        <w:t>®</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CIMZIA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(certolizumab pegol)</w:t>
      </w:r>
    </w:p>
    <w:p>
      <w:pPr>
        <w:ind w:left="20" w:right="200"/>
        <w:spacing w:after="0" w:line="205" w:lineRule="auto"/>
        <w:rPr>
          <w:sz w:val="20"/>
          <w:szCs w:val="20"/>
          <w:color w:val="auto"/>
        </w:rPr>
      </w:pPr>
      <w:r>
        <w:rPr>
          <w:rFonts w:ascii="Times New Roman" w:cs="Times New Roman" w:eastAsia="Times New Roman" w:hAnsi="Times New Roman"/>
          <w:sz w:val="18"/>
          <w:szCs w:val="18"/>
          <w:color w:val="auto"/>
        </w:rPr>
        <w:t>MIRCERA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(Continuous Erythropoietin Receptor Activator)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5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AstraZeneca AB</w:t>
            </w:r>
          </w:p>
        </w:tc>
        <w:tc>
          <w:tcPr>
            <w:tcW w:w="200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Healthcare Royalty</w:t>
            </w:r>
          </w:p>
        </w:tc>
        <w:tc>
          <w:tcPr>
            <w:tcW w:w="1940" w:type="dxa"/>
            <w:vAlign w:val="bottom"/>
          </w:tcPr>
          <w:p>
            <w:pPr>
              <w:ind w:left="520"/>
              <w:spacing w:after="0" w:line="184" w:lineRule="exact"/>
              <w:rPr>
                <w:sz w:val="20"/>
                <w:szCs w:val="20"/>
                <w:color w:val="auto"/>
              </w:rPr>
            </w:pPr>
            <w:r>
              <w:rPr>
                <w:rFonts w:ascii="Times New Roman" w:cs="Times New Roman" w:eastAsia="Times New Roman" w:hAnsi="Times New Roman"/>
                <w:sz w:val="18"/>
                <w:szCs w:val="18"/>
                <w:color w:val="auto"/>
                <w:w w:val="98"/>
              </w:rPr>
              <w:t>December 16, 2020</w:t>
            </w:r>
          </w:p>
        </w:tc>
      </w:tr>
      <w:tr>
        <w:trPr>
          <w:trHeight w:val="230"/>
        </w:trPr>
        <w:tc>
          <w:tcPr>
            <w:tcW w:w="2540" w:type="dxa"/>
            <w:vAlign w:val="bottom"/>
          </w:tcPr>
          <w:p>
            <w:pPr>
              <w:spacing w:after="0"/>
              <w:rPr>
                <w:sz w:val="19"/>
                <w:szCs w:val="19"/>
                <w:color w:val="auto"/>
              </w:rPr>
            </w:pPr>
          </w:p>
        </w:tc>
        <w:tc>
          <w:tcPr>
            <w:tcW w:w="2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Management, LLC</w:t>
            </w:r>
          </w:p>
        </w:tc>
        <w:tc>
          <w:tcPr>
            <w:tcW w:w="1940" w:type="dxa"/>
            <w:vAlign w:val="bottom"/>
          </w:tcPr>
          <w:p>
            <w:pPr>
              <w:spacing w:after="0"/>
              <w:rPr>
                <w:sz w:val="19"/>
                <w:szCs w:val="19"/>
                <w:color w:val="auto"/>
              </w:rPr>
            </w:pPr>
          </w:p>
        </w:tc>
      </w:tr>
      <w:tr>
        <w:trPr>
          <w:trHeight w:val="189"/>
        </w:trPr>
        <w:tc>
          <w:tcPr>
            <w:tcW w:w="2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Novo Nordisk Inc., Novo Nordisk</w:t>
            </w:r>
          </w:p>
        </w:tc>
        <w:tc>
          <w:tcPr>
            <w:tcW w:w="20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Healthcare Royalty</w:t>
            </w:r>
          </w:p>
        </w:tc>
        <w:tc>
          <w:tcPr>
            <w:tcW w:w="1940" w:type="dxa"/>
            <w:vAlign w:val="bottom"/>
          </w:tcPr>
          <w:p>
            <w:pPr>
              <w:ind w:left="520"/>
              <w:spacing w:after="0" w:line="189" w:lineRule="exact"/>
              <w:rPr>
                <w:sz w:val="20"/>
                <w:szCs w:val="20"/>
                <w:color w:val="auto"/>
              </w:rPr>
            </w:pPr>
            <w:r>
              <w:rPr>
                <w:rFonts w:ascii="Times New Roman" w:cs="Times New Roman" w:eastAsia="Times New Roman" w:hAnsi="Times New Roman"/>
                <w:sz w:val="18"/>
                <w:szCs w:val="18"/>
                <w:color w:val="auto"/>
                <w:w w:val="98"/>
              </w:rPr>
              <w:t>December 16, 2020</w:t>
            </w:r>
          </w:p>
        </w:tc>
      </w:tr>
      <w:tr>
        <w:trPr>
          <w:trHeight w:val="230"/>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A/S and Novo Nordisk A/G</w:t>
            </w:r>
          </w:p>
        </w:tc>
        <w:tc>
          <w:tcPr>
            <w:tcW w:w="2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Management, LLC</w:t>
            </w:r>
          </w:p>
        </w:tc>
        <w:tc>
          <w:tcPr>
            <w:tcW w:w="1940" w:type="dxa"/>
            <w:vAlign w:val="bottom"/>
          </w:tcPr>
          <w:p>
            <w:pPr>
              <w:spacing w:after="0"/>
              <w:rPr>
                <w:sz w:val="19"/>
                <w:szCs w:val="19"/>
                <w:color w:val="auto"/>
              </w:rPr>
            </w:pPr>
          </w:p>
        </w:tc>
      </w:t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UCB Pharma</w:t>
            </w:r>
          </w:p>
        </w:tc>
        <w:tc>
          <w:tcPr>
            <w:tcW w:w="2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RPI Finance Trust</w:t>
            </w:r>
          </w:p>
        </w:tc>
        <w:tc>
          <w:tcPr>
            <w:tcW w:w="1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February 24, 2012</w:t>
            </w:r>
          </w:p>
        </w:tc>
      </w:tr>
      <w:tr>
        <w:trPr>
          <w:trHeight w:val="32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F. Hoffmann-La Roche Ltd</w:t>
            </w:r>
          </w:p>
        </w:tc>
        <w:tc>
          <w:tcPr>
            <w:tcW w:w="2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RPI Finance Trust</w:t>
            </w:r>
          </w:p>
        </w:tc>
        <w:tc>
          <w:tcPr>
            <w:tcW w:w="1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February 24, 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-616585</wp:posOffset>
            </wp:positionV>
            <wp:extent cx="7132320" cy="266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-205105</wp:posOffset>
            </wp:positionV>
            <wp:extent cx="7132320" cy="2660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93" w:lineRule="exact"/>
        <w:rPr>
          <w:sz w:val="20"/>
          <w:szCs w:val="20"/>
          <w:color w:val="auto"/>
        </w:rPr>
      </w:pPr>
    </w:p>
    <w:p>
      <w:pPr>
        <w:sectPr>
          <w:pgSz w:w="11900" w:h="16838" w:orient="portrait"/>
          <w:cols w:equalWidth="0" w:num="2">
            <w:col w:w="3860" w:space="420"/>
            <w:col w:w="6960"/>
          </w:cols>
          <w:pgMar w:left="320" w:top="121" w:right="339" w:bottom="1440" w:gutter="0" w:footer="0" w:header="0"/>
          <w:type w:val="continuous"/>
        </w:sectPr>
      </w:pPr>
    </w:p>
    <w:p>
      <w:pPr>
        <w:spacing w:after="0" w:line="39" w:lineRule="exact"/>
        <w:rPr>
          <w:sz w:val="20"/>
          <w:szCs w:val="20"/>
          <w:color w:val="auto"/>
        </w:rPr>
      </w:pPr>
    </w:p>
    <w:p>
      <w:pPr>
        <w:ind w:right="540" w:firstLine="567"/>
        <w:spacing w:after="0" w:line="282" w:lineRule="auto"/>
        <w:rPr>
          <w:sz w:val="20"/>
          <w:szCs w:val="20"/>
          <w:color w:val="auto"/>
        </w:rPr>
      </w:pPr>
      <w:r>
        <w:rPr>
          <w:rFonts w:ascii="Times New Roman" w:cs="Times New Roman" w:eastAsia="Times New Roman" w:hAnsi="Times New Roman"/>
          <w:sz w:val="18"/>
          <w:szCs w:val="18"/>
          <w:color w:val="auto"/>
        </w:rPr>
        <w:t>Due to our ongoing manufacturing obligations in both arrangements, we account for the proceeds as imputed debt (Royalty Obligations) and therefore continue to recognize these non-cash royalties as revenue. As royalties are remitted to RPI</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and HCR by our licensees, the balances of the respective Royalty Obligations will be effectively repaid over the lives of the agreements. To determine the amortization of the Royalty Obligations, we are required to estimate the total amount of future royalty payments to be received by RPI and HCR, respectively. The sum of these amounts less the net proceeds we received will be recorded as non-cash interest expense over the lives of the respective Royalty Obligations. Additionally, to the extent that the amount or timing of the royalty payments is materially different from our original estimates, we will prospectively adjust the imputed interest rate and the related amortization of the applicable Royalty Obligation. As of September 30, 2022, our imputed interest rates for the arrangements with RPI and HCR were 16% and 15%, respectively.</w:t>
      </w:r>
    </w:p>
    <w:p>
      <w:pPr>
        <w:spacing w:after="0" w:line="1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shows the activity within the liability account of each arrangement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940" w:type="dxa"/>
            <w:vAlign w:val="bottom"/>
            <w:gridSpan w:val="7"/>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Period from inception to September 30, 2022</w:t>
            </w:r>
          </w:p>
        </w:tc>
        <w:tc>
          <w:tcPr>
            <w:tcW w:w="0" w:type="dxa"/>
            <w:vAlign w:val="bottom"/>
          </w:tcPr>
          <w:p>
            <w:pPr>
              <w:spacing w:after="0"/>
              <w:rPr>
                <w:sz w:val="1"/>
                <w:szCs w:val="1"/>
                <w:color w:val="auto"/>
              </w:rPr>
            </w:pPr>
          </w:p>
        </w:tc>
      </w:tr>
      <w:tr>
        <w:trPr>
          <w:trHeight w:val="23"/>
        </w:trPr>
        <w:tc>
          <w:tcPr>
            <w:tcW w:w="7160" w:type="dxa"/>
            <w:vAlign w:val="bottom"/>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160" w:type="dxa"/>
            <w:vAlign w:val="bottom"/>
          </w:tcPr>
          <w:p>
            <w:pPr>
              <w:spacing w:after="0"/>
              <w:rPr>
                <w:sz w:val="11"/>
                <w:szCs w:val="11"/>
                <w:color w:val="auto"/>
              </w:rPr>
            </w:pPr>
          </w:p>
        </w:tc>
        <w:tc>
          <w:tcPr>
            <w:tcW w:w="140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2012 Purchase and</w:t>
            </w:r>
          </w:p>
        </w:tc>
        <w:tc>
          <w:tcPr>
            <w:tcW w:w="138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2020 Purchase and</w:t>
            </w:r>
          </w:p>
        </w:tc>
        <w:tc>
          <w:tcPr>
            <w:tcW w:w="300" w:type="dxa"/>
            <w:vAlign w:val="bottom"/>
          </w:tcPr>
          <w:p>
            <w:pPr>
              <w:spacing w:after="0"/>
              <w:rPr>
                <w:sz w:val="11"/>
                <w:szCs w:val="11"/>
                <w:color w:val="auto"/>
              </w:rPr>
            </w:pPr>
          </w:p>
        </w:tc>
        <w:tc>
          <w:tcPr>
            <w:tcW w:w="100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7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Sale Agreement</w:t>
            </w:r>
          </w:p>
        </w:tc>
        <w:tc>
          <w:tcPr>
            <w:tcW w:w="12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Sale Agreement</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monetization proceeds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274,000</w:t>
            </w:r>
          </w:p>
        </w:tc>
        <w:tc>
          <w:tcPr>
            <w:tcW w:w="0" w:type="dxa"/>
            <w:vAlign w:val="bottom"/>
          </w:tcPr>
          <w:p>
            <w:pPr>
              <w:spacing w:after="0"/>
              <w:rPr>
                <w:sz w:val="1"/>
                <w:szCs w:val="1"/>
                <w:color w:val="auto"/>
              </w:rPr>
            </w:pPr>
          </w:p>
        </w:tc>
      </w:tr>
      <w:tr>
        <w:trPr>
          <w:trHeight w:val="230"/>
        </w:trPr>
        <w:tc>
          <w:tcPr>
            <w:tcW w:w="7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royalty revenue</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(385,618)</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265,983</w:t>
            </w:r>
          </w:p>
        </w:tc>
        <w:tc>
          <w:tcPr>
            <w:tcW w:w="0" w:type="dxa"/>
            <w:vAlign w:val="bottom"/>
          </w:tcPr>
          <w:p>
            <w:pPr>
              <w:spacing w:after="0"/>
              <w:rPr>
                <w:sz w:val="1"/>
                <w:szCs w:val="1"/>
                <w:color w:val="auto"/>
              </w:rPr>
            </w:pPr>
          </w:p>
        </w:tc>
      </w:tr>
      <w:tr>
        <w:trPr>
          <w:trHeight w:val="229"/>
        </w:trPr>
        <w:tc>
          <w:tcPr>
            <w:tcW w:w="7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to RPI</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revaluation of liability related to the sale of future royalties (1)</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23,522</w:t>
            </w:r>
          </w:p>
        </w:tc>
        <w:tc>
          <w:tcPr>
            <w:tcW w:w="0" w:type="dxa"/>
            <w:vAlign w:val="bottom"/>
          </w:tcPr>
          <w:p>
            <w:pPr>
              <w:spacing w:after="0"/>
              <w:rPr>
                <w:sz w:val="1"/>
                <w:szCs w:val="1"/>
                <w:color w:val="auto"/>
              </w:rPr>
            </w:pP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related to the sales of future royalties – ending balance</w:t>
            </w: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62,580</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105,307</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167,887</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unamortized transaction costs</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0" w:type="dxa"/>
            <w:vAlign w:val="bottom"/>
          </w:tcPr>
          <w:p>
            <w:pPr>
              <w:spacing w:after="0"/>
              <w:rPr>
                <w:sz w:val="1"/>
                <w:szCs w:val="1"/>
                <w:color w:val="auto"/>
              </w:rPr>
            </w:pP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related to the sales of future royalties, net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62,580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103,015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165,595</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Loss recognized from Settlement Agreement to resolve UCB’s challenges to our patents, as agreed to by UCB, RPI and us, on October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75" w:lineRule="exact"/>
        <w:rPr>
          <w:sz w:val="20"/>
          <w:szCs w:val="20"/>
          <w:color w:val="auto"/>
        </w:rPr>
      </w:pPr>
    </w:p>
    <w:p>
      <w:pPr>
        <w:ind w:right="20" w:firstLine="567"/>
        <w:spacing w:after="0" w:line="256" w:lineRule="auto"/>
        <w:rPr>
          <w:sz w:val="20"/>
          <w:szCs w:val="20"/>
          <w:color w:val="auto"/>
        </w:rPr>
      </w:pPr>
      <w:r>
        <w:rPr>
          <w:rFonts w:ascii="Times New Roman" w:cs="Times New Roman" w:eastAsia="Times New Roman" w:hAnsi="Times New Roman"/>
          <w:sz w:val="18"/>
          <w:szCs w:val="18"/>
          <w:color w:val="auto"/>
        </w:rPr>
        <w:t>From time to time, we are involved in lawsuits, arbitrations, claims, investigations and proceedings, consisting of intellectual property, commercial, employment and other matters, which arise in the ordinary course of business. We make provisions for liabilities when it is both probable that a liability has been incurred and the amount of the loss can be reasonably estimated. Such provisions are reviewed at least quarterly and adjusted to reflect the impact of settlement negotiations, judicial and administrative rulings, advice of legal counsel, and other information and events pertaining to a particular case. Litigation is inherently unpredictable. If any unfavorable ruling were to occur in any specific period, there exists the possibility of a material adverse impact on the results of our operations for that period and on our cash flows and liquidity.</w:t>
      </w:r>
    </w:p>
    <w:p>
      <w:pPr>
        <w:spacing w:after="0" w:line="7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October 2018, we and certain of our executives were named in a putative securities class action complaint filed in the U.S. District Court for the Northern District of California (Case No. 18-cv-06607, which we refer to as the Mulquin action). The Mulquin plaintiffs challenged public statements Nektar made, between January 2017 and June 2018, about the clinical trials of bempegaldesleukin. In December 2020, the district court dismissed the action with prejudice. The plaintiffs filed a notice of appeal in January 2021 in the U.S. Court of Appeals for the Ninth Circuit. On May 19, 2022, the Ninth Circuit affirmed the district court's dismissal of all claims against the defendants.</w:t>
      </w:r>
    </w:p>
    <w:p>
      <w:pPr>
        <w:spacing w:after="0" w:line="75" w:lineRule="exact"/>
        <w:rPr>
          <w:sz w:val="20"/>
          <w:szCs w:val="20"/>
          <w:color w:val="auto"/>
        </w:rPr>
      </w:pPr>
    </w:p>
    <w:p>
      <w:pPr>
        <w:ind w:right="360" w:firstLine="648"/>
        <w:spacing w:after="0" w:line="256" w:lineRule="auto"/>
        <w:rPr>
          <w:sz w:val="20"/>
          <w:szCs w:val="20"/>
          <w:color w:val="auto"/>
        </w:rPr>
      </w:pPr>
      <w:r>
        <w:rPr>
          <w:rFonts w:ascii="Times New Roman" w:cs="Times New Roman" w:eastAsia="Times New Roman" w:hAnsi="Times New Roman"/>
          <w:sz w:val="18"/>
          <w:szCs w:val="18"/>
          <w:color w:val="auto"/>
        </w:rPr>
        <w:t>A derivative action was also filed against certain of the Company’s current and former officers and directors, purportedly on the Company’s behalf, which was based on the allegations in the Mulquin action and on the premise that the Company’s officers and directors breached their fiduciary duties to the Company. The complaint for the derivative action was filed in February 2021 in the Court of Chancery of the State of Delaware (C.A. No. 2021-0118-PAF). Following a stay in the proceedings during the pendency of the appeal in the Mulquin action, the Company received an amended complaint in July 2022, which the defendants responded to in September 2022. Subsequently, the plaintiffs and defendants filed a joint stipulation to dismiss the action with prejudice on September 27, 2022.</w:t>
      </w:r>
    </w:p>
    <w:p>
      <w:pPr>
        <w:spacing w:after="0" w:line="79" w:lineRule="exact"/>
        <w:rPr>
          <w:sz w:val="20"/>
          <w:szCs w:val="20"/>
          <w:color w:val="auto"/>
        </w:rPr>
      </w:pPr>
    </w:p>
    <w:p>
      <w:pPr>
        <w:ind w:right="220" w:firstLine="648"/>
        <w:spacing w:after="0" w:line="438" w:lineRule="auto"/>
        <w:rPr>
          <w:sz w:val="20"/>
          <w:szCs w:val="20"/>
          <w:color w:val="auto"/>
        </w:rPr>
      </w:pPr>
      <w:r>
        <w:rPr>
          <w:rFonts w:ascii="Times New Roman" w:cs="Times New Roman" w:eastAsia="Times New Roman" w:hAnsi="Times New Roman"/>
          <w:sz w:val="18"/>
          <w:szCs w:val="18"/>
          <w:color w:val="auto"/>
        </w:rPr>
        <w:t xml:space="preserve">We have recorded no liability for any litigation matters in our Consolidated Balance Sheets at either September 30, 2022 or December 31, 2021. </w:t>
      </w:r>
      <w:r>
        <w:rPr>
          <w:rFonts w:ascii="Times New Roman" w:cs="Times New Roman" w:eastAsia="Times New Roman" w:hAnsi="Times New Roman"/>
          <w:sz w:val="18"/>
          <w:szCs w:val="18"/>
          <w:b w:val="1"/>
          <w:bCs w:val="1"/>
          <w:i w:val="1"/>
          <w:iCs w:val="1"/>
          <w:color w:val="auto"/>
        </w:rPr>
        <w:t>Indemnifications in Connection with Commercial Agreements</w:t>
      </w:r>
    </w:p>
    <w:p>
      <w:pPr>
        <w:spacing w:after="0" w:line="1" w:lineRule="exact"/>
        <w:rPr>
          <w:sz w:val="20"/>
          <w:szCs w:val="20"/>
          <w:color w:val="auto"/>
        </w:rPr>
      </w:pPr>
    </w:p>
    <w:p>
      <w:pPr>
        <w:ind w:right="20" w:firstLine="170"/>
        <w:spacing w:after="0" w:line="266" w:lineRule="auto"/>
        <w:rPr>
          <w:sz w:val="20"/>
          <w:szCs w:val="20"/>
          <w:color w:val="auto"/>
        </w:rPr>
      </w:pPr>
      <w:r>
        <w:rPr>
          <w:rFonts w:ascii="Times New Roman" w:cs="Times New Roman" w:eastAsia="Times New Roman" w:hAnsi="Times New Roman"/>
          <w:sz w:val="18"/>
          <w:szCs w:val="18"/>
          <w:color w:val="auto"/>
        </w:rPr>
        <w:t>As part of our collaboration agreements with our partners related to the license, development, manufacture and supply of drugs and PEGylation materials based on our proprietary technologies and drug candidates, we generally agree to defend, indemnify and hold harmless our partners from and against third party liabilities arising out of the agreement, including product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liability (with respect to our activities) and infringement of intellectual property to the extent the intellectual property is developed by us and licensed to our partners. The term of these indemnification obligations is generally perpetual commencing after execution of the agreement. There is generally no limitation on the potential amount of future payments we could be required to make under these indemnification obligations.</w:t>
      </w:r>
    </w:p>
    <w:p>
      <w:pPr>
        <w:spacing w:after="0" w:line="6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From time to time, we enter into other strategic agreements such as divestitures and financing transactions pursuant to which we are required to make representations and warranties and undertake to perform or comply with certain covenants. For example, we made certain intellectual property representations in connection with our RPI and HCR transactions, however, the time limitation we have to indemnify RPI with respect to any breach of these intellectual property-based representations and warranties has passed. In the event it is determined that we breached certain of the representations and warranties or covenants made by us in any such agreements or certain express indemnification provisions are applicable, we could incur substantial indemnification liabilities depending on the timing, nature, and amount of any such claims.</w:t>
      </w:r>
    </w:p>
    <w:p>
      <w:pPr>
        <w:spacing w:after="0" w:line="79" w:lineRule="exact"/>
        <w:rPr>
          <w:sz w:val="20"/>
          <w:szCs w:val="20"/>
          <w:color w:val="auto"/>
        </w:rPr>
      </w:pPr>
    </w:p>
    <w:p>
      <w:pPr>
        <w:ind w:right="340" w:firstLine="567"/>
        <w:spacing w:after="0" w:line="266" w:lineRule="auto"/>
        <w:rPr>
          <w:sz w:val="20"/>
          <w:szCs w:val="20"/>
          <w:color w:val="auto"/>
        </w:rPr>
      </w:pPr>
      <w:r>
        <w:rPr>
          <w:rFonts w:ascii="Times New Roman" w:cs="Times New Roman" w:eastAsia="Times New Roman" w:hAnsi="Times New Roman"/>
          <w:sz w:val="18"/>
          <w:szCs w:val="18"/>
          <w:color w:val="auto"/>
        </w:rPr>
        <w:t>To date, we have not incurred any costs to defend lawsuits or settle claims related to these indemnification obligations, nor any breaches of representations or warranties or covenants. Because the aggregate amount of any potential indemnification obligation is not a stated amount, we cannot reasonably estimate the overall maximum amount of any such obligations.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License and Collaboration Agreements</w:t>
      </w:r>
    </w:p>
    <w:p>
      <w:pPr>
        <w:spacing w:after="0" w:line="175" w:lineRule="exact"/>
        <w:rPr>
          <w:sz w:val="20"/>
          <w:szCs w:val="20"/>
          <w:color w:val="auto"/>
        </w:rPr>
      </w:pPr>
    </w:p>
    <w:p>
      <w:pPr>
        <w:ind w:right="80" w:firstLine="567"/>
        <w:spacing w:after="0" w:line="255" w:lineRule="auto"/>
        <w:rPr>
          <w:sz w:val="20"/>
          <w:szCs w:val="20"/>
          <w:color w:val="auto"/>
        </w:rPr>
      </w:pPr>
      <w:r>
        <w:rPr>
          <w:rFonts w:ascii="Times New Roman" w:cs="Times New Roman" w:eastAsia="Times New Roman" w:hAnsi="Times New Roman"/>
          <w:sz w:val="18"/>
          <w:szCs w:val="18"/>
          <w:color w:val="auto"/>
        </w:rPr>
        <w:t>We have entered into various collaboration agreements including license agreements and collaborative research, development and commercialization agreements with various pharmaceutical and biotechnology companies. Under these collaboration arrangements, we are entitled to receive license fees, upfront payments, milestone and other contingent payments, royalties, sales milestone payments, and payments for the manufacture and supply of our proprietary PEGylation materials and/or reimbursement for research and development activities. We generally include our costs of performing these services in research and development expense, except for costs for product sales to our collaboration partners which we include in cost of goods sold. We analyze our agreements to determine whether we should account for the agreements within the scope of ASC 808, and, if so, we analyze whether we should account for any elements under ASC 606.</w:t>
      </w:r>
    </w:p>
    <w:p>
      <w:pPr>
        <w:spacing w:after="0" w:line="81" w:lineRule="exact"/>
        <w:rPr>
          <w:sz w:val="20"/>
          <w:szCs w:val="20"/>
          <w:color w:val="auto"/>
        </w:rPr>
      </w:pPr>
    </w:p>
    <w:p>
      <w:pPr>
        <w:ind w:right="600" w:firstLine="567"/>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collaboration agreements in the three and nine months ended September 30, 2022, other than as described below for our Strategic Collaboration Agreement with BMS and Note 4 regarding SFJ.</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Bristol-Myers Squibb Company (BMS)</w:t>
      </w:r>
      <w:r>
        <w:rPr>
          <w:rFonts w:ascii="Times New Roman" w:cs="Times New Roman" w:eastAsia="Times New Roman" w:hAnsi="Times New Roman"/>
          <w:sz w:val="18"/>
          <w:szCs w:val="18"/>
          <w:i w:val="1"/>
          <w:iCs w:val="1"/>
          <w:color w:val="auto"/>
        </w:rPr>
        <w:t>: Bempegaldesleukin, also referred to as NKTR-214</w:t>
      </w:r>
    </w:p>
    <w:p>
      <w:pPr>
        <w:spacing w:after="0" w:line="175" w:lineRule="exact"/>
        <w:rPr>
          <w:sz w:val="20"/>
          <w:szCs w:val="20"/>
          <w:color w:val="auto"/>
        </w:rPr>
      </w:pPr>
    </w:p>
    <w:p>
      <w:pPr>
        <w:ind w:right="80" w:firstLine="567"/>
        <w:spacing w:after="0" w:line="243" w:lineRule="auto"/>
        <w:rPr>
          <w:sz w:val="20"/>
          <w:szCs w:val="20"/>
          <w:color w:val="auto"/>
        </w:rPr>
      </w:pPr>
      <w:r>
        <w:rPr>
          <w:rFonts w:ascii="Times New Roman" w:cs="Times New Roman" w:eastAsia="Times New Roman" w:hAnsi="Times New Roman"/>
          <w:sz w:val="18"/>
          <w:szCs w:val="18"/>
          <w:color w:val="auto"/>
        </w:rPr>
        <w:t>On February 13, 2018, we entered into a Strategic Collaboration Agreement (the BMS Collaboration Agreement) and a Share Purchase Agreement with BMS, both of which became effective on April 3, 2018. Pursuant to the BMS Collaboration Agreement, we and BMS have jointly developed bempegaldesleukin in combination with BMS’s Opdivo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parties share the internal and external development costs for bempegaldesleukin in combination regimens based on each party’s relative ownership interest in the compounds included in the regimens. In accordance with the agreement, the parties share development costs for bempegaldesleukin in combination with Opdivo</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67.5% of costs to BMS and 32.5% to Nektar. The parties share costs for the manufacturing and commercialization of bempegaldesleukin, 35% of the costs to BMS and 65% to Nektar.</w:t>
      </w:r>
    </w:p>
    <w:p>
      <w:pPr>
        <w:spacing w:after="0" w:line="88" w:lineRule="exact"/>
        <w:rPr>
          <w:sz w:val="20"/>
          <w:szCs w:val="20"/>
          <w:color w:val="auto"/>
        </w:rPr>
      </w:pPr>
    </w:p>
    <w:p>
      <w:pPr>
        <w:jc w:val="both"/>
        <w:ind w:right="140" w:firstLine="567"/>
        <w:spacing w:after="0" w:line="261" w:lineRule="auto"/>
        <w:rPr>
          <w:sz w:val="20"/>
          <w:szCs w:val="20"/>
          <w:color w:val="auto"/>
        </w:rPr>
      </w:pPr>
      <w:r>
        <w:rPr>
          <w:rFonts w:ascii="Times New Roman" w:cs="Times New Roman" w:eastAsia="Times New Roman" w:hAnsi="Times New Roman"/>
          <w:sz w:val="18"/>
          <w:szCs w:val="18"/>
          <w:color w:val="auto"/>
        </w:rPr>
        <w:t>Upon the effective date of the BMS Collaboration Agreement in April 2018, BMS paid us a non-refundable upfront cash payment of $1.0 billion and purchased 8,284,600 shares of our common stock pursuant to the Share Purchase Agreement for total additional cash consideration of $850.0 million. In 2020, we received non-refundable milestone payments of $50.0 million in aggregate for the first patient, first visit in the registrational trials in muscle-invasive bladder cancer and adjuvant melanoma.</w:t>
      </w:r>
    </w:p>
    <w:p>
      <w:pPr>
        <w:spacing w:after="0" w:line="72" w:lineRule="exact"/>
        <w:rPr>
          <w:sz w:val="20"/>
          <w:szCs w:val="20"/>
          <w:color w:val="auto"/>
        </w:rPr>
      </w:pPr>
    </w:p>
    <w:p>
      <w:pPr>
        <w:ind w:right="240" w:firstLine="567"/>
        <w:spacing w:after="0" w:line="256" w:lineRule="auto"/>
        <w:rPr>
          <w:sz w:val="20"/>
          <w:szCs w:val="20"/>
          <w:color w:val="auto"/>
        </w:rPr>
      </w:pPr>
      <w:r>
        <w:rPr>
          <w:rFonts w:ascii="Times New Roman" w:cs="Times New Roman" w:eastAsia="Times New Roman" w:hAnsi="Times New Roman"/>
          <w:sz w:val="18"/>
          <w:szCs w:val="18"/>
          <w:color w:val="auto"/>
        </w:rPr>
        <w:t>As discussed in Note 1, on March 14, 2022, we announced our registrational trial in metastatic melanoma did not meet its primary endpoints and that BMS and we decided to discontinue the trials in metastatic melanoma and adjuvant melanoma. On April 14, 2022, we announced that our registrational trials in each of renal cell carcinoma and cisplatin-ineligible, locally advanced or metastatic urothelial cancer did not meet their respective primary endpoints. Due to these results, BMS and we decided that these studies and all other ongoing studies in the program will be discontinued. The decision to terminate the program does not affect the cost-sharing provisions under the BMS Collaboration Agreement. However, without further development of bempegaldesleukin, we will no longer be eligible for the development, regulatory and sales milestones under the arrangement.</w:t>
      </w:r>
    </w:p>
    <w:p>
      <w:pPr>
        <w:spacing w:after="0" w:line="79" w:lineRule="exact"/>
        <w:rPr>
          <w:sz w:val="20"/>
          <w:szCs w:val="20"/>
          <w:color w:val="auto"/>
        </w:rPr>
      </w:pPr>
    </w:p>
    <w:p>
      <w:pPr>
        <w:ind w:right="40" w:firstLine="567"/>
        <w:spacing w:after="0" w:line="256" w:lineRule="auto"/>
        <w:rPr>
          <w:sz w:val="20"/>
          <w:szCs w:val="20"/>
          <w:color w:val="auto"/>
        </w:rPr>
      </w:pPr>
      <w:r>
        <w:rPr>
          <w:rFonts w:ascii="Times New Roman" w:cs="Times New Roman" w:eastAsia="Times New Roman" w:hAnsi="Times New Roman"/>
          <w:sz w:val="18"/>
          <w:szCs w:val="18"/>
          <w:color w:val="auto"/>
        </w:rPr>
        <w:t>We determined that the BMS Collaboration Agreement falls within the scope of ASC 808. As mentioned above, BMS shares certain percentages of development costs incurred by us and we share certain percentages of development costs incurred by BMS. We consider these activities to represent collaborative activities under ASC 808 and we recognize such cost sharing proportionately with the performance of the underlying services. We recognized BMS’ reimbursement of our expenses as a reduction of research and development expense and our reimbursement of BMS’ expenses as research and development expense. As discussed in Note 8, beginning in the three months ended June 30, 2022, we began reporting clinical trial, other third-party costs and employee costs for the bempegaldesleukin program in Restructuring, impairment and other costs of program.</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Accordingly, during the three and nine months ended September 30, 2022, we recorded $8.3 million and $16.7 million, respectively, as a reduction of such expense for the net reimbursement from BMS. During the nine months ended September 30, 2022, we recorded $24.9 million as a reduction of research and development expense for the net reimbursement from BMS, reflecting the reimbursement recorded in the three months ended March 31, 2022. For the three and nine months ended September 30, 2021, we recorded $24.3 million and $76.5 million, respectively, as a reduction of research and development expense for the net reimbursement from BMS. As of September 30, 2022, we have recorded an unbilled receivable of $8.0 million from BMS in accounts receivable in our Condensed Consolidated Balance Sheet.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 Lilly and Company (Lilly</w:t>
      </w:r>
      <w:r>
        <w:rPr>
          <w:rFonts w:ascii="Times New Roman" w:cs="Times New Roman" w:eastAsia="Times New Roman" w:hAnsi="Times New Roman"/>
          <w:sz w:val="18"/>
          <w:szCs w:val="18"/>
          <w:i w:val="1"/>
          <w:iCs w:val="1"/>
          <w:color w:val="auto"/>
        </w:rPr>
        <w:t>): Rezpegaldesleukin (previously referred to as NKTR-358)</w:t>
      </w:r>
    </w:p>
    <w:p>
      <w:pPr>
        <w:spacing w:after="0" w:line="175" w:lineRule="exact"/>
        <w:rPr>
          <w:sz w:val="20"/>
          <w:szCs w:val="20"/>
          <w:color w:val="auto"/>
        </w:rPr>
      </w:pPr>
    </w:p>
    <w:p>
      <w:pPr>
        <w:ind w:right="140" w:firstLine="567"/>
        <w:spacing w:after="0" w:line="261" w:lineRule="auto"/>
        <w:rPr>
          <w:sz w:val="20"/>
          <w:szCs w:val="20"/>
          <w:color w:val="auto"/>
        </w:rPr>
      </w:pPr>
      <w:r>
        <w:rPr>
          <w:rFonts w:ascii="Times New Roman" w:cs="Times New Roman" w:eastAsia="Times New Roman" w:hAnsi="Times New Roman"/>
          <w:sz w:val="18"/>
          <w:szCs w:val="18"/>
          <w:color w:val="auto"/>
        </w:rPr>
        <w:t>On July 23, 2017, we entered into a worldwide license agreement (the Lilly Agreement) with Eli Lilly and Company (Lilly) to co-develop rezpegaldesleukin, a novel immunological drug candidate that we invented, pursuant to which we received an initial payment of $150.0 million and are eligible for up to $250.0 million in additional development and regulatory milestones. We are currently in Phase 1B and Phase 2 development, where we share costs with 75% of the costs borne by Lilly and 25% of the costs borne by us. Lilly is responsible for the costs of Phase 3 development, but we retain</w:t>
      </w:r>
    </w:p>
    <w:p>
      <w:pPr>
        <w:spacing w:after="0" w:line="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option to contribute up to 25% of the costs of Phase 3 development on an indication-by-indication basis in order for us to achieve the maximum royalty level under the Lilly Agreement, and further, if approved, we will have the opportunity to receive a royalty rate up to the low twenties percent based upon our Phase 3 development cost contribution and the level of annual global product sales. Lilly will be responsible for all costs of global commercialization, and we will have an option to co-promote in the U.S. under certain conditions. A portion of the development milestones may be reduced by 50% under certain conditions, related to the final formulation of the approved product and the timing of prior approval (if any) of competitive products with a similar mechanism of action, which could reduce these milestone payments by 75% if both conditions occur.</w:t>
      </w:r>
    </w:p>
    <w:p>
      <w:pPr>
        <w:spacing w:after="0" w:line="79" w:lineRule="exact"/>
        <w:rPr>
          <w:sz w:val="20"/>
          <w:szCs w:val="20"/>
          <w:color w:val="auto"/>
        </w:rPr>
      </w:pPr>
    </w:p>
    <w:p>
      <w:pPr>
        <w:ind w:firstLine="567"/>
        <w:spacing w:after="0" w:line="266" w:lineRule="auto"/>
        <w:rPr>
          <w:sz w:val="20"/>
          <w:szCs w:val="20"/>
          <w:color w:val="auto"/>
        </w:rPr>
      </w:pPr>
      <w:r>
        <w:rPr>
          <w:rFonts w:ascii="Times New Roman" w:cs="Times New Roman" w:eastAsia="Times New Roman" w:hAnsi="Times New Roman"/>
          <w:sz w:val="18"/>
          <w:szCs w:val="18"/>
          <w:color w:val="auto"/>
        </w:rPr>
        <w:t>The Lilly Agreement will continue until Lilly no longer has any royalty payment obligations or, if earlier, the termination of the agreement in accordance with its terms. The Lilly Agreement may be terminated by Lilly for convenience, and may also be terminated under certain other circumstances, including material breach.</w:t>
      </w:r>
    </w:p>
    <w:p>
      <w:pPr>
        <w:spacing w:after="0" w:line="68" w:lineRule="exact"/>
        <w:rPr>
          <w:sz w:val="20"/>
          <w:szCs w:val="20"/>
          <w:color w:val="auto"/>
        </w:rPr>
      </w:pPr>
    </w:p>
    <w:p>
      <w:pPr>
        <w:ind w:right="220" w:firstLine="567"/>
        <w:spacing w:after="0" w:line="266" w:lineRule="auto"/>
        <w:rPr>
          <w:sz w:val="20"/>
          <w:szCs w:val="20"/>
          <w:color w:val="auto"/>
        </w:rPr>
      </w:pPr>
      <w:r>
        <w:rPr>
          <w:rFonts w:ascii="Times New Roman" w:cs="Times New Roman" w:eastAsia="Times New Roman" w:hAnsi="Times New Roman"/>
          <w:sz w:val="18"/>
          <w:szCs w:val="18"/>
          <w:color w:val="auto"/>
        </w:rPr>
        <w:t>Although we are entitled to significant development milestones under this arrangement, through September 30, 2022, we have excluded such milestones from the transaction price due to the significant uncertainties involved with clinical development. We re-evaluate the transaction price at each reporting period and as uncertain events are resolved or other changes in circumstances occur.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75" w:lineRule="exact"/>
        <w:rPr>
          <w:sz w:val="20"/>
          <w:szCs w:val="20"/>
          <w:color w:val="auto"/>
        </w:rPr>
      </w:pPr>
    </w:p>
    <w:p>
      <w:pPr>
        <w:ind w:right="40" w:firstLine="567"/>
        <w:spacing w:after="0" w:line="256" w:lineRule="auto"/>
        <w:rPr>
          <w:sz w:val="20"/>
          <w:szCs w:val="20"/>
          <w:color w:val="auto"/>
        </w:rPr>
      </w:pPr>
      <w:r>
        <w:rPr>
          <w:rFonts w:ascii="Times New Roman" w:cs="Times New Roman" w:eastAsia="Times New Roman" w:hAnsi="Times New Roman"/>
          <w:sz w:val="18"/>
          <w:szCs w:val="18"/>
          <w:color w:val="auto"/>
        </w:rPr>
        <w:t>We have other collaboration agreements that have resulted in commercialized products for our collaborations partners. Under these agreements, we may sell our proprietary PEGylation materials for use in these products, and we are entitled to receive royalties based on net sales of these products as well as sales milestones. As discussed in Note 5, we have sold our rights to receive royalties from these other collaboration agreements. Our non-cash royalty revenue which totaled $18.3 million and $52.2 million for the three and nine months ended September 30, 2022, respectively, and totaled $19.4 million and $58.7 million for the three and nine months ended September 30, 2021, respectively, represents revenue for granting licenses which we had satisfied in prior periods.</w:t>
      </w:r>
    </w:p>
    <w:p>
      <w:pPr>
        <w:spacing w:after="0" w:line="79" w:lineRule="exact"/>
        <w:rPr>
          <w:sz w:val="20"/>
          <w:szCs w:val="20"/>
          <w:color w:val="auto"/>
        </w:rPr>
      </w:pPr>
    </w:p>
    <w:p>
      <w:pPr>
        <w:ind w:right="120" w:firstLine="567"/>
        <w:spacing w:after="0" w:line="261" w:lineRule="auto"/>
        <w:rPr>
          <w:sz w:val="20"/>
          <w:szCs w:val="20"/>
          <w:color w:val="auto"/>
        </w:rPr>
      </w:pPr>
      <w:r>
        <w:rPr>
          <w:rFonts w:ascii="Times New Roman" w:cs="Times New Roman" w:eastAsia="Times New Roman" w:hAnsi="Times New Roman"/>
          <w:sz w:val="18"/>
          <w:szCs w:val="18"/>
          <w:color w:val="auto"/>
        </w:rPr>
        <w:t>Additionally, we have a collaboration agreement for a product under development, under which we are entitled to up to a total of $40.0 million of regulatory milestones, as well as sales milestones upon achievement of annual sales targets and royalties based on net sales of commercialized products, if any. However, given the current phase of development of the potential product under this collaboration agreement, we cannot estimate the probability or timing of achieving these milestones, and, therefore, have excluded all development milestones from the transaction price for this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Restructuring, Impairment and Other Costs of Terminated Program</w:t>
      </w:r>
    </w:p>
    <w:p>
      <w:pPr>
        <w:spacing w:after="0" w:line="175" w:lineRule="exact"/>
        <w:rPr>
          <w:sz w:val="20"/>
          <w:szCs w:val="20"/>
          <w:color w:val="auto"/>
        </w:rPr>
      </w:pPr>
    </w:p>
    <w:p>
      <w:pPr>
        <w:ind w:right="180" w:firstLine="567"/>
        <w:spacing w:after="0" w:line="261" w:lineRule="auto"/>
        <w:rPr>
          <w:sz w:val="20"/>
          <w:szCs w:val="20"/>
          <w:color w:val="auto"/>
        </w:rPr>
      </w:pPr>
      <w:r>
        <w:rPr>
          <w:rFonts w:ascii="Times New Roman" w:cs="Times New Roman" w:eastAsia="Times New Roman" w:hAnsi="Times New Roman"/>
          <w:sz w:val="18"/>
          <w:szCs w:val="18"/>
          <w:color w:val="auto"/>
        </w:rPr>
        <w:t>As discussed in Note 1, because our registrational trials in bempegaldesleukin did not meet their primary endpoints, we decided to discontinue all of our ongoing clinical trials of bempegaldesleukin in combination with checkpoint inhibitors and tyrosine kinase inhibitors, and, during April 2022, we announced the Restructuring Plan to prioritize key Phase 2 development programs, to advance our early stage research pipeline and to reduce our workforce by approximately 70% from approximately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735 to approximately 225 employees. In connection with these events, we reported the following costs in Restructuring, impairment and other costs of terminated program in the three and nine months ended September 30, 2022:</w:t>
      </w:r>
    </w:p>
    <w:p>
      <w:pPr>
        <w:spacing w:after="0" w:line="108" w:lineRule="exact"/>
        <w:rPr>
          <w:sz w:val="20"/>
          <w:szCs w:val="20"/>
          <w:color w:val="auto"/>
        </w:rPr>
      </w:pPr>
    </w:p>
    <w:p>
      <w:pPr>
        <w:ind w:left="660" w:right="1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expense, other third-party costs and employee costs for the wind down of the bempegaldesleukin program, net of the reimbursement from BMS;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and related benefit costs pursuant to the Restructuring Plan;</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right-of-use assets and property, plant and equipment resulting from the Restructuring Plan, primarily reflecting excess office and laboratory leased spaces in San Francisco, CA;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termination and other costs associated with these plans.</w:t>
      </w:r>
    </w:p>
    <w:p>
      <w:pPr>
        <w:spacing w:after="0" w:line="117" w:lineRule="exact"/>
        <w:rPr>
          <w:sz w:val="20"/>
          <w:szCs w:val="20"/>
          <w:color w:val="auto"/>
        </w:rPr>
      </w:pPr>
    </w:p>
    <w:p>
      <w:pPr>
        <w:ind w:right="1120" w:firstLine="567"/>
        <w:spacing w:after="0" w:line="282" w:lineRule="auto"/>
        <w:rPr>
          <w:sz w:val="20"/>
          <w:szCs w:val="20"/>
          <w:color w:val="auto"/>
        </w:rPr>
      </w:pPr>
      <w:r>
        <w:rPr>
          <w:rFonts w:ascii="Times New Roman" w:cs="Times New Roman" w:eastAsia="Times New Roman" w:hAnsi="Times New Roman"/>
          <w:sz w:val="18"/>
          <w:szCs w:val="18"/>
          <w:color w:val="auto"/>
        </w:rPr>
        <w:t>In prior periods through March 31, 2022, we reported the clinical trial costs, other third-party costs and employee costs related to the bempegaldesleukin program primarily in research and development expense.</w:t>
      </w:r>
    </w:p>
    <w:p>
      <w:pPr>
        <w:spacing w:after="0" w:line="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Restructuring, impairment and other costs of terminated program includes the following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8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3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5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trial expense, other third-party and employee costs for the wind down of the bempegaldesleukin program</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28,938</w:t>
            </w:r>
          </w:p>
        </w:tc>
        <w:tc>
          <w:tcPr>
            <w:tcW w:w="0" w:type="dxa"/>
            <w:vAlign w:val="bottom"/>
          </w:tcPr>
          <w:p>
            <w:pPr>
              <w:spacing w:after="0"/>
              <w:rPr>
                <w:sz w:val="1"/>
                <w:szCs w:val="1"/>
                <w:color w:val="auto"/>
              </w:rPr>
            </w:pPr>
          </w:p>
        </w:tc>
      </w:tr>
      <w:tr>
        <w:trPr>
          <w:trHeight w:val="27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and benefit expense</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29,827</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right-of-use assets and property, plant and equipment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58,521</w:t>
            </w:r>
          </w:p>
        </w:tc>
        <w:tc>
          <w:tcPr>
            <w:tcW w:w="0" w:type="dxa"/>
            <w:vAlign w:val="bottom"/>
          </w:tcPr>
          <w:p>
            <w:pPr>
              <w:spacing w:after="0"/>
              <w:rPr>
                <w:sz w:val="1"/>
                <w:szCs w:val="1"/>
                <w:color w:val="auto"/>
              </w:rPr>
            </w:pPr>
          </w:p>
        </w:tc>
      </w:tr>
      <w:tr>
        <w:trPr>
          <w:trHeight w:val="270"/>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termination and other restructuring costs</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10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impairment and other costs of terminated program</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124,350</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firstLine="567"/>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2022, we recorded reductions of expense of $8.3 million and $16.7 million, respectively, for the net reimbursement from BMS, primarily for clinical trial expense, other third-party and employee costs for the wind down of the bempegaldesleukin program.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and Benefit Expense</w:t>
      </w:r>
    </w:p>
    <w:p>
      <w:pPr>
        <w:spacing w:after="0" w:line="175" w:lineRule="exact"/>
        <w:rPr>
          <w:sz w:val="20"/>
          <w:szCs w:val="20"/>
          <w:color w:val="auto"/>
        </w:rPr>
      </w:pPr>
    </w:p>
    <w:p>
      <w:pPr>
        <w:ind w:right="20" w:firstLine="567"/>
        <w:spacing w:after="0" w:line="256" w:lineRule="auto"/>
        <w:rPr>
          <w:sz w:val="20"/>
          <w:szCs w:val="20"/>
          <w:color w:val="auto"/>
        </w:rPr>
      </w:pPr>
      <w:r>
        <w:rPr>
          <w:rFonts w:ascii="Times New Roman" w:cs="Times New Roman" w:eastAsia="Times New Roman" w:hAnsi="Times New Roman"/>
          <w:sz w:val="18"/>
          <w:szCs w:val="18"/>
          <w:color w:val="auto"/>
        </w:rPr>
        <w:t>Employees affected by the reduction in force under our Restructuring Plan are entitled to receive severance payments and certain Company funded benefits. We recognized severance and benefit expense in full for employees who were notified of their termination in April 2022 and have no requirements for future service, and we are recognizing expense for employees who are required to render services to receive their severance and benefits over the service period ratably over the service period. This service period began in April 2022 and all will end during 2022. The following table provides details regarding the severance and other termination benefit expense and a reconciliation of such liability for the three and nine months ended September 30, 2022, which we report within Accrued compensation on our Condensed Consolidated Balance Sheet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0" w:type="dxa"/>
            <w:vAlign w:val="bottom"/>
            <w:gridSpan w:val="7"/>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Three and Nine Months Ended September 30, 2022</w:t>
            </w:r>
          </w:p>
        </w:tc>
        <w:tc>
          <w:tcPr>
            <w:tcW w:w="0" w:type="dxa"/>
            <w:vAlign w:val="bottom"/>
          </w:tcPr>
          <w:p>
            <w:pPr>
              <w:spacing w:after="0"/>
              <w:rPr>
                <w:sz w:val="1"/>
                <w:szCs w:val="1"/>
                <w:color w:val="auto"/>
              </w:rPr>
            </w:pPr>
          </w:p>
        </w:tc>
      </w:tr>
      <w:tr>
        <w:trPr>
          <w:trHeight w:val="23"/>
        </w:trPr>
        <w:tc>
          <w:tcPr>
            <w:tcW w:w="49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9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 service period</w:t>
            </w: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Service period</w:t>
            </w:r>
          </w:p>
        </w:tc>
        <w:tc>
          <w:tcPr>
            <w:tcW w:w="300" w:type="dxa"/>
            <w:vAlign w:val="bottom"/>
          </w:tcPr>
          <w:p>
            <w:pPr>
              <w:spacing w:after="0"/>
              <w:rPr>
                <w:sz w:val="11"/>
                <w:szCs w:val="11"/>
                <w:color w:val="auto"/>
              </w:rPr>
            </w:pPr>
          </w:p>
        </w:tc>
        <w:tc>
          <w:tcPr>
            <w:tcW w:w="100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required</w:t>
            </w: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severance and other termination benefits, at fair value</w:t>
            </w:r>
          </w:p>
        </w:tc>
        <w:tc>
          <w:tcPr>
            <w:tcW w:w="22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30,955</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balance as of March 31, 2022</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Expense recognized during the period</w:t>
            </w:r>
          </w:p>
        </w:tc>
        <w:tc>
          <w:tcPr>
            <w:tcW w:w="2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27,750</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during the period</w:t>
            </w:r>
          </w:p>
        </w:tc>
        <w:tc>
          <w:tcPr>
            <w:tcW w:w="2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(12,881)</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balance as of June 30, 2022</w:t>
            </w:r>
          </w:p>
        </w:tc>
        <w:tc>
          <w:tcPr>
            <w:tcW w:w="2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10,707</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14,869</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Expense recognized during the period</w:t>
            </w:r>
          </w:p>
        </w:tc>
        <w:tc>
          <w:tcPr>
            <w:tcW w:w="2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0" w:type="dxa"/>
            <w:vAlign w:val="bottom"/>
          </w:tcPr>
          <w:p>
            <w:pPr>
              <w:spacing w:after="0"/>
              <w:rPr>
                <w:sz w:val="1"/>
                <w:szCs w:val="1"/>
                <w:color w:val="auto"/>
              </w:rPr>
            </w:pPr>
          </w:p>
        </w:tc>
      </w:tr>
      <w:tr>
        <w:trPr>
          <w:trHeight w:val="270"/>
        </w:trPr>
        <w:tc>
          <w:tcPr>
            <w:tcW w:w="4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Payments during the period</w:t>
            </w:r>
          </w:p>
        </w:tc>
        <w:tc>
          <w:tcPr>
            <w:tcW w:w="22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(9,544)</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(12,049)</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balance as of September 30, 2022</w:t>
            </w:r>
          </w:p>
        </w:tc>
        <w:tc>
          <w:tcPr>
            <w:tcW w:w="2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CCEEFF"/>
            </w:tcBorders>
            <w:vMerge w:val="restart"/>
          </w:tcPr>
          <w:p>
            <w:pPr>
              <w:jc w:val="right"/>
              <w:ind w:right="13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92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0" w:firstLine="567"/>
        <w:spacing w:after="0" w:line="266" w:lineRule="auto"/>
        <w:rPr>
          <w:sz w:val="20"/>
          <w:szCs w:val="20"/>
          <w:color w:val="auto"/>
        </w:rPr>
      </w:pPr>
      <w:r>
        <w:rPr>
          <w:rFonts w:ascii="Times New Roman" w:cs="Times New Roman" w:eastAsia="Times New Roman" w:hAnsi="Times New Roman"/>
          <w:sz w:val="18"/>
          <w:szCs w:val="18"/>
          <w:color w:val="auto"/>
        </w:rPr>
        <w:t>In the three months ended September 30, 2022, we recorded a reduction to severance and benefits expense for a decrease in the estimated utilization of Company-funded post-employment benefits, and we may record similar adjustments in future periods. However, we do not expect that such adjustments will have a material effect on our results of operations or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Right-of-Use Assets and Property, Plant and Equipment</w:t>
      </w:r>
    </w:p>
    <w:p>
      <w:pPr>
        <w:spacing w:after="0" w:line="175" w:lineRule="exact"/>
        <w:rPr>
          <w:sz w:val="20"/>
          <w:szCs w:val="20"/>
          <w:color w:val="auto"/>
        </w:rPr>
      </w:pPr>
    </w:p>
    <w:p>
      <w:pPr>
        <w:ind w:right="260" w:firstLine="567"/>
        <w:spacing w:after="0" w:line="261" w:lineRule="auto"/>
        <w:rPr>
          <w:sz w:val="20"/>
          <w:szCs w:val="20"/>
          <w:color w:val="auto"/>
        </w:rPr>
      </w:pPr>
      <w:r>
        <w:rPr>
          <w:rFonts w:ascii="Times New Roman" w:cs="Times New Roman" w:eastAsia="Times New Roman" w:hAnsi="Times New Roman"/>
          <w:sz w:val="18"/>
          <w:szCs w:val="18"/>
          <w:color w:val="auto"/>
        </w:rPr>
        <w:t>In connection with our Restructuring Plan, we have consolidated our operations by exiting all of the office space from our leased facility at 360 Third St. and certain laboratory and office spaces at our leased facility at 455 Mission Bay Blvd. South, both in San Francisco, CA. We are seeking to sublease these spaces, while still maintaining sufficient office and laboratory space to allow our team to develop our proprietary programs. We have also terminated all research and development activities at our owned facility in India, which we plan to sell.</w:t>
      </w:r>
    </w:p>
    <w:p>
      <w:pPr>
        <w:spacing w:after="0" w:line="72" w:lineRule="exact"/>
        <w:rPr>
          <w:sz w:val="20"/>
          <w:szCs w:val="20"/>
          <w:color w:val="auto"/>
        </w:rPr>
      </w:pPr>
    </w:p>
    <w:p>
      <w:pPr>
        <w:ind w:right="20" w:firstLine="567"/>
        <w:spacing w:after="0" w:line="252" w:lineRule="auto"/>
        <w:rPr>
          <w:sz w:val="20"/>
          <w:szCs w:val="20"/>
          <w:color w:val="auto"/>
        </w:rPr>
      </w:pPr>
      <w:r>
        <w:rPr>
          <w:rFonts w:ascii="Times New Roman" w:cs="Times New Roman" w:eastAsia="Times New Roman" w:hAnsi="Times New Roman"/>
          <w:sz w:val="18"/>
          <w:szCs w:val="18"/>
          <w:color w:val="auto"/>
        </w:rPr>
        <w:t>As a result of these plans, we reviewed each of our excess spaces for impairment as of May 31, 2022, when management had determined which spaces we would retain and which spaces we may sublease, and subsequently at each reporting date or as facts and circumstances change. As part of our impairment evaluation of each excess space, we separately compared the estimated undiscounted income for each sublease to the net book value of the related long-term assets, which include right-of-use assets and certain property, plant and equipment, primarily for leasehold improvements (collectively, sublease assets). We estimated sublease income using market participant assumptions, including the length of time to enter into a sublease and sublease payments, which we evaluated using sublease negotiations or agreements when applicable, current real estate trends and market conditions. If such income exceeded the net book value of the related assets, we did not record an impairment charge. Otherwise, we recorded an impairment charge by reducing the net book value of the assets to their estimated fair value, which we determined by discounting the estimated sublease income using the estimated borrowing rate of a market participant subtenant, which we estimated to be 6.4%. For our India site, we recorded no impairment charge because the estimated net proceeds from the anticipated sale exceed the net book value of the site. We have classified the India facility as an asset held for sale as of September 30, 2022 and report this in other current assets in our Condensed Consolidated Balance Sheet. Additionally, we recorded an impairment expense primarily for software which we plan to abandon and certain excess equipment based on the estimated income from selling such assets, which we also present as assets held for sale in other current assets in our Condensed Consolidated Balance Sheet as of September 30, 2022. We recorded impairment charges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80" w:type="dxa"/>
            <w:vAlign w:val="bottom"/>
            <w:gridSpan w:val="6"/>
          </w:tcPr>
          <w:p>
            <w:pPr>
              <w:jc w:val="center"/>
              <w:ind w:left="535"/>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140" w:type="dxa"/>
            <w:vAlign w:val="bottom"/>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140" w:type="dxa"/>
            <w:vAlign w:val="bottom"/>
          </w:tcPr>
          <w:p>
            <w:pPr>
              <w:spacing w:after="0"/>
              <w:rPr>
                <w:sz w:val="11"/>
                <w:szCs w:val="11"/>
                <w:color w:val="auto"/>
              </w:rPr>
            </w:pPr>
          </w:p>
        </w:tc>
        <w:tc>
          <w:tcPr>
            <w:tcW w:w="140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Property, Plant and</w:t>
            </w: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Operating Lease</w:t>
            </w:r>
          </w:p>
        </w:tc>
        <w:tc>
          <w:tcPr>
            <w:tcW w:w="480" w:type="dxa"/>
            <w:vAlign w:val="bottom"/>
          </w:tcPr>
          <w:p>
            <w:pPr>
              <w:spacing w:after="0"/>
              <w:rPr>
                <w:sz w:val="11"/>
                <w:szCs w:val="11"/>
                <w:color w:val="auto"/>
              </w:rPr>
            </w:pPr>
          </w:p>
        </w:tc>
        <w:tc>
          <w:tcPr>
            <w:tcW w:w="82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5"/>
        </w:trPr>
        <w:tc>
          <w:tcPr>
            <w:tcW w:w="7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Right-of-Use Assets</w:t>
            </w:r>
          </w:p>
        </w:tc>
        <w:tc>
          <w:tcPr>
            <w:tcW w:w="4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book value of impaired facilities before write-off</w:t>
            </w: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16,348</w:t>
            </w:r>
          </w:p>
        </w:tc>
        <w:tc>
          <w:tcPr>
            <w:tcW w:w="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74,191</w:t>
            </w:r>
          </w:p>
        </w:tc>
        <w:tc>
          <w:tcPr>
            <w:tcW w:w="10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90,539</w:t>
            </w:r>
          </w:p>
        </w:tc>
        <w:tc>
          <w:tcPr>
            <w:tcW w:w="0" w:type="dxa"/>
            <w:vAlign w:val="bottom"/>
          </w:tcPr>
          <w:p>
            <w:pPr>
              <w:spacing w:after="0"/>
              <w:rPr>
                <w:sz w:val="1"/>
                <w:szCs w:val="1"/>
                <w:color w:val="auto"/>
              </w:rPr>
            </w:pPr>
          </w:p>
        </w:tc>
      </w:tr>
      <w:tr>
        <w:trPr>
          <w:trHeight w:val="27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Fair value of impaired facilities — Level 3 of Fair Value Hierarchy</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(30,162)</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(37,138)</w:t>
            </w:r>
          </w:p>
        </w:tc>
        <w:tc>
          <w:tcPr>
            <w:tcW w:w="0" w:type="dxa"/>
            <w:vAlign w:val="bottom"/>
          </w:tcPr>
          <w:p>
            <w:pPr>
              <w:spacing w:after="0"/>
              <w:rPr>
                <w:sz w:val="1"/>
                <w:szCs w:val="1"/>
                <w:color w:val="auto"/>
              </w:rPr>
            </w:pPr>
          </w:p>
        </w:tc>
      </w:tr>
      <w:tr>
        <w:trPr>
          <w:trHeight w:val="25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expense for facilities</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44,029</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53,401</w:t>
            </w:r>
          </w:p>
        </w:tc>
        <w:tc>
          <w:tcPr>
            <w:tcW w:w="0" w:type="dxa"/>
            <w:vAlign w:val="bottom"/>
          </w:tcPr>
          <w:p>
            <w:pPr>
              <w:spacing w:after="0"/>
              <w:rPr>
                <w:sz w:val="1"/>
                <w:szCs w:val="1"/>
                <w:color w:val="auto"/>
              </w:rPr>
            </w:pPr>
          </w:p>
        </w:tc>
      </w:tr>
      <w:tr>
        <w:trPr>
          <w:trHeight w:val="27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other property, plant and equipment</w:t>
            </w: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0" w:type="dxa"/>
            <w:vAlign w:val="bottom"/>
          </w:tcPr>
          <w:p>
            <w:pPr>
              <w:spacing w:after="0"/>
              <w:rPr>
                <w:sz w:val="1"/>
                <w:szCs w:val="1"/>
                <w:color w:val="auto"/>
              </w:rPr>
            </w:pPr>
          </w:p>
        </w:tc>
      </w:tr>
      <w:tr>
        <w:trPr>
          <w:trHeight w:val="248"/>
        </w:trPr>
        <w:tc>
          <w:tcPr>
            <w:tcW w:w="71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impairment of right-of-use assets and property, plant and equipment</w:t>
            </w: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14,492</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58,521</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the three months ended September 30, 2022, we recorded an impairment charge of $1.2 million for a right-of-use asset based on changes to sublease negotiations during such period. We may record adjustments to impairment expense in future periods as we enter into sublease or sale agreements or update our estimates when additional information becomes available to us.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property, plant and equipment as of September 30, 2022 and December 31, 2021, reflecting the effects of the impairment charges and held-for-sale reclassifications.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Pr>
          <w:p>
            <w:pPr>
              <w:spacing w:after="0"/>
              <w:rPr>
                <w:sz w:val="16"/>
                <w:szCs w:val="16"/>
                <w:color w:val="auto"/>
              </w:rPr>
            </w:pPr>
          </w:p>
        </w:tc>
        <w:tc>
          <w:tcPr>
            <w:tcW w:w="140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8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leasehold improvements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97,385</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42,704</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28,829</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equipment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22,374</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other</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10,094</w:t>
            </w:r>
          </w:p>
        </w:tc>
      </w:tr>
      <w:tr>
        <w:trPr>
          <w:trHeight w:val="223"/>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Depreciable property, plant and equipment at cost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201,386</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(135,064)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(148,039)</w:t>
            </w:r>
          </w:p>
        </w:tc>
      </w:tr>
      <w:tr>
        <w:trPr>
          <w:trHeight w:val="223"/>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Depreciable property, plant and equipment, net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53,347</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w:t>
            </w:r>
          </w:p>
        </w:tc>
      </w:tr>
      <w:tr>
        <w:trPr>
          <w:trHeight w:val="223"/>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36,803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60,510</w:t>
            </w:r>
          </w:p>
        </w:tc>
      </w:tr>
      <w:tr>
        <w:trPr>
          <w:trHeight w:val="20"/>
        </w:trPr>
        <w:tc>
          <w:tcPr>
            <w:tcW w:w="8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Stock-Based Compensation</w:t>
      </w:r>
    </w:p>
    <w:p>
      <w:pPr>
        <w:spacing w:after="0" w:line="175" w:lineRule="exact"/>
        <w:rPr>
          <w:sz w:val="20"/>
          <w:szCs w:val="20"/>
          <w:color w:val="auto"/>
        </w:rPr>
      </w:pPr>
    </w:p>
    <w:p>
      <w:pPr>
        <w:ind w:right="240" w:firstLine="567"/>
        <w:spacing w:after="0" w:line="282" w:lineRule="auto"/>
        <w:rPr>
          <w:sz w:val="20"/>
          <w:szCs w:val="20"/>
          <w:color w:val="auto"/>
        </w:rPr>
      </w:pPr>
      <w:r>
        <w:rPr>
          <w:rFonts w:ascii="Times New Roman" w:cs="Times New Roman" w:eastAsia="Times New Roman" w:hAnsi="Times New Roman"/>
          <w:sz w:val="18"/>
          <w:szCs w:val="18"/>
          <w:color w:val="auto"/>
        </w:rPr>
        <w:t>On June 8, 2022, the stockholders of Nektar approved an amendment to the Amended and Restated 2017 Performance Incentive Plan to increase the aggregate number of shares of Common Stock authorized for issuance thereunder by 5,000,000 shares.</w:t>
      </w:r>
    </w:p>
    <w:p>
      <w:pPr>
        <w:spacing w:after="0" w:line="108" w:lineRule="exact"/>
        <w:rPr>
          <w:sz w:val="20"/>
          <w:szCs w:val="20"/>
          <w:color w:val="auto"/>
        </w:rPr>
      </w:pPr>
    </w:p>
    <w:p>
      <w:pPr>
        <w:ind w:right="80" w:firstLine="567"/>
        <w:spacing w:after="0" w:line="263" w:lineRule="auto"/>
        <w:rPr>
          <w:sz w:val="20"/>
          <w:szCs w:val="20"/>
          <w:color w:val="auto"/>
        </w:rPr>
      </w:pPr>
      <w:r>
        <w:rPr>
          <w:rFonts w:ascii="Times New Roman" w:cs="Times New Roman" w:eastAsia="Times New Roman" w:hAnsi="Times New Roman"/>
          <w:sz w:val="18"/>
          <w:szCs w:val="18"/>
          <w:color w:val="auto"/>
        </w:rPr>
        <w:t>In connection with our Restructuring Plan, we recorded the benefit for the forfeitures of stock awards from employees who were terminated as part of our reduction-in-force during the nine months ended September 30, 2022. We recognized total stock-based compensation expense in our Condensed Consolidated Statements of Operations as follows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500" w:type="dxa"/>
            <w:vAlign w:val="bottom"/>
            <w:gridSpan w:val="4"/>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57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r>
      <w:tr>
        <w:trPr>
          <w:trHeight w:val="27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41,779</w:t>
            </w:r>
          </w:p>
        </w:tc>
      </w:tr>
      <w:tr>
        <w:trPr>
          <w:trHeight w:val="27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28,359</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impairment and other costs of terminated program</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7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72,269</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issued stock-based awards of our common stock as follows (shares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800" w:type="dxa"/>
            <w:vAlign w:val="bottom"/>
            <w:gridSpan w:val="6"/>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3"/>
                <w:szCs w:val="13"/>
                <w:color w:val="auto"/>
              </w:rPr>
            </w:pPr>
          </w:p>
        </w:tc>
        <w:tc>
          <w:tcPr>
            <w:tcW w:w="2400" w:type="dxa"/>
            <w:vAlign w:val="bottom"/>
            <w:gridSpan w:val="4"/>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740" w:type="dxa"/>
            <w:vAlign w:val="bottom"/>
          </w:tcPr>
          <w:p>
            <w:pPr>
              <w:spacing w:after="0"/>
              <w:rPr>
                <w:sz w:val="16"/>
                <w:szCs w:val="16"/>
                <w:color w:val="auto"/>
              </w:rPr>
            </w:pPr>
          </w:p>
        </w:tc>
        <w:tc>
          <w:tcPr>
            <w:tcW w:w="2800" w:type="dxa"/>
            <w:vAlign w:val="bottom"/>
            <w:gridSpan w:val="6"/>
            <w:vMerge w:val="continue"/>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74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5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8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5,890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7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grant-date fair value of options granted</w:t>
            </w:r>
          </w:p>
        </w:tc>
        <w:tc>
          <w:tcPr>
            <w:tcW w:w="80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7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80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3,896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r>
        <w:trPr>
          <w:trHeight w:val="27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grant-date fair value of RSUs granted</w:t>
            </w:r>
          </w:p>
        </w:tc>
        <w:tc>
          <w:tcPr>
            <w:tcW w:w="80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Net Loss Per Share</w:t>
      </w:r>
    </w:p>
    <w:p>
      <w:pPr>
        <w:spacing w:after="0" w:line="175" w:lineRule="exact"/>
        <w:rPr>
          <w:sz w:val="20"/>
          <w:szCs w:val="20"/>
          <w:color w:val="auto"/>
        </w:rPr>
      </w:pPr>
    </w:p>
    <w:p>
      <w:pPr>
        <w:ind w:firstLine="567"/>
        <w:spacing w:after="0" w:line="261" w:lineRule="auto"/>
        <w:rPr>
          <w:sz w:val="20"/>
          <w:szCs w:val="20"/>
          <w:color w:val="auto"/>
        </w:rPr>
      </w:pPr>
      <w:r>
        <w:rPr>
          <w:rFonts w:ascii="Times New Roman" w:cs="Times New Roman" w:eastAsia="Times New Roman" w:hAnsi="Times New Roman"/>
          <w:sz w:val="18"/>
          <w:szCs w:val="18"/>
          <w:color w:val="auto"/>
        </w:rPr>
        <w:t>We calculate basic net loss per share based on the weighted-average number of common shares outstanding during the periods presented and calculate diluted net loss per share based on the weighted-average number of shares of common stock outstanding, including potentially dilutive securities. For all periods presented in the accompanying Condensed Consolidated Statements of Operations, our net loss available to common stockholders equals the reported net loss.</w:t>
      </w:r>
    </w:p>
    <w:p>
      <w:pPr>
        <w:spacing w:after="0" w:line="72" w:lineRule="exact"/>
        <w:rPr>
          <w:sz w:val="20"/>
          <w:szCs w:val="20"/>
          <w:color w:val="auto"/>
        </w:rPr>
      </w:pPr>
    </w:p>
    <w:p>
      <w:pPr>
        <w:ind w:right="280" w:firstLine="567"/>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are the same due to our net losses and the requirement to exclude potentially dilutive securities which would have an antidilutive effect on net loss per share. Potentially dilutive securities consisted of weighted-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common shares underlying outstanding stock options and RSUs as follows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800" w:type="dxa"/>
            <w:vAlign w:val="bottom"/>
            <w:gridSpan w:val="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70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38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800" w:type="dxa"/>
            <w:vAlign w:val="bottom"/>
            <w:gridSpan w:val="4"/>
            <w:vMerge w:val="continue"/>
          </w:tcPr>
          <w:p>
            <w:pPr>
              <w:spacing w:after="0"/>
              <w:rPr>
                <w:sz w:val="16"/>
                <w:szCs w:val="16"/>
                <w:color w:val="auto"/>
              </w:rPr>
            </w:pPr>
          </w:p>
        </w:tc>
        <w:tc>
          <w:tcPr>
            <w:tcW w:w="184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20" w:type="dxa"/>
            <w:vAlign w:val="bottom"/>
            <w:tcBorders>
              <w:bottom w:val="single" w:sz="8" w:color="CCEEFF"/>
            </w:tcBorders>
          </w:tcPr>
          <w:p>
            <w:pPr>
              <w:spacing w:after="0"/>
              <w:rPr>
                <w:sz w:val="16"/>
                <w:szCs w:val="16"/>
                <w:color w:val="auto"/>
              </w:rPr>
            </w:pPr>
          </w:p>
        </w:tc>
        <w:tc>
          <w:tcPr>
            <w:tcW w:w="1920" w:type="dxa"/>
            <w:vAlign w:val="bottom"/>
            <w:tcBorders>
              <w:bottom w:val="single" w:sz="8" w:color="CCEEFF"/>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5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Potentially dilutive securities</w:t>
            </w:r>
          </w:p>
        </w:tc>
        <w:tc>
          <w:tcPr>
            <w:tcW w:w="3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19,575</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17,634</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20,809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18,454</w:t>
            </w:r>
          </w:p>
        </w:tc>
        <w:tc>
          <w:tcPr>
            <w:tcW w:w="0" w:type="dxa"/>
            <w:vAlign w:val="bottom"/>
          </w:tcPr>
          <w:p>
            <w:pPr>
              <w:spacing w:after="0"/>
              <w:rPr>
                <w:sz w:val="1"/>
                <w:szCs w:val="1"/>
                <w:color w:val="auto"/>
              </w:rPr>
            </w:pPr>
          </w:p>
        </w:tc>
      </w:tr>
      <w:tr>
        <w:trPr>
          <w:trHeight w:val="904"/>
        </w:trPr>
        <w:tc>
          <w:tcPr>
            <w:tcW w:w="382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2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following discussion contains forward-looking statements that involve risks and uncertainties. Our actual results could differ materially from those discussed here. Factors that could cause or contribute to such differences include, but are not limited to those discussed in this section as well as factors described in Part II, Item 1A “Risk Factors.”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Direction of Our Business</w:t>
      </w:r>
    </w:p>
    <w:p>
      <w:pPr>
        <w:spacing w:after="0" w:line="17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Nektar Therapeutics is a research-based biopharmaceutical company that discovers and develops innovative new medicines in areas of high unmet medical need. Our research and development pipeline of new investigational drugs includes potential therapies for oncology and immunology. We leverage our proprietary and proven chemistry platform to discover and design new drug candidates. These drug candidates utilize our advanced polymer conjugate technology platforms, which are designed to enable the development of new molecular entities that target known mechanisms of action. We continue to make significant investments in new drug discovery and advancing our pipeline of drug candidates as we believe that this is the best strategy to build long-term stockholder value.</w:t>
      </w:r>
    </w:p>
    <w:p>
      <w:pPr>
        <w:spacing w:after="0" w:line="79" w:lineRule="exact"/>
        <w:rPr>
          <w:sz w:val="20"/>
          <w:szCs w:val="20"/>
          <w:color w:val="auto"/>
        </w:rPr>
      </w:pPr>
    </w:p>
    <w:p>
      <w:pPr>
        <w:ind w:right="60" w:firstLine="648"/>
        <w:spacing w:after="0" w:line="225" w:lineRule="auto"/>
        <w:rPr>
          <w:sz w:val="20"/>
          <w:szCs w:val="20"/>
          <w:color w:val="auto"/>
        </w:rPr>
      </w:pPr>
      <w:r>
        <w:rPr>
          <w:rFonts w:ascii="Times New Roman" w:cs="Times New Roman" w:eastAsia="Times New Roman" w:hAnsi="Times New Roman"/>
          <w:sz w:val="18"/>
          <w:szCs w:val="18"/>
          <w:color w:val="auto"/>
        </w:rPr>
        <w:t>In oncology, we focus on developing medicines in immuno-oncology (I-O), which is a therapeutic approach based on targeting biological pathways that stimulate and sustain the body’s immune response in order to fight cancer. In the I-O area, we executed a broad clinical development program to develop bempegaldesleukin (formerly NKTR-214) in combination with Opdivo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(nivolumab) in collaboration with Bristol-Myers Squibb Company (BMS) under our Strategic Collaboration Agreement. We also conducted independent development work evaluating bempegaldesleukin in combination with other checkpoint inhibitors and agents with potential complementary mechanisms of action, including studies evaluating bempegaldesleukin combination with Keytruda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(pembrolizumab). In April 2022, we and BMS jointly announced that the companies would be ending the global clinical development program for bempegaldesleukin in combination with Opdivo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discontinue all ongoing studies in our collaboration with BMS. We also decided to discontinue all studies of bempegaldesleukin in combination with Keytruda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as well as our studies of NKTR-262, which was being evaluated in combination with bempegaldesleukin.</w:t>
      </w:r>
    </w:p>
    <w:p>
      <w:pPr>
        <w:spacing w:after="0" w:line="90"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In April 2022, we announced new strategic reorganization and cost restructuring plans (together, the Restructuring Plan) focused on prioritizing key research and development efforts that will be most impactful to the Company’s future, including our NKTR-255 and rezpegaldesleukin (previously referred to as NKTR-358) programs and several core research programs.</w:t>
      </w:r>
    </w:p>
    <w:p>
      <w:pPr>
        <w:spacing w:after="0" w:line="6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NKTR-255 is a biologic that targets the IL-15 pathway in order to activate the body’s innate and adaptive immunity. Activation of the IL-15 pathway enhances the survival and function of natural killer (NK) cells and induces survival of both effector and CD8+ memory T cells. Recombinant human IL-15 is rapidly cleared from the body and must be administered frequently and in high doses limiting its utility due to toxicity. Through optimal engagement of the IL-15 receptor complex, NKTR-255 is designed to enhance functional NK cell populations and formation of long-term immunological memory, which may lead to sustained and durable anti-tumor immune response. Preclinical findings suggest NKTR-255 has the potential to synergistically combine with antibody-dependent cellular cytotoxicity molecules as well as to enhance CAR-T therapies. We have initiated a Phase 1 dose escalation and expansion clinical study of NKTR-255 in adults with relapsed or refractory non-Hodgkin lymphoma or multiple myeloma, as well as a Phase 1/2 clinical study of NKTR-255 in patients with relapsed or refractory head and neck squamous cell carcinoma or colorectal cancer. We are continuing our oncology clinical collaboration with Merck KGaA and Pfizer Inc. to evaluate the maintenance regimen of NKTR-255 in combination with avelumab, a PD-L1 inhibitor, in patients with locally advanced or metastatic urothelial carcinoma in the Phase II JAVELIN Bladder Medley study. We are also designing a Nektar-sponsored Phase 2/3 study to combine NKTR-255 with approved autologous CAR-T therapies in relapsed/refractory large B-cell lymphoma, to be initiated in the first quarter of 2023.</w:t>
      </w:r>
    </w:p>
    <w:p>
      <w:pPr>
        <w:spacing w:after="0" w:line="8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immunology, we recognize that a large number of diseases and conditions are caused by an imbalance in the body’s immune system. Pharmaceutical agents designed to restore balance to the immune system can be used to help patients suffering from immunology-based conditions, such as autoimmune diseases and inflammatory diseases. Our drug candidate rezpegaldesleukin is being developed as a once or twice monthly self-administered injection for a number of autoimmune diseases and inflammatory diseasesis, and is designed to optimally target the IL-2 receptor complex in order to stimulate proliferation and growth of regulatory T cells. In 2017, we entered into a worldwide license agreement with Eli Lilly and Company (Lilly) to develop and commercialize rezpegaldesleukin, pursuant to which we received an initial payment of $150.0 million and are eligible for up to an additional $250.0 million for development and regulatory milestones. We have completed our responsibilities for Phase 1 clinical development and certain drug product development and supply activities. We also share Phase 2 development costs with Lilly, with Lilly responsible for 75% and Nektar responsible for</w:t>
      </w:r>
    </w:p>
    <w:p>
      <w:pPr>
        <w:spacing w:after="0" w:line="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25% of these costs. Lilly is responsible for the costs of Phase 3 development, but we retain the option to contribute up to 25% of the costs of Phase 3 development on an indication-by-indication basis in order for us to achieve the maximum royalty level under the Lilly Agreement, and further, if approved, we will</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have the opportunity to receive a royalty rate up to the low twenties percent based upon our Phase 3 development cost contribution and the level of annual global product sales.</w:t>
      </w:r>
    </w:p>
    <w:p>
      <w:pPr>
        <w:spacing w:after="0" w:line="54"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have completed a Phase 1 dose-finding trial of rezpegaldesleukin to evaluate single-ascending doses of rezpegaldesleukin in approximately 100 healthy patients. We also completed treatment of a Phase 1 multiple-ascending dose trial to evaluate rezpegaldesleukin in patients with systemic lupus erythematosus (SLE). Lilly is conducting two Phase 1b studies in patients with psoriasis and atopic dermatitis, and based on positive interim Phase 1b results in atopic dermatitis announced in December 2021, Lilly is planning to initiate a Phase 2 study in atopic dermatitis. Lilly also initiated a Phase 2 study in SLE in October 2020 and a Phase 2 study in ulcerative colitis in March 2021. In April 2022, we announced that Lilly had informed us that an interim analysis in the Phase 2 study in ulcerative colitis led to the discontinuation of further development in this indication. Lilly also plans to initiate another Phase 2 study in another immune-mediated disease to potentially start in 2023.</w:t>
      </w:r>
    </w:p>
    <w:p>
      <w:pPr>
        <w:spacing w:after="0" w:line="8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have historically derived all of our revenue and substantial amounts of operating capital from our collaboration agreements. In addition to our collaborations with BMS and Lilly, we have received upfront and milestone payments under a number of other previous collaboration agreements, several of which have resulted in approved drugs, for which we may continue to manufacture the polymer reagents used in the production of the drug products and may be entitled to royalties for net sales of these approved drugs. As of December 31, 2020, however, we have sold the majority of our rights to receive royalties under these arrangements, including:</w:t>
      </w:r>
    </w:p>
    <w:p>
      <w:pPr>
        <w:spacing w:after="0" w:line="72" w:lineRule="exact"/>
        <w:rPr>
          <w:sz w:val="20"/>
          <w:szCs w:val="20"/>
          <w:color w:val="auto"/>
        </w:rPr>
      </w:pPr>
    </w:p>
    <w:p>
      <w:pPr>
        <w:ind w:left="660" w:right="20" w:hanging="328"/>
        <w:spacing w:after="0" w:line="229" w:lineRule="auto"/>
        <w:tabs>
          <w:tab w:leader="none" w:pos="65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2012 Purchase and Sale Agreement: In 2012, we sold all of our rights to receive royalties from CIMZIA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(for the treatment of Crohn’s disease and other autoimmune indications) and MIRCERA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(for the treatment of anemia associated with chronic kidney disease) under our collaborations with UCB Pharma and F. Hoffmann-La Roche Ltd, respectively, to RPI Finance Trust (RPI), an affiliate of Royalty Pharma for $124.0 million.</w:t>
      </w:r>
    </w:p>
    <w:p>
      <w:pPr>
        <w:spacing w:after="0" w:line="86" w:lineRule="exact"/>
        <w:rPr>
          <w:rFonts w:ascii="Times New Roman" w:cs="Times New Roman" w:eastAsia="Times New Roman" w:hAnsi="Times New Roman"/>
          <w:sz w:val="17"/>
          <w:szCs w:val="17"/>
          <w:color w:val="auto"/>
        </w:rPr>
      </w:pPr>
    </w:p>
    <w:p>
      <w:pPr>
        <w:ind w:left="660" w:right="20" w:hanging="328"/>
        <w:spacing w:after="0" w:line="233"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2020 Purchase and Sale Agreement: In December 2020, we sold our rights, subject to a cap, to receive royalties from MOVANTIK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 MOVENTIG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the treatment of opioid-induced constipation), ADYNOVATE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 ADYNOVI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 half-life extension product of Factor VIII) and other hemophilia products, under our arrangements with AstraZeneca AB, Baxalta, Inc. (a wholly owned-subsidiary of Takeda Pharmaceutical Company Ltd.), and Novo Nordisk A/S, respectively, for $150.0 million to entities managed by HealthCare Royalty Management (HCR) under a capped sale arrangement, such that all future royalties return to Nektar if HCR receives $210.0 million in royalties by December 31, 2025 (the 2025 Threshold) or $240.0 million if the 2025 Threshold is not met.</w:t>
      </w:r>
    </w:p>
    <w:p>
      <w:pPr>
        <w:spacing w:after="0" w:line="90"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17"/>
          <w:szCs w:val="17"/>
          <w:color w:val="auto"/>
        </w:rPr>
        <w:t>While in the near-term we continue to expect to generate substantially all of our revenue from collaboration arrangements, our long-term plan is to generate significant commercial revenue from proprietary products. Over the next several years, we plan to continue to make significant investments to advance our early drug candidate pipeline. We have several drug candidates in earlier stage clinical development or are being explored in research and that we are preparing to advance into clinical trials in future years. We are cultivating several research programs, including a collaboration with Biolojic Design to develop a unique bivalent antibody targeting TNFR2 and our NKTR-288 research program. NKTR-288 is a PEG conjugate of the protein interferon gamma that is designed utilizing a site-specific conjugation approach to modify binding of interferon gamma with one of its substrates and to optimize the pharmacodynamic duration of interferon gamma signaling. NKTR-288 has potential applications in a number of therapeutic indications in oncology and other infectious diseases. We believe that our substantial investment in research and development has the potential to create significant value if one or more of our drug candidates demonstrates positive clinical results, receives regulatory approval in one or more major markets and achieves commercial success.</w:t>
      </w:r>
    </w:p>
    <w:p>
      <w:pPr>
        <w:spacing w:after="0" w:line="6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business is subject to significant risks, including the risks inherent in our development efforts, the results of our clinical trials, our dependence on the marketing efforts by our collaboration partners, uncertainties associated with obtaining and enforcing patents, the lengthy and expensive regulatory approval process and competition from other products. Drug research and development is an inherently uncertain process with a high risk of failure at every stage prior to approval. The timing and outcome of clinical trial results are extremely difficult to predict. Clinical development successes and failures can have a disproportionately positive or negative impact on our scientific and medical prospects, financial condition and prospects, results of operations and market opportunities. For a discussion of these and some of the other key risks and uncertainties affecting our business, see Item 1A “Risk Factors.”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the COVID-19 Pandemic</w:t>
      </w:r>
    </w:p>
    <w:p>
      <w:pPr>
        <w:spacing w:after="0" w:line="17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continue to actively monitor the ongoing COVID-19 pandemic and applicable government recommendations in light of new developments. Currently, our operations in research, manufacturing and maintenance that occur within our facilities are continuing in accordance with applicable guidelines and orders. Across all our locations, we have instituted a temporary work from home policy for office personnel who do not need to work on site to maintain productivity and we allow employees to voluntarily return to work on site with appropriate health and safety measures. We believe that the safety measures we are taking and instructing our contractors to take in response to the COVID-19 pandemic meet or exceed the guidance and requirements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issued from government and public health officials. We also continue to monitor our supply chains for any disruptions or constraints caused by the COVID-19 pandemic. To date, we have not experienced any significant impacts on our supply, but ongoing global shortages in labor, raw materials and equipment could limit our ability to manufacture our products or to supply drug candidates for our clinical trials, or delay our research and development efforts.</w:t>
      </w:r>
    </w:p>
    <w:p>
      <w:pPr>
        <w:spacing w:after="0" w:line="5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and our partners are currently engaged in the clinical testing of our drug candidates and the COVID-19 pandemic introduces challenges to our clinical development programs which are central to our business. Nektar’s Phase 1 clinical study of NKTR-255 in patients with relapsed/refractory hematologic malignancies has enrolled slower than anticipated due to the challenges caused by the COVID-19 pandemic. While we are not currently aware of significant delays by our partners and collaborators caused by the COVID-19 pandemic on clinical trials involving our drug candidates, any current assessments of the effects of the COVID-19 pandemic on our clinical programs are difficult to predict and subject to change and, with regard to individual clinical trial sites within these studies, will likely vary by the geographic region in which they are located.</w:t>
      </w:r>
    </w:p>
    <w:p>
      <w:pPr>
        <w:spacing w:after="0" w:line="7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cannot predict what the overall impact the COVID-19 pandemic will be on our business and it could potentially adversely affect our business, financial condition, operations and prospects.</w:t>
      </w:r>
    </w:p>
    <w:p>
      <w:pPr>
        <w:spacing w:after="0" w:line="54"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With respect to financing our near-term business needs, as set forth below in “Key Developments and Trends in Liquidity and Capital Resources,” we estimate we have working capital to fund our current business plans through at least the next twelve months.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Developments and Trends in Liquidity and Capital Resources</w:t>
      </w:r>
    </w:p>
    <w:p>
      <w:pPr>
        <w:spacing w:after="0" w:line="175"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We estimate that we have working capital to fund our current business plans for at least the next twelve months from the date of filing. At September 30, 2022, we had approximately $546.4 million in cash and investments in marketable securities.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and Nine Months Ended September 30, 2022 and 2021</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(in thousands, except percentages)</w:t>
      </w:r>
    </w:p>
    <w:p>
      <w:pPr>
        <w:spacing w:after="0" w:line="35" w:lineRule="exact"/>
        <w:rPr>
          <w:sz w:val="20"/>
          <w:szCs w:val="20"/>
          <w:color w:val="auto"/>
        </w:rPr>
      </w:pPr>
    </w:p>
    <w:tbl>
      <w:tblPr>
        <w:tblLayout w:type="fixed"/>
        <w:tblInd w:w="5500" w:type="dxa"/>
        <w:tblCellMar>
          <w:top w:w="0" w:type="dxa"/>
          <w:left w:w="0" w:type="dxa"/>
          <w:bottom w:w="0" w:type="dxa"/>
          <w:right w:w="0" w:type="dxa"/>
        </w:tblCellMar>
      </w:tblPr>
      <w:tr>
        <w:trPr>
          <w:trHeight w:val="161"/>
        </w:trPr>
        <w:tc>
          <w:tcPr>
            <w:tcW w:w="1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Increase/</w:t>
            </w:r>
          </w:p>
        </w:tc>
        <w:tc>
          <w:tcPr>
            <w:tcW w:w="0" w:type="dxa"/>
            <w:vAlign w:val="bottom"/>
          </w:tcPr>
          <w:p>
            <w:pPr>
              <w:spacing w:after="0"/>
              <w:rPr>
                <w:sz w:val="1"/>
                <w:szCs w:val="1"/>
                <w:color w:val="auto"/>
              </w:rPr>
            </w:pPr>
          </w:p>
        </w:tc>
      </w:tr>
      <w:tr>
        <w:trPr>
          <w:trHeight w:val="146"/>
        </w:trPr>
        <w:tc>
          <w:tcPr>
            <w:tcW w:w="28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2860" w:type="dxa"/>
            <w:vAlign w:val="bottom"/>
            <w:gridSpan w:val="3"/>
            <w:vMerge w:val="continue"/>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190"/>
        </w:trPr>
        <w:tc>
          <w:tcPr>
            <w:tcW w:w="1380" w:type="dxa"/>
            <w:vAlign w:val="bottom"/>
            <w:tcBorders>
              <w:top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80" w:type="dxa"/>
            <w:vAlign w:val="bottom"/>
            <w:tcBorders>
              <w:top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5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royalty revenue related to sales of future royalties</w:t>
            </w: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collaboration and other revenue</w:t>
            </w: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Increase/</w:t>
            </w:r>
          </w:p>
        </w:tc>
        <w:tc>
          <w:tcPr>
            <w:tcW w:w="0" w:type="dxa"/>
            <w:vAlign w:val="bottom"/>
          </w:tcPr>
          <w:p>
            <w:pPr>
              <w:spacing w:after="0"/>
              <w:rPr>
                <w:sz w:val="1"/>
                <w:szCs w:val="1"/>
                <w:color w:val="auto"/>
              </w:rPr>
            </w:pPr>
          </w:p>
        </w:tc>
      </w:tr>
      <w:tr>
        <w:trPr>
          <w:trHeight w:val="137"/>
        </w:trPr>
        <w:tc>
          <w:tcPr>
            <w:tcW w:w="5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Pr>
          <w:p>
            <w:pPr>
              <w:spacing w:after="0"/>
              <w:rPr>
                <w:sz w:val="11"/>
                <w:szCs w:val="11"/>
                <w:color w:val="auto"/>
              </w:rPr>
            </w:pPr>
          </w:p>
        </w:tc>
        <w:tc>
          <w:tcPr>
            <w:tcW w:w="1100" w:type="dxa"/>
            <w:vAlign w:val="bottom"/>
          </w:tcPr>
          <w:p>
            <w:pPr>
              <w:jc w:val="center"/>
              <w:ind w:right="95"/>
              <w:spacing w:after="0" w:line="137"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Pr>
          <w:p>
            <w:pPr>
              <w:spacing w:after="0"/>
              <w:rPr>
                <w:sz w:val="11"/>
                <w:szCs w:val="11"/>
                <w:color w:val="auto"/>
              </w:rPr>
            </w:pPr>
          </w:p>
        </w:tc>
        <w:tc>
          <w:tcPr>
            <w:tcW w:w="14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0"/>
        </w:trPr>
        <w:tc>
          <w:tcPr>
            <w:tcW w:w="5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royalty revenue related to sales of future royalties</w:t>
            </w: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collaboration and other revenue</w:t>
            </w: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&gt;100%</w:t>
            </w:r>
          </w:p>
        </w:tc>
        <w:tc>
          <w:tcPr>
            <w:tcW w:w="0" w:type="dxa"/>
            <w:vAlign w:val="bottom"/>
          </w:tcPr>
          <w:p>
            <w:pPr>
              <w:spacing w:after="0"/>
              <w:rPr>
                <w:sz w:val="1"/>
                <w:szCs w:val="1"/>
                <w:color w:val="auto"/>
              </w:rPr>
            </w:pPr>
          </w:p>
        </w:tc>
      </w:tr>
      <w:tr>
        <w:trPr>
          <w:trHeight w:val="223"/>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70,032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76,898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revenue is derived from our collaboration agreements, under which we may receive product sales revenue, royalties, and license fees, as well as development and sales milestones and other contingent payments. We recognize revenue when we transfer promised goods or services to our collaboration partners. The amount of upfront fees received under our license and collaboration agreements allocated to continuing obligations, such as development or manufacturing and supply commitments, is generally recognized as we deliver products or provide development services. As a result, there may be significant variations in the timing of receipt of cash payments and our recognition of revenue. We make our best estimate of the timing and amount of</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products and services expected to be required to fulfill our performance obligations. Given the uncertainties in research and development collaborations, significant judgment is required to make these estimates.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w:t>
      </w:r>
    </w:p>
    <w:p>
      <w:pPr>
        <w:spacing w:after="0" w:line="175"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Product sales include predominantly fixed price manufacturing and supply agreements with our collaboration partners and are the result of firm purchase orders from those partners. The timing of shipments is based solely on the demand and requirements of our collaboration partners and is not ratable throughout the year.</w:t>
      </w:r>
    </w:p>
    <w:p>
      <w:pPr>
        <w:spacing w:after="0" w:line="6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Product sales decreased for the nine months ended September 30, 2022 as compared to the nine months ended September 30, 2021 primarily due to a decrease in product demand from our collaboration partners. We expect product sales for the full year of 2022 to be marginally lower than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Royalty Revenue Related to Sales of Future Royalties</w:t>
      </w:r>
    </w:p>
    <w:p>
      <w:pPr>
        <w:spacing w:after="0" w:line="175"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For a discussion of our Non-cash royalty revenue, please see our discussion below in “Non-Cash Royalty Revenue and Non-Cash Interest Expense.”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Collaboration and Other Revenue</w:t>
      </w:r>
    </w:p>
    <w:p>
      <w:pPr>
        <w:spacing w:after="0" w:line="17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License, collaboration and other revenue includes the recognition of upfront payments, milestone and other contingent payments received in connection with our license and collaboration agreements and certain research and development activities. The level of license, collaboration and other revenue depends in part upon the estimated recognition period of the upfront payments allocated to continuing performance obligations, the achievement of milestones and other contingent events, the continuation of existing collaborations, the amount of research and development work, and entering into new collaboration agreements, if any. During the nine months ended September 30, 2022, we recognized $1.5 million for a license agreement, under which we are entitled to no further consideration. As a result of the recognition of this revenue in the nine months ended September 30, 2022, we expect license, collaboration and other revenue for 2022 to increase compared to 2021.</w:t>
      </w:r>
    </w:p>
    <w:p>
      <w:pPr>
        <w:spacing w:after="0" w:line="81"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timing and future success of our drug development programs and those of our collaboration partners are subject to a number of risks and uncertainties. See Item 1A. Risk Factors for a discussion of the risks associated with the complex nature of our collaboration agreements.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Product Gross Margin (in thousands, except percentages)</w:t>
      </w:r>
    </w:p>
    <w:p>
      <w:pPr>
        <w:spacing w:after="0" w:line="35" w:lineRule="exact"/>
        <w:rPr>
          <w:sz w:val="20"/>
          <w:szCs w:val="20"/>
          <w:color w:val="auto"/>
        </w:rPr>
      </w:pPr>
    </w:p>
    <w:tbl>
      <w:tblPr>
        <w:tblLayout w:type="fixed"/>
        <w:tblInd w:w="532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Increase/</w:t>
            </w:r>
          </w:p>
        </w:tc>
        <w:tc>
          <w:tcPr>
            <w:tcW w:w="0" w:type="dxa"/>
            <w:vAlign w:val="bottom"/>
          </w:tcPr>
          <w:p>
            <w:pPr>
              <w:spacing w:after="0"/>
              <w:rPr>
                <w:sz w:val="1"/>
                <w:szCs w:val="1"/>
                <w:color w:val="auto"/>
              </w:rPr>
            </w:pPr>
          </w:p>
        </w:tc>
      </w:tr>
      <w:tr>
        <w:trPr>
          <w:trHeight w:val="146"/>
        </w:trPr>
        <w:tc>
          <w:tcPr>
            <w:tcW w:w="31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3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3100" w:type="dxa"/>
            <w:vAlign w:val="bottom"/>
            <w:gridSpan w:val="3"/>
            <w:vMerge w:val="continue"/>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190"/>
        </w:trPr>
        <w:tc>
          <w:tcPr>
            <w:tcW w:w="1500" w:type="dxa"/>
            <w:vAlign w:val="bottom"/>
            <w:tcBorders>
              <w:top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00" w:type="dxa"/>
            <w:vAlign w:val="bottom"/>
            <w:tcBorders>
              <w:top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3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4,972</w:t>
            </w:r>
          </w:p>
        </w:tc>
        <w:tc>
          <w:tcPr>
            <w:tcW w:w="10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5,311</w:t>
            </w:r>
          </w:p>
        </w:tc>
        <w:tc>
          <w:tcPr>
            <w:tcW w:w="280" w:type="dxa"/>
            <w:vAlign w:val="bottom"/>
            <w:tcBorders>
              <w:top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Borders>
              <w:top w:val="single" w:sz="8" w:color="CCEEFF"/>
            </w:tcBorders>
            <w:shd w:val="clear" w:color="auto" w:fill="CCEEFF"/>
          </w:tcPr>
          <w:p>
            <w:pPr>
              <w:spacing w:after="0"/>
              <w:rPr>
                <w:sz w:val="22"/>
                <w:szCs w:val="22"/>
                <w:color w:val="auto"/>
              </w:rPr>
            </w:pPr>
          </w:p>
        </w:tc>
        <w:tc>
          <w:tcPr>
            <w:tcW w:w="14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Product gross profit (1)</w:t>
            </w:r>
          </w:p>
        </w:tc>
        <w:tc>
          <w:tcPr>
            <w:tcW w:w="340" w:type="dxa"/>
            <w:vAlign w:val="bottom"/>
          </w:tcPr>
          <w:p>
            <w:pPr>
              <w:spacing w:after="0"/>
              <w:rPr>
                <w:sz w:val="23"/>
                <w:szCs w:val="23"/>
                <w:color w:val="auto"/>
              </w:rPr>
            </w:pPr>
          </w:p>
        </w:tc>
        <w:tc>
          <w:tcPr>
            <w:tcW w:w="1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70"/>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gross margin</w:t>
            </w:r>
          </w:p>
        </w:tc>
        <w:tc>
          <w:tcPr>
            <w:tcW w:w="3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19"/>
        </w:trPr>
        <w:tc>
          <w:tcPr>
            <w:tcW w:w="5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Increase/</w:t>
            </w: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5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196"/>
        </w:trPr>
        <w:tc>
          <w:tcPr>
            <w:tcW w:w="53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CCEEFF"/>
            </w:tcBorders>
          </w:tcPr>
          <w:p>
            <w:pPr>
              <w:spacing w:after="0"/>
              <w:rPr>
                <w:sz w:val="17"/>
                <w:szCs w:val="17"/>
                <w:color w:val="auto"/>
              </w:rPr>
            </w:pPr>
          </w:p>
        </w:tc>
        <w:tc>
          <w:tcPr>
            <w:tcW w:w="1080" w:type="dxa"/>
            <w:vAlign w:val="bottom"/>
            <w:tcBorders>
              <w:top w:val="single" w:sz="8" w:color="auto"/>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0" w:type="dxa"/>
            <w:vAlign w:val="bottom"/>
            <w:tcBorders>
              <w:top w:val="single" w:sz="8" w:color="auto"/>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15,402</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18,734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Product gross profit (1)</w:t>
            </w:r>
          </w:p>
        </w:tc>
        <w:tc>
          <w:tcPr>
            <w:tcW w:w="340" w:type="dxa"/>
            <w:vAlign w:val="bottom"/>
          </w:tcPr>
          <w:p>
            <w:pPr>
              <w:spacing w:after="0"/>
              <w:rPr>
                <w:sz w:val="23"/>
                <w:szCs w:val="23"/>
                <w:color w:val="auto"/>
              </w:rPr>
            </w:pPr>
          </w:p>
        </w:tc>
        <w:tc>
          <w:tcPr>
            <w:tcW w:w="11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(899)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&gt;100%</w:t>
            </w:r>
          </w:p>
        </w:tc>
        <w:tc>
          <w:tcPr>
            <w:tcW w:w="0" w:type="dxa"/>
            <w:vAlign w:val="bottom"/>
          </w:tcPr>
          <w:p>
            <w:pPr>
              <w:spacing w:after="0"/>
              <w:rPr>
                <w:sz w:val="1"/>
                <w:szCs w:val="1"/>
                <w:color w:val="auto"/>
              </w:rPr>
            </w:pPr>
          </w:p>
        </w:tc>
      </w:tr>
      <w:tr>
        <w:trPr>
          <w:trHeight w:val="270"/>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gross margin</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 Percentage change represents an improvement in the gross margin.</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strategy is to manufacture and supply polymer reagents to support our proprietary drug candidates or our third-party collaborators where we have a strategic development and commercialization relationship or where we derive substantial economic benefit. We have elected to only enter into and maintain those manufacturing relationships associated with long-term collaboration agreements which include multiple sources of revenue, which we view holistically and in aggregate. We have a predominantly fixed cost base associated with our manufacturing activities. As a result, our product gross profit and margin are significantly impacted by the mix and volume of products sold in each period.</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product gross margin improved from the three and nine months ended September 30, 2021 to the three and nine months ended September 30, 2022 due to the mix of manufacturing orders from our customers. Product gross margin was negative for several of these periods. We have a manufacturing arrangement with a partner that includes a fixed price which is less than the fully burdened manufacturing cost for the reagent, and we expect this situation to continue with this partner in future years. In addition to product sales to this partner, we also receive royalty revenue from this collaboration. In the three and nine months ended September 30, 2022 and 2021, the royalty revenue from this collaboration exceeded the related negative gross profit for this customer.</w:t>
      </w:r>
    </w:p>
    <w:p>
      <w:pPr>
        <w:spacing w:after="0" w:line="7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We expect product gross margin to continue to fluctuate in future periods depending on the level and mix of manufacturing orders from our customers. We expect product gross profit to be negative in 2022 as a result of the collaborative arrangement described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 (in thousands, except percentages)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Increase/</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Increase/</w:t>
            </w:r>
          </w:p>
        </w:tc>
        <w:tc>
          <w:tcPr>
            <w:tcW w:w="0" w:type="dxa"/>
            <w:vAlign w:val="bottom"/>
          </w:tcPr>
          <w:p>
            <w:pPr>
              <w:spacing w:after="0"/>
              <w:rPr>
                <w:sz w:val="1"/>
                <w:szCs w:val="1"/>
                <w:color w:val="auto"/>
              </w:rPr>
            </w:pPr>
          </w:p>
        </w:tc>
      </w:tr>
      <w:tr>
        <w:trPr>
          <w:trHeight w:val="146"/>
        </w:trPr>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80" w:type="dxa"/>
            <w:vAlign w:val="bottom"/>
            <w:gridSpan w:val="4"/>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5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8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196"/>
        </w:trPr>
        <w:tc>
          <w:tcPr>
            <w:tcW w:w="5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CCEEFF"/>
            </w:tcBorders>
          </w:tcPr>
          <w:p>
            <w:pPr>
              <w:spacing w:after="0"/>
              <w:rPr>
                <w:sz w:val="17"/>
                <w:szCs w:val="17"/>
                <w:color w:val="auto"/>
              </w:rPr>
            </w:pPr>
          </w:p>
        </w:tc>
        <w:tc>
          <w:tcPr>
            <w:tcW w:w="112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20" w:type="dxa"/>
            <w:vAlign w:val="bottom"/>
            <w:tcBorders>
              <w:top w:val="single" w:sz="8" w:color="auto"/>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33,590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103,738</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(70,148)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418"/>
        </w:trPr>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4"/>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Increase/</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Increase/</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5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3"/>
          </w:tcPr>
          <w:p>
            <w:pPr>
              <w:jc w:val="center"/>
              <w:ind w:left="60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196"/>
        </w:trPr>
        <w:tc>
          <w:tcPr>
            <w:tcW w:w="522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CCEEFF"/>
            </w:tcBorders>
          </w:tcPr>
          <w:p>
            <w:pPr>
              <w:spacing w:after="0"/>
              <w:rPr>
                <w:sz w:val="17"/>
                <w:szCs w:val="17"/>
                <w:color w:val="auto"/>
              </w:rPr>
            </w:pPr>
          </w:p>
        </w:tc>
        <w:tc>
          <w:tcPr>
            <w:tcW w:w="112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20" w:type="dxa"/>
            <w:vAlign w:val="bottom"/>
            <w:tcBorders>
              <w:top w:val="single" w:sz="8" w:color="auto"/>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183,583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300,655</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(117,072)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Research and development expense consists primarily of clinical study costs, contract manufacturing costs, direct costs of outside research, materials, supplies, licenses and fees as well as personnel costs (including salaries, benefits, and stock-based compensation). Research and development expense also includes certain overhead allocations consisting of support and facilities-related costs. Where we perform research and development activities under a joint development collaboration, such as our collaboration with BMS, we record the expense reimbursement from our partners as a reduction to research and development expense, and we record our share of our partners’ expenses as an increase to research and development expense. Under the BMS Collaboration Agreement, BMS generally bears 67.5% of development costs for bempegaldesleukin in combination with Opdivo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35% of costs for manufacturing bempegaldesleukin.</w:t>
      </w:r>
    </w:p>
    <w:p>
      <w:pPr>
        <w:spacing w:after="0" w:line="89"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As discussed in Note 1, BMS and we have decided to discontinue development of bempegaldesleukin in combination with Opdivo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will wind down the various clinical trials under the BMS Collaboration Agreement, and we have also decided to discontinue all other development of bempegaldesleukin. The cost sharing under the BMS Collaboration Agreement remains unchanged. Additionally, as discussed in Note 8 to our Condensed Consolidated Financial Statements, we have also implemented the Restructuring Plan to reduce our workforce by approximately 70%. As a result, beginning in the three months ended June 30, 2022, we report clinical trial expense, other third-party costs and employee costs for the bempegaldesleukin program, net of the reimbursement from BMS, within Restructuring, impairment and other costs of terminated program in our Condensed Consolidated Statement of Operations. Because we no longer report these expenses in research and development expense, research and development expense decreased significantly for the three and nine months ended September 30, 2022 as compared to the three and nine months ended September 30, 2021, respectively, and we expect this to continue for the remainder of 2022 as compared to 2021. During the nine months ended September 30, 2022, we recorded</w:t>
      </w:r>
    </w:p>
    <w:p>
      <w:pPr>
        <w:spacing w:after="0" w:line="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$24.9 million as a reduction of research and development expense for the net reimbursement from BMS, reflecting the reimbursement we recorded in the three months ended March 31, 2022. For the three and nine months ended September 30, 2021, we recorded $24.3 million and $76.5 million, respectively, as a reduction of research and development expense for the net reimbursement from BMS. Please see our discussion below in Restructuring, impairment and other costs of terminated program for additional information.</w:t>
      </w:r>
    </w:p>
    <w:p>
      <w:pPr>
        <w:spacing w:after="0" w:line="8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incurred research and development expense in the three and nine months ended September 30, 2022 and September 30, 2021 for development costs and manufacturing activities for NKTR-255 and development costs for rezpegaldesleukin as Lilly conducts its Phase 1B and Phase 2 studies, for which we are responsible for 25% of costs and Lilly is responsible for 75% of costs, and we will continue to incur these costs as the development of NKTR-255 and rezpegaldesleukin continues.</w:t>
      </w:r>
    </w:p>
    <w:p>
      <w:pPr>
        <w:spacing w:after="0" w:line="7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timing and amount of our future clinical trial expenses will vary significantly based upon our evaluation of ongoing clinical results and the structure, timing, and scope of additional clinical development programs and potential clinical collaboration partnerships (if any) for these programs.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addition to our drug candidates that we plan to evaluate in clinical development during 2022 and beyond, we believe it is vitally important to continue our substantial investment in a pipeline of new drug candidates to continue to build the value of our drug candidate pipeline and our business. Our discovery research organization is identifying new drug candidates across a wide range of molecule classes, including small molecules and large proteins, peptides and antibodies, across multiple therapeutic areas. We also plan from time to time to evaluate opportunities to in-license potential drug candidates from third parties to add to our drug discovery and development pipeline. We plan to continue to advance our most promising early research drug candidates into preclinical development with the objective to advance these early stage research programs to human clinical studies over the next several years.</w:t>
      </w:r>
    </w:p>
    <w:p>
      <w:pPr>
        <w:spacing w:after="0" w:line="8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expenditures on current and future preclinical and clinical development programs are subject to numerous uncertainties in timing and cost to completion. In order to advance our drug candidates through clinical development, each drug candidate must be tested in numerous preclinical safety, toxicology and efficacy studies. We then conduct clinical studies for our drug candidates that take several years to complete. The cost and time required to complete clinical trials may vary significantly over the life of a clinical development program as a result of a variety of factors, including but not limited to:</w:t>
      </w:r>
    </w:p>
    <w:p>
      <w:pPr>
        <w:spacing w:after="0" w:line="72"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a given clinical study design;</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clinical study participants;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sites included in the clinical studies;</w:t>
      </w:r>
    </w:p>
    <w:p>
      <w:pPr>
        <w:spacing w:after="0" w:line="117" w:lineRule="exact"/>
        <w:rPr>
          <w:rFonts w:ascii="Times New Roman" w:cs="Times New Roman" w:eastAsia="Times New Roman" w:hAnsi="Times New Roman"/>
          <w:sz w:val="18"/>
          <w:szCs w:val="18"/>
          <w:color w:val="auto"/>
        </w:rPr>
      </w:pPr>
    </w:p>
    <w:p>
      <w:pPr>
        <w:ind w:left="1300" w:right="700" w:hanging="644"/>
        <w:spacing w:after="0" w:line="282"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study designs required by the health authorities (i.e. primary and secondary endpoints as well as the size of the study population needed to demonstrate efficacy and safety outcomes);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changing standards of care for the target patient population;</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competition for patient recruitment from competitive drug candidates being studied in the same clinical setting;</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producing supplies of the drug candidates needed for clinical trials and regulatory submissions;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profile of the drug candidate;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clinical research organizations to assist with the management of the trials;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and the ability to secure, approvals from government health authorities.</w:t>
      </w:r>
    </w:p>
    <w:p>
      <w:pPr>
        <w:spacing w:after="0" w:line="11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Furthermore, our strategy includes the potential of entering into collaborations with third parties to participate in the development and commercialization of some of our drug candidates such as the collaboration that we have already completed for rezpegaldesleukin, or clinical collaborations where we would share costs and operational responsibility with a partner. In certain situations, the clinical development program and process for a drug candidate and the estimated completion date will largely be under the control of that third party and not under our control. We cannot forecast with any degree of certainty which of our drug candidates will be subject to future collaborations or how such arrangements would affect our development plans or capital requirements.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 (in thousands, except percentages)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Increase/</w:t>
            </w:r>
          </w:p>
        </w:tc>
        <w:tc>
          <w:tcPr>
            <w:tcW w:w="0" w:type="dxa"/>
            <w:vAlign w:val="bottom"/>
          </w:tcPr>
          <w:p>
            <w:pPr>
              <w:spacing w:after="0"/>
              <w:rPr>
                <w:sz w:val="1"/>
                <w:szCs w:val="1"/>
                <w:color w:val="auto"/>
              </w:rPr>
            </w:pPr>
          </w:p>
        </w:tc>
      </w:tr>
      <w:tr>
        <w:trPr>
          <w:trHeight w:val="146"/>
        </w:trPr>
        <w:tc>
          <w:tcPr>
            <w:tcW w:w="5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80" w:type="dxa"/>
            <w:vAlign w:val="bottom"/>
            <w:gridSpan w:val="4"/>
            <w:vMerge w:val="restart"/>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5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8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196"/>
        </w:trPr>
        <w:tc>
          <w:tcPr>
            <w:tcW w:w="550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FF0FC"/>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CFF0FC"/>
            </w:tcBorders>
          </w:tcPr>
          <w:p>
            <w:pPr>
              <w:spacing w:after="0"/>
              <w:rPr>
                <w:sz w:val="17"/>
                <w:szCs w:val="17"/>
                <w:color w:val="auto"/>
              </w:rPr>
            </w:pPr>
          </w:p>
        </w:tc>
        <w:tc>
          <w:tcPr>
            <w:tcW w:w="1100" w:type="dxa"/>
            <w:vAlign w:val="bottom"/>
            <w:tcBorders>
              <w:top w:val="single" w:sz="8" w:color="auto"/>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420" w:type="dxa"/>
            <w:vAlign w:val="bottom"/>
            <w:tcBorders>
              <w:top w:val="single" w:sz="8" w:color="auto"/>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22,534</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29,468</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418"/>
        </w:trPr>
        <w:tc>
          <w:tcPr>
            <w:tcW w:w="5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4"/>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Increase/</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5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3"/>
          </w:tcPr>
          <w:p>
            <w:pPr>
              <w:jc w:val="center"/>
              <w:ind w:left="62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196"/>
        </w:trPr>
        <w:tc>
          <w:tcPr>
            <w:tcW w:w="550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FF0FC"/>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CFF0FC"/>
            </w:tcBorders>
          </w:tcPr>
          <w:p>
            <w:pPr>
              <w:spacing w:after="0"/>
              <w:rPr>
                <w:sz w:val="17"/>
                <w:szCs w:val="17"/>
                <w:color w:val="auto"/>
              </w:rPr>
            </w:pPr>
          </w:p>
        </w:tc>
        <w:tc>
          <w:tcPr>
            <w:tcW w:w="1100" w:type="dxa"/>
            <w:vAlign w:val="bottom"/>
            <w:tcBorders>
              <w:top w:val="single" w:sz="8" w:color="auto"/>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420" w:type="dxa"/>
            <w:vAlign w:val="bottom"/>
            <w:tcBorders>
              <w:top w:val="single" w:sz="8" w:color="auto"/>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70,394</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90,702</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(20,308)</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80" w:firstLine="567"/>
        <w:spacing w:after="0" w:line="257" w:lineRule="auto"/>
        <w:rPr>
          <w:sz w:val="20"/>
          <w:szCs w:val="20"/>
          <w:color w:val="auto"/>
        </w:rPr>
      </w:pPr>
      <w:r>
        <w:rPr>
          <w:rFonts w:ascii="Times New Roman" w:cs="Times New Roman" w:eastAsia="Times New Roman" w:hAnsi="Times New Roman"/>
          <w:sz w:val="18"/>
          <w:szCs w:val="18"/>
          <w:color w:val="auto"/>
        </w:rPr>
        <w:t>General and administrative expense includes the cost of administrative staffing, commercial, finance and legal activities. As discussed in Note 8 to our Condensed Consolidated Financial Statements, we have implemented a Restructuring Plan to reduce our workforce by approximately 70%. As a result of our Restructuring Plan, the commercial organization was eliminated and all other bempegaldesleukin-related commercialization activities ceased.</w:t>
      </w:r>
    </w:p>
    <w:p>
      <w:pPr>
        <w:spacing w:after="0" w:line="1"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Accordingly, general and administrative expense decreased for the three and nine months ended September 30, 2022 compared with the three and nine months ended September 30, 2021,</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and we expect this trend to continue for the full year of 2022 as compared to 2021. Beginning in the three months ended June 30, 2022, we report third-party costs and employee compensation costs for the bempegaldesleukin program and severance and benefit costs in Restructuring, impairment and other costs for terminated program.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Impairment and Other Costs of Terminated Program (in thousands, except percentages)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6"/>
        </w:trPr>
        <w:tc>
          <w:tcPr>
            <w:tcW w:w="6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gridSpan w:val="4"/>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6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196"/>
        </w:trPr>
        <w:tc>
          <w:tcPr>
            <w:tcW w:w="616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CFF0FC"/>
            </w:tcBorders>
          </w:tcPr>
          <w:p>
            <w:pPr>
              <w:spacing w:after="0"/>
              <w:rPr>
                <w:sz w:val="17"/>
                <w:szCs w:val="17"/>
                <w:color w:val="auto"/>
              </w:rPr>
            </w:pPr>
          </w:p>
        </w:tc>
        <w:tc>
          <w:tcPr>
            <w:tcW w:w="1040" w:type="dxa"/>
            <w:vAlign w:val="bottom"/>
            <w:tcBorders>
              <w:top w:val="single" w:sz="8" w:color="auto"/>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160" w:type="dxa"/>
            <w:vAlign w:val="bottom"/>
            <w:tcBorders>
              <w:top w:val="single" w:sz="8" w:color="auto"/>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Restructuring, impairment and other costs of terminated program</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16,830</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&gt;100%</w:t>
            </w:r>
          </w:p>
        </w:tc>
        <w:tc>
          <w:tcPr>
            <w:tcW w:w="0" w:type="dxa"/>
            <w:vAlign w:val="bottom"/>
          </w:tcPr>
          <w:p>
            <w:pPr>
              <w:spacing w:after="0"/>
              <w:rPr>
                <w:sz w:val="1"/>
                <w:szCs w:val="1"/>
                <w:color w:val="auto"/>
              </w:rPr>
            </w:pPr>
          </w:p>
        </w:tc>
      </w:tr>
      <w:tr>
        <w:trPr>
          <w:trHeight w:val="418"/>
        </w:trPr>
        <w:tc>
          <w:tcPr>
            <w:tcW w:w="6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gridSpan w:val="4"/>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6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jc w:val="center"/>
              <w:ind w:left="58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196"/>
        </w:trPr>
        <w:tc>
          <w:tcPr>
            <w:tcW w:w="616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CFF0FC"/>
            </w:tcBorders>
          </w:tcPr>
          <w:p>
            <w:pPr>
              <w:spacing w:after="0"/>
              <w:rPr>
                <w:sz w:val="17"/>
                <w:szCs w:val="17"/>
                <w:color w:val="auto"/>
              </w:rPr>
            </w:pPr>
          </w:p>
        </w:tc>
        <w:tc>
          <w:tcPr>
            <w:tcW w:w="1040" w:type="dxa"/>
            <w:vAlign w:val="bottom"/>
            <w:tcBorders>
              <w:top w:val="single" w:sz="8" w:color="auto"/>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160" w:type="dxa"/>
            <w:vAlign w:val="bottom"/>
            <w:tcBorders>
              <w:top w:val="single" w:sz="8" w:color="auto"/>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Restructuring, impairment and other costs of terminated program</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124,350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124,350</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&gt;100%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20" w:firstLine="567"/>
        <w:spacing w:after="0" w:line="258" w:lineRule="auto"/>
        <w:rPr>
          <w:sz w:val="20"/>
          <w:szCs w:val="20"/>
          <w:color w:val="auto"/>
        </w:rPr>
      </w:pPr>
      <w:r>
        <w:rPr>
          <w:rFonts w:ascii="Times New Roman" w:cs="Times New Roman" w:eastAsia="Times New Roman" w:hAnsi="Times New Roman"/>
          <w:sz w:val="18"/>
          <w:szCs w:val="18"/>
          <w:color w:val="auto"/>
        </w:rPr>
        <w:t>As discussed in Note 8 to our Condensed Consolidated Financial Statements, following the announcements in March and April 2022 that our registrational trials in bempegaldesleukin failed to meet their primary endpoints, on April 25, 2022, we announced strategic reorganization and cost restructuring plans (together, the Restructuring Plan) to prioritize key Phase 2 development programs, to advance our early stage research pipeline and to reduce our workforce by approximately 70% from approximately 735 to approximately 225 employees. In connection with these events, we reported the following costs in Restructuring, impairment and other costs of terminated program:</w:t>
      </w:r>
    </w:p>
    <w:p>
      <w:pPr>
        <w:spacing w:after="0" w:line="129" w:lineRule="exact"/>
        <w:rPr>
          <w:sz w:val="20"/>
          <w:szCs w:val="20"/>
          <w:color w:val="auto"/>
        </w:rPr>
      </w:pPr>
    </w:p>
    <w:p>
      <w:pPr>
        <w:ind w:left="660" w:right="1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expense, other third-party costs and employee costs for the wind down of the bempegaldesleukin program, net of the reimbursement from BMS;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and related benefit costs pursuant to the Restructuring Plan;</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right-of-use assets and property, plant and equipment resulting from the Restructuring Plan, primarily reflecting excess office and laboratory leased spaces in San Francisco, CA;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termination and other costs associated with these plans.</w:t>
      </w:r>
    </w:p>
    <w:p>
      <w:pPr>
        <w:spacing w:after="0" w:line="171"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Restructuring, impairment and other costs of terminated program, as further described and disclosed in Note 8 to our Condensed Consolidated Financial Statements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8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3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5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trial expense, other third-party and employee costs for the wind down of the bempegaldesleukin program</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28,938</w:t>
            </w:r>
          </w:p>
        </w:tc>
        <w:tc>
          <w:tcPr>
            <w:tcW w:w="0" w:type="dxa"/>
            <w:vAlign w:val="bottom"/>
          </w:tcPr>
          <w:p>
            <w:pPr>
              <w:spacing w:after="0"/>
              <w:rPr>
                <w:sz w:val="1"/>
                <w:szCs w:val="1"/>
                <w:color w:val="auto"/>
              </w:rPr>
            </w:pPr>
          </w:p>
        </w:tc>
      </w:tr>
      <w:tr>
        <w:trPr>
          <w:trHeight w:val="27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and benefit expense</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29,827</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right-of-use assets and property, plant and equipment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58,521</w:t>
            </w:r>
          </w:p>
        </w:tc>
        <w:tc>
          <w:tcPr>
            <w:tcW w:w="0" w:type="dxa"/>
            <w:vAlign w:val="bottom"/>
          </w:tcPr>
          <w:p>
            <w:pPr>
              <w:spacing w:after="0"/>
              <w:rPr>
                <w:sz w:val="1"/>
                <w:szCs w:val="1"/>
                <w:color w:val="auto"/>
              </w:rPr>
            </w:pPr>
          </w:p>
        </w:tc>
      </w:tr>
      <w:tr>
        <w:trPr>
          <w:trHeight w:val="270"/>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termination and other restructuring costs</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10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impairment and other costs of terminated program</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124,350</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5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567"/>
        <w:spacing w:after="0" w:line="255" w:lineRule="auto"/>
        <w:rPr>
          <w:sz w:val="20"/>
          <w:szCs w:val="20"/>
          <w:color w:val="auto"/>
        </w:rPr>
      </w:pPr>
      <w:r>
        <w:rPr>
          <w:rFonts w:ascii="Times New Roman" w:cs="Times New Roman" w:eastAsia="Times New Roman" w:hAnsi="Times New Roman"/>
          <w:sz w:val="18"/>
          <w:szCs w:val="18"/>
          <w:color w:val="auto"/>
        </w:rPr>
        <w:t>For the three and nine months ended September 30, 2022, we recorded reductions of expense of $8.3 million and $16.7 million, respectively, for the net reimbursement from BMS, primarily for clinical trial expense, other third-party and employee costs for the wind down of the bempegaldesleukin program. We will continue to recognize expenses in future periods for the winddown of the bempegaldesleukin program and related costs, of which we expect to recognize a significant portion in 2022. The ultimate amount of expense will be affected by the timing to complete the full wind down of the clinical trials run by BMS and us and whether or not we are able to enter into subleases and, if we do enter into subleases, the economic terms of those subleases. We will revise our estimates for the costs to wind down these studies for the bempegaldesleukin program, the amount of severance and benefits paid to employees, and our assessment of impairment charges as new information becomes available to us in future periods.</w:t>
      </w:r>
    </w:p>
    <w:p>
      <w:pPr>
        <w:sectPr>
          <w:pgSz w:w="11900" w:h="16838" w:orient="portrait"/>
          <w:cols w:equalWidth="0" w:num="1">
            <w:col w:w="11240"/>
          </w:cols>
          <w:pgMar w:left="320" w:top="121" w:right="339" w:bottom="1440" w:gutter="0" w:footer="0" w:header="0"/>
        </w:sectPr>
      </w:pP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Fair Value of Development Derivative Liability</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fair value of development derivative liability (1)</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40" w:type="dxa"/>
            <w:vAlign w:val="bottom"/>
          </w:tcPr>
          <w:p>
            <w:pPr>
              <w:spacing w:after="0"/>
              <w:rPr>
                <w:sz w:val="13"/>
                <w:szCs w:val="13"/>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Increase/</w:t>
            </w: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2580" w:type="dxa"/>
            <w:vAlign w:val="bottom"/>
            <w:gridSpan w:val="5"/>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right="68"/>
              <w:spacing w:after="0" w:line="146"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580" w:type="dxa"/>
            <w:vAlign w:val="bottom"/>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196"/>
        </w:trPr>
        <w:tc>
          <w:tcPr>
            <w:tcW w:w="920" w:type="dxa"/>
            <w:vAlign w:val="bottom"/>
            <w:tcBorders>
              <w:top w:val="single" w:sz="8" w:color="auto"/>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92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
              <w:spacing w:after="0"/>
              <w:rPr>
                <w:sz w:val="20"/>
                <w:szCs w:val="20"/>
                <w:color w:val="auto"/>
              </w:rPr>
            </w:pPr>
            <w:r>
              <w:rPr>
                <w:rFonts w:ascii="Times New Roman" w:cs="Times New Roman" w:eastAsia="Times New Roman" w:hAnsi="Times New Roman"/>
                <w:sz w:val="18"/>
                <w:szCs w:val="18"/>
                <w:color w:val="auto"/>
              </w:rPr>
              <w:t>3,328</w:t>
            </w:r>
          </w:p>
        </w:tc>
        <w:tc>
          <w:tcPr>
            <w:tcW w:w="100" w:type="dxa"/>
            <w:vAlign w:val="bottom"/>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418"/>
        </w:trPr>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2580" w:type="dxa"/>
            <w:vAlign w:val="bottom"/>
            <w:gridSpan w:val="5"/>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258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-883285</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7620</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 w:lineRule="exact"/>
        <w:rPr>
          <w:sz w:val="20"/>
          <w:szCs w:val="20"/>
          <w:color w:val="auto"/>
        </w:rPr>
      </w:pPr>
    </w:p>
    <w:p>
      <w:pPr>
        <w:sectPr>
          <w:pgSz w:w="11900" w:h="16838" w:orient="portrait"/>
          <w:cols w:equalWidth="0" w:num="2">
            <w:col w:w="4940" w:space="720"/>
            <w:col w:w="5580"/>
          </w:cols>
          <w:pgMar w:left="320" w:top="121" w:right="339" w:bottom="1440" w:gutter="0" w:footer="0" w:header="0"/>
          <w:type w:val="continuous"/>
        </w:sectPr>
      </w:pPr>
    </w:p>
    <w:p>
      <w:pPr>
        <w:ind w:left="20"/>
        <w:spacing w:after="0"/>
        <w:tabs>
          <w:tab w:leader="none" w:pos="5740" w:val="left"/>
          <w:tab w:leader="none" w:pos="6440" w:val="left"/>
          <w:tab w:leader="none" w:pos="7140" w:val="left"/>
          <w:tab w:leader="none" w:pos="7860" w:val="left"/>
          <w:tab w:leader="none" w:pos="8540" w:val="left"/>
          <w:tab w:leader="none" w:pos="9240" w:val="left"/>
          <w:tab w:leader="none" w:pos="10680" w:val="left"/>
        </w:tabs>
        <w:rPr>
          <w:sz w:val="20"/>
          <w:szCs w:val="20"/>
          <w:color w:val="auto"/>
        </w:rPr>
      </w:pPr>
      <w:r>
        <w:rPr>
          <w:rFonts w:ascii="Times New Roman" w:cs="Times New Roman" w:eastAsia="Times New Roman" w:hAnsi="Times New Roman"/>
          <w:sz w:val="18"/>
          <w:szCs w:val="18"/>
          <w:color w:val="auto"/>
        </w:rPr>
        <w:t>Change in fair value of development derivative liability (1)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33,427</w:t>
        <w:tab/>
        <w:t>$</w:t>
      </w:r>
      <w:r>
        <w:rPr>
          <w:sz w:val="20"/>
          <w:szCs w:val="20"/>
          <w:color w:val="auto"/>
        </w:rPr>
        <w:tab/>
      </w:r>
      <w:r>
        <w:rPr>
          <w:rFonts w:ascii="Times New Roman" w:cs="Times New Roman" w:eastAsia="Times New Roman" w:hAnsi="Times New Roman"/>
          <w:sz w:val="18"/>
          <w:szCs w:val="18"/>
          <w:color w:val="auto"/>
        </w:rPr>
        <w:t>(7,640)</w:t>
        <w:tab/>
        <w:t>$</w:t>
      </w:r>
      <w:r>
        <w:rPr>
          <w:sz w:val="20"/>
          <w:szCs w:val="20"/>
          <w:color w:val="auto"/>
        </w:rPr>
        <w:tab/>
      </w:r>
      <w:r>
        <w:rPr>
          <w:rFonts w:ascii="Times New Roman" w:cs="Times New Roman" w:eastAsia="Times New Roman" w:hAnsi="Times New Roman"/>
          <w:sz w:val="18"/>
          <w:szCs w:val="18"/>
          <w:color w:val="auto"/>
        </w:rPr>
        <w:t>41,067</w:t>
      </w:r>
      <w:r>
        <w:rPr>
          <w:sz w:val="20"/>
          <w:szCs w:val="20"/>
          <w:color w:val="auto"/>
        </w:rPr>
        <w:tab/>
      </w:r>
      <w:r>
        <w:rPr>
          <w:rFonts w:ascii="Times New Roman" w:cs="Times New Roman" w:eastAsia="Times New Roman" w:hAnsi="Times New Roman"/>
          <w:sz w:val="17"/>
          <w:szCs w:val="17"/>
          <w:color w:val="auto"/>
        </w:rPr>
        <w:t>&gt;100%</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 Percentage change represents a reduction of the expense or change to income.</w:t>
      </w:r>
    </w:p>
    <w:p>
      <w:pPr>
        <w:spacing w:after="0" w:line="27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As discussed in Note 4 to our Condensed Consolidated Financial Statements, we remeasured the development derivative liability under our co-development agreement with SFJ to fair value at each reporting date. As discussed in Note 4, as of March 31, 2022, due to the results of the metastatic melanoma trial, we concluded that it was remote that SFJ and we would continue the clinical trial in head and neck cancer. Accordingly, we reduced the liability to $0 as of March 31, 2022 and recognized a corresponding gain in the change in fair value of development derivative liability. As a result of the decision to discontinue the clinical trial in head and neck cancer, we do not expect to record any future significant adjustments for the change in fair value.</w:t>
      </w:r>
    </w:p>
    <w:p>
      <w:pPr>
        <w:spacing w:after="0" w:line="7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expense recorded for the change in fair value for the three and nine months ended September 30, 2021 primarily reflected the accretion of our obligation to potentially pay Success Payments to SFJ using our imputed borrowing rate.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Royalty Revenue and Non-Cash Interest Expense</w:t>
      </w:r>
    </w:p>
    <w:p>
      <w:pPr>
        <w:spacing w:after="0" w:line="278" w:lineRule="exact"/>
        <w:rPr>
          <w:sz w:val="20"/>
          <w:szCs w:val="20"/>
          <w:color w:val="auto"/>
        </w:rPr>
      </w:pPr>
    </w:p>
    <w:tbl>
      <w:tblPr>
        <w:tblLayout w:type="fixed"/>
        <w:tblInd w:w="5540" w:type="dxa"/>
        <w:tblCellMar>
          <w:top w:w="0" w:type="dxa"/>
          <w:left w:w="0" w:type="dxa"/>
          <w:bottom w:w="0" w:type="dxa"/>
          <w:right w:w="0" w:type="dxa"/>
        </w:tblCellMar>
      </w:tblPr>
      <w:tr>
        <w:trPr>
          <w:trHeight w:val="161"/>
        </w:trPr>
        <w:tc>
          <w:tcPr>
            <w:tcW w:w="1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Increase/</w:t>
            </w:r>
          </w:p>
        </w:tc>
        <w:tc>
          <w:tcPr>
            <w:tcW w:w="0" w:type="dxa"/>
            <w:vAlign w:val="bottom"/>
          </w:tcPr>
          <w:p>
            <w:pPr>
              <w:spacing w:after="0"/>
              <w:rPr>
                <w:sz w:val="1"/>
                <w:szCs w:val="1"/>
                <w:color w:val="auto"/>
              </w:rPr>
            </w:pPr>
          </w:p>
        </w:tc>
      </w:tr>
      <w:tr>
        <w:trPr>
          <w:trHeight w:val="146"/>
        </w:trPr>
        <w:tc>
          <w:tcPr>
            <w:tcW w:w="288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3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2880" w:type="dxa"/>
            <w:vAlign w:val="bottom"/>
            <w:gridSpan w:val="3"/>
            <w:vMerge w:val="continue"/>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190"/>
        </w:trPr>
        <w:tc>
          <w:tcPr>
            <w:tcW w:w="1380" w:type="dxa"/>
            <w:vAlign w:val="bottom"/>
            <w:tcBorders>
              <w:top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0" w:type="dxa"/>
            <w:vAlign w:val="bottom"/>
            <w:tcBorders>
              <w:top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5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royalty revenue related to the sales of future royalties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18,342</w:t>
            </w:r>
          </w:p>
        </w:tc>
        <w:tc>
          <w:tcPr>
            <w:tcW w:w="12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rPr>
              <w:t>19,413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Borders>
              <w:top w:val="single" w:sz="8" w:color="CCEEFF"/>
            </w:tcBorders>
            <w:shd w:val="clear" w:color="auto" w:fill="CCEEFF"/>
          </w:tcPr>
          <w:p>
            <w:pPr>
              <w:spacing w:after="0"/>
              <w:rPr>
                <w:sz w:val="22"/>
                <w:szCs w:val="22"/>
                <w:color w:val="auto"/>
              </w:rPr>
            </w:pPr>
          </w:p>
        </w:tc>
        <w:tc>
          <w:tcPr>
            <w:tcW w:w="14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37"/>
        </w:trPr>
        <w:tc>
          <w:tcPr>
            <w:tcW w:w="5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(Increase) /</w:t>
            </w:r>
          </w:p>
        </w:tc>
        <w:tc>
          <w:tcPr>
            <w:tcW w:w="14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Percentage Increase/</w:t>
            </w:r>
          </w:p>
        </w:tc>
        <w:tc>
          <w:tcPr>
            <w:tcW w:w="0" w:type="dxa"/>
            <w:vAlign w:val="bottom"/>
          </w:tcPr>
          <w:p>
            <w:pPr>
              <w:spacing w:after="0"/>
              <w:rPr>
                <w:sz w:val="1"/>
                <w:szCs w:val="1"/>
                <w:color w:val="auto"/>
              </w:rPr>
            </w:pPr>
          </w:p>
        </w:tc>
      </w:tr>
      <w:tr>
        <w:trPr>
          <w:trHeight w:val="146"/>
        </w:trPr>
        <w:tc>
          <w:tcPr>
            <w:tcW w:w="5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256"/>
        </w:trPr>
        <w:tc>
          <w:tcPr>
            <w:tcW w:w="55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interest expense on liability related to the sales of future royalties</w:t>
            </w:r>
          </w:p>
        </w:tc>
        <w:tc>
          <w:tcPr>
            <w:tcW w:w="320" w:type="dxa"/>
            <w:vAlign w:val="bottom"/>
            <w:tcBorders>
              <w:top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(6,953)</w:t>
            </w:r>
          </w:p>
        </w:tc>
        <w:tc>
          <w:tcPr>
            <w:tcW w:w="12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CCEEFF"/>
            </w:tcBorders>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rPr>
              <w:t>(12,801)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5,848</w:t>
            </w:r>
          </w:p>
        </w:tc>
        <w:tc>
          <w:tcPr>
            <w:tcW w:w="100" w:type="dxa"/>
            <w:vAlign w:val="bottom"/>
            <w:tcBorders>
              <w:top w:val="single" w:sz="8" w:color="CCEEFF"/>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499"/>
        </w:trPr>
        <w:tc>
          <w:tcPr>
            <w:tcW w:w="5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6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Increase/</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6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CCEEFF"/>
            </w:tcBorders>
          </w:tcPr>
          <w:p>
            <w:pPr>
              <w:spacing w:after="0"/>
              <w:rPr>
                <w:sz w:val="17"/>
                <w:szCs w:val="17"/>
                <w:color w:val="auto"/>
              </w:rPr>
            </w:pPr>
          </w:p>
        </w:tc>
        <w:tc>
          <w:tcPr>
            <w:tcW w:w="110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royalty revenue related to the sales of future royalties</w:t>
            </w: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52,167</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rPr>
              <w:t>58,667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35"/>
        </w:trPr>
        <w:tc>
          <w:tcPr>
            <w:tcW w:w="5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(Increase) /</w:t>
            </w:r>
          </w:p>
        </w:tc>
        <w:tc>
          <w:tcPr>
            <w:tcW w:w="14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Percentage Increase/</w:t>
            </w:r>
          </w:p>
        </w:tc>
        <w:tc>
          <w:tcPr>
            <w:tcW w:w="0" w:type="dxa"/>
            <w:vAlign w:val="bottom"/>
          </w:tcPr>
          <w:p>
            <w:pPr>
              <w:spacing w:after="0"/>
              <w:rPr>
                <w:sz w:val="1"/>
                <w:szCs w:val="1"/>
                <w:color w:val="auto"/>
              </w:rPr>
            </w:pPr>
          </w:p>
        </w:tc>
      </w:tr>
      <w:tr>
        <w:trPr>
          <w:trHeight w:val="137"/>
        </w:trPr>
        <w:tc>
          <w:tcPr>
            <w:tcW w:w="5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4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23"/>
        </w:trPr>
        <w:tc>
          <w:tcPr>
            <w:tcW w:w="5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interest expense on liability related to the sales of future royalties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rPr>
              <w:t>(39,186)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17,476</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As discussed in Note 5 to our Condensed Consolidated Financial Statements, we recognize non-cash royalty revenue for the 2012 Purchase and Sale Agreement and the 2020 Purchase and Sale Agreement.</w:t>
      </w:r>
    </w:p>
    <w:p>
      <w:pPr>
        <w:spacing w:after="0" w:line="108"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Non-cash royalty revenue decreased for the three and nine months ended September 30, 2022 as compared to the three and nine months ended September 30, 2021. Non-cash interest expense decreased significantly for the three and nine months ended September 30, 2022 as compared to the three and nine months ended September 30, 2021</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2012 Purchase and Sale Agreement</w:t>
      </w:r>
    </w:p>
    <w:p>
      <w:pPr>
        <w:spacing w:after="0" w:line="173"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decrease in the non-cash interest expense in 2022 resulted from the decrease in the interest rate from 48% in the three and nine months ended September 30, 2021 to 16% for the three and nine months ended September 30, 2022 as a result of the revaluation of the liability, which we recognized in the three months ended December 31, 2021.</w:t>
      </w:r>
    </w:p>
    <w:p>
      <w:pPr>
        <w:spacing w:after="0" w:line="68" w:lineRule="exact"/>
        <w:rPr>
          <w:sz w:val="20"/>
          <w:szCs w:val="20"/>
          <w:color w:val="auto"/>
        </w:rPr>
      </w:pPr>
    </w:p>
    <w:p>
      <w:pPr>
        <w:ind w:right="100" w:firstLine="648"/>
        <w:spacing w:after="0" w:line="241" w:lineRule="auto"/>
        <w:rPr>
          <w:sz w:val="20"/>
          <w:szCs w:val="20"/>
          <w:color w:val="auto"/>
        </w:rPr>
      </w:pPr>
      <w:r>
        <w:rPr>
          <w:rFonts w:ascii="Times New Roman" w:cs="Times New Roman" w:eastAsia="Times New Roman" w:hAnsi="Times New Roman"/>
          <w:sz w:val="18"/>
          <w:szCs w:val="18"/>
          <w:color w:val="auto"/>
        </w:rPr>
        <w:t>To resolve UCB’s challenges to our patents and their resulting obligation to pay us royalties on net sales of CIMZIA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which we had sold to RPI, RPI and UCB negotiated a reduction in the royalty term and decreased royalty rates over the remaining term, which was implemented through the Settlement Agreement between UCB and us. As a result of accounting for the Settlement Agreement as a debt modification during the three months ended December 31, 2021, we remeasured the liability to fair value using a discount rate of 16%. The Settlement Agreement and revaluation do not affect our cash flows, and the net income statement effect over the term of 2012 Purchase and Sale Agreement remains unchanged.</w:t>
      </w:r>
    </w:p>
    <w:p>
      <w:pPr>
        <w:spacing w:after="0" w:line="91"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Over the term of this arrangement, the net proceeds of the transaction of $114.0 million, consisting of the original proceeds of $124.0 million, net of $10.0 million in payments from us to RPI, is amortized as the difference between the non-cash royalty revenue and the sum of the non-cash interest expense and the loss on the revaluation of the liability. To date, we have amortized $51.4 million of the net proceeds. We periodically assess future non-cash royalty revenues, and we may adjust the prospective effective interest rate based on our best estimates of future non-cash royalty revenue such that future non-cash interest expense will amortize the remaining $62.6 million of the net proceeds, since RPI receives all of the benefits of the increases in future royalties. There are a number of factors that could materially affect our estimated interest rate, in particular, the amount and timing of royalty payments from future net sales of CIMZIA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MIRCERA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As a result, future interest rates could differ significantly, and we will adjust any such change in our estimated interest rate prospectively.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Purchase and Sale Agreement</w:t>
      </w:r>
    </w:p>
    <w:p>
      <w:pPr>
        <w:spacing w:after="0" w:line="173"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To date, we have amortized $44.7 million of the proceeds. We periodically assess future non-cash royalty revenues, and we may adjust the prospective effective interest rate based on our best estimates of future non-cash royalty revenue such that future non-cash interest expense will amortize the remaining $105.3 million. Our current estimate of the imputed interest rate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reflects that our estimates of sales of MOVANTIK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ADYNOVATE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REBINYN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will result in meeting the 2025 Threshold. Because the 2025 Threshold of $210.0 million and the increase in the threshold to $240.0 million (if the 2025 Threshold is not timely achieved) limit the amount of royalties payable to HCR, the potential for the implicit interest rate to vary is more limited. Instead, we will receive the benefit of net sales if they exceed the threshold, but do not bear risk of loss or payments to HCR if royalties are less than expected.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Income (Expense), net (in thousands, except percentages)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6"/>
        </w:trPr>
        <w:tc>
          <w:tcPr>
            <w:tcW w:w="5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0" w:type="dxa"/>
            <w:vAlign w:val="bottom"/>
            <w:gridSpan w:val="7"/>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5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7"/>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196"/>
        </w:trPr>
        <w:tc>
          <w:tcPr>
            <w:tcW w:w="55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2,050</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1,919</w:t>
            </w:r>
          </w:p>
        </w:tc>
        <w:tc>
          <w:tcPr>
            <w:tcW w:w="4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&gt;100%</w:t>
            </w:r>
          </w:p>
        </w:tc>
        <w:tc>
          <w:tcPr>
            <w:tcW w:w="0" w:type="dxa"/>
            <w:vAlign w:val="bottom"/>
          </w:tcPr>
          <w:p>
            <w:pPr>
              <w:spacing w:after="0"/>
              <w:rPr>
                <w:sz w:val="1"/>
                <w:szCs w:val="1"/>
                <w:color w:val="auto"/>
              </w:rPr>
            </w:pPr>
          </w:p>
        </w:tc>
      </w:tr>
      <w:tr>
        <w:trPr>
          <w:trHeight w:val="418"/>
        </w:trPr>
        <w:tc>
          <w:tcPr>
            <w:tcW w:w="5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gridSpan w:val="7"/>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Increase/</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0" w:type="dxa"/>
            <w:vAlign w:val="bottom"/>
            <w:gridSpan w:val="7"/>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2"/>
                <w:szCs w:val="12"/>
                <w:color w:val="auto"/>
              </w:rPr>
            </w:pPr>
          </w:p>
        </w:tc>
        <w:tc>
          <w:tcPr>
            <w:tcW w:w="13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5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00" w:type="dxa"/>
            <w:vAlign w:val="bottom"/>
          </w:tcPr>
          <w:p>
            <w:pPr>
              <w:spacing w:after="0"/>
              <w:rPr>
                <w:sz w:val="17"/>
                <w:szCs w:val="17"/>
                <w:color w:val="auto"/>
              </w:rPr>
            </w:pPr>
          </w:p>
        </w:tc>
        <w:tc>
          <w:tcPr>
            <w:tcW w:w="13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196"/>
        </w:trPr>
        <w:tc>
          <w:tcPr>
            <w:tcW w:w="55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04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300" w:type="dxa"/>
            <w:vAlign w:val="bottom"/>
            <w:tcBorders>
              <w:top w:val="single" w:sz="8" w:color="auto"/>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3,541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Interest income and other income (expense) increased for the three and nine months ended September 30, 2022 as compared to the three months ended September 30, 2021 due to increases in interest rates. We expect that our interest income and other income (expense), net will increase for 2022 compared to 2021 for the same reason.</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have financed our operations primarily through revenue from upfront and milestone payments under our strategic collaboration agreements, royalties and product sales, as well as public and private placements of debt and equity securities. As of September 30, 2022, we had approximately $546.4 million in cash and investments in marketable securities.</w:t>
      </w:r>
    </w:p>
    <w:p>
      <w:pPr>
        <w:spacing w:after="0" w:line="68"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We estimate that we have working capital to fund our current business plans for at least the next twelve months from the date of filing, which includes the payments for the winddown of the bempegaldesleukin program, as further disclosed in Note 8 to our Condensed Consolidated Financial Statements.</w:t>
      </w:r>
    </w:p>
    <w:p>
      <w:pPr>
        <w:spacing w:after="0" w:line="68"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We expect the clinical development of our drug candidates, including rezpegaldesleukin and NKTR-255, will continue to require significant investment to continue to advance in clinical development with the objective of obtaining regulatory approval or entering into one or more collaboration partnerships. In the past, we have received a number of significant payments from collaboration agreements and other significant transactions, including $1.9 billion in total consideration received under our arrangement with BMS, development cost reimbursements from BMS, and a $150.0 million upfront payment from Lilly for our collaboration agreement for rezpegaldesleukin. In the future, we have the opportunity to receive up to $250.0 million in milestone payments under our collaboration with Lilly.</w:t>
      </w:r>
    </w:p>
    <w:p>
      <w:pPr>
        <w:spacing w:after="0" w:line="7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current business is subject to significant uncertainties and risks as a result of, among other factors, clinical and regulatory outcomes for rezpegaldesleukin and NKTR-255, the sales levels for those products (for both wholly owned products such as NKTR-255 and for licensed products such as rezpegaldesleukin for which we are entitled to royalties), if and when they are approved, whether, when and on what terms we are able to enter into new collaboration transactions, expenses being higher than anticipated, unplanned expenses, cash receipts being lower than anticipated, and the need to satisfy contingent liabilities, including litigation matters and indemnification obligations.</w:t>
      </w:r>
    </w:p>
    <w:p>
      <w:pPr>
        <w:spacing w:after="0" w:line="7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have no credit facility or any other sources of committed capital. The availability and terms of various financing alternatives, if required in the future, substantially depend on many factors including the success or failure of drug development programs in our pipeline. The availability and terms of financing alternatives and any future significant payments from existing or new collaborations depend on the positive outcome of ongoing or planned clinical studies, whether we or our partners are successful in obtaining regulatory authority approvals in major markets, and if approved, the commercial success of these drugs, as well as general capital market conditions. We may pursue various financing alternatives to fund the expansion of our business as appropriate.</w:t>
      </w:r>
    </w:p>
    <w:p>
      <w:pPr>
        <w:spacing w:after="0" w:line="79" w:lineRule="exact"/>
        <w:rPr>
          <w:sz w:val="20"/>
          <w:szCs w:val="20"/>
          <w:color w:val="auto"/>
        </w:rPr>
      </w:pPr>
    </w:p>
    <w:p>
      <w:pPr>
        <w:ind w:right="560" w:firstLine="648"/>
        <w:spacing w:after="0" w:line="261" w:lineRule="auto"/>
        <w:rPr>
          <w:sz w:val="20"/>
          <w:szCs w:val="20"/>
          <w:color w:val="auto"/>
        </w:rPr>
      </w:pPr>
      <w:r>
        <w:rPr>
          <w:rFonts w:ascii="Times New Roman" w:cs="Times New Roman" w:eastAsia="Times New Roman" w:hAnsi="Times New Roman"/>
          <w:sz w:val="18"/>
          <w:szCs w:val="18"/>
          <w:color w:val="auto"/>
        </w:rPr>
        <w:t>In the short term, we do not anticipate that the effects of the COVID-19 pandemic will have a material effect on our results of operations or financial position since we do not generate significant cash flows from recurring revenues and our revenues are generally less affected by regulatory restrictions and guidelines that have been implemented in response to the pandemic. However, if delays caused by the COVID-19 pandemic in commencing and enrolling patients in our clinical trials or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those run by our partners result in a delay in completing these trials, our or our partner’s ability to file for regulatory approval and commercialize these products (if approved) and receive associated milestone payments may also be delayed.</w:t>
      </w:r>
    </w:p>
    <w:p>
      <w:pPr>
        <w:spacing w:after="0" w:line="5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Due to the potential for adverse developments in the credit markets, we may experience reduced liquidity with respect to some of our investments in marketable securities. These investments are generally held to maturity, which, in accordance with our investment policy, is less than two years. However, if the need arises to liquidate such securities before maturity, we may experience losses on liquidation. To date we have not experienced any liquidity issues with respect to these securities. We believe that, even allowing for potential liquidity issues with respect to these securities and the effect of various conditions on the financial markets, our remaining cash and investments in marketable securities will be sufficient to meet our anticipated cash needs for at least the next twelve months.</w:t>
      </w:r>
    </w:p>
    <w:p>
      <w:pPr>
        <w:spacing w:after="0" w:line="7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currently have an effective shelf registration statement on Form S-3 (the 2021 Shelf Registration Statement) on file with the Securities and Exchange Commission, which expires in March 2024. The 2021 Shelf Registration Statement currently permits the offering, issuance and sale by us of up to an aggregate offering price of $300.0 million of common stock, preferred stock, debt securities and warrants in one or more offerings and in any combination, all of which may be offered, issued and sold in “at-the-market” sales pursuant to an equity distribution agreement with Cowen and Company, LLC (the Equity Distribution Agreement). No securities have been sold under the 2021 Shelf Registration Statement or the Equity Distribution Agreement.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75" w:lineRule="exact"/>
        <w:rPr>
          <w:sz w:val="20"/>
          <w:szCs w:val="20"/>
          <w:color w:val="auto"/>
        </w:rPr>
      </w:pPr>
    </w:p>
    <w:p>
      <w:pPr>
        <w:ind w:right="620" w:firstLine="567"/>
        <w:spacing w:after="0" w:line="282" w:lineRule="auto"/>
        <w:rPr>
          <w:sz w:val="20"/>
          <w:szCs w:val="20"/>
          <w:color w:val="auto"/>
        </w:rPr>
      </w:pPr>
      <w:r>
        <w:rPr>
          <w:rFonts w:ascii="Times New Roman" w:cs="Times New Roman" w:eastAsia="Times New Roman" w:hAnsi="Times New Roman"/>
          <w:sz w:val="18"/>
          <w:szCs w:val="18"/>
          <w:color w:val="auto"/>
        </w:rPr>
        <w:t>Cash flows used in operating activities for the nine months ended September 30, 2022 and 2021 totaled $246.3 million and $261.1 million, respectively.</w:t>
      </w:r>
    </w:p>
    <w:p>
      <w:pPr>
        <w:spacing w:after="0" w:line="54"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We expect that cash flows used in operating activities, excluding upfront, milestone and other contingent payments received, if any, will decrease for 2022 as compared to 2021 as a result of the wind down of the bempegaldesleukin program and the various cost restructuring activities described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75" w:lineRule="exact"/>
        <w:rPr>
          <w:sz w:val="20"/>
          <w:szCs w:val="20"/>
          <w:color w:val="auto"/>
        </w:rPr>
      </w:pPr>
    </w:p>
    <w:p>
      <w:pPr>
        <w:jc w:val="both"/>
        <w:ind w:right="40" w:firstLine="567"/>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2022 and 2021, the maturities and sales of our investments, net of purchases, totaled $331.0 million and $91.7 million, respectively, which we used to fund our operations. Our maturities and sales of investments, net of purchases was lower during the nine months ended September 30, 2021 as compared to the nine months ended September 30, 2022, because we purchased securities in early 2021, utilizing the $150.0 million in proceeds from the 2020 Purchase and Sale Agreement that were included in cash equivalents at December 31, 2020.</w:t>
      </w:r>
    </w:p>
    <w:p>
      <w:pPr>
        <w:spacing w:after="0" w:line="72" w:lineRule="exact"/>
        <w:rPr>
          <w:sz w:val="20"/>
          <w:szCs w:val="20"/>
          <w:color w:val="auto"/>
        </w:rPr>
      </w:pPr>
    </w:p>
    <w:p>
      <w:pPr>
        <w:ind w:right="220" w:firstLine="567"/>
        <w:spacing w:after="0" w:line="282" w:lineRule="auto"/>
        <w:rPr>
          <w:sz w:val="20"/>
          <w:szCs w:val="20"/>
          <w:color w:val="auto"/>
        </w:rPr>
      </w:pPr>
      <w:r>
        <w:rPr>
          <w:rFonts w:ascii="Times New Roman" w:cs="Times New Roman" w:eastAsia="Times New Roman" w:hAnsi="Times New Roman"/>
          <w:sz w:val="18"/>
          <w:szCs w:val="18"/>
          <w:color w:val="auto"/>
        </w:rPr>
        <w:t>We paid $5.2 million and $9.1 million for the purchase or construction of property, plant and equipment in the nine months ended September 30, 2022 and 2021,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75"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received proceeds from issuance of common stock related to our employee option and stock purchase plans of $0.7 million and $31.4 million in the nine months ended September 30, 2022 and 2021, respectively. Additionally, during the nine months ended September 30, 2022 and 2021, we received $0.8 million and $2.3 million, respectively, from SFJ pursuant to our co-development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right="120" w:firstLine="567"/>
        <w:spacing w:after="0" w:line="266" w:lineRule="auto"/>
        <w:rPr>
          <w:sz w:val="20"/>
          <w:szCs w:val="20"/>
          <w:color w:val="auto"/>
        </w:rPr>
      </w:pPr>
      <w:r>
        <w:rPr>
          <w:rFonts w:ascii="Times New Roman" w:cs="Times New Roman" w:eastAsia="Times New Roman" w:hAnsi="Times New Roman"/>
          <w:sz w:val="18"/>
          <w:szCs w:val="18"/>
          <w:color w:val="auto"/>
        </w:rPr>
        <w:t>The preparation and presentation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68" w:lineRule="exact"/>
        <w:rPr>
          <w:sz w:val="20"/>
          <w:szCs w:val="20"/>
          <w:color w:val="auto"/>
        </w:rPr>
      </w:pPr>
    </w:p>
    <w:p>
      <w:pPr>
        <w:ind w:right="80" w:firstLine="567"/>
        <w:spacing w:after="0" w:line="256" w:lineRule="auto"/>
        <w:rPr>
          <w:sz w:val="20"/>
          <w:szCs w:val="20"/>
          <w:color w:val="auto"/>
        </w:rPr>
      </w:pPr>
      <w:r>
        <w:rPr>
          <w:rFonts w:ascii="Times New Roman" w:cs="Times New Roman" w:eastAsia="Times New Roman" w:hAnsi="Times New Roman"/>
          <w:sz w:val="18"/>
          <w:szCs w:val="18"/>
          <w:color w:val="auto"/>
        </w:rPr>
        <w:t>We base our estimates on historical experience and on various other assumptions that we believe to be reasonable under the circumstances, the results of which form our basis for making judgments about the carrying value of assets and liabilities that are not readily apparent from other sources. We evaluate our estimates on an ongoing basis. Actual results may differ from those estimates under different assumptions or conditions. See Note 1 and Note 8 to our Condensed Consolidated Financial Statements for our accounting policies and estimates related to the severance and benefits and the impairment of right-of-use assets and property, plant and equipment. Other than these accounting policies and estimates, there have been no material changes to our critical accounting policies and estimates discussed in our Annual Report on Form 10-K for the fiscal year ended December 31, 2021.</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140" w:firstLine="567"/>
        <w:spacing w:after="0" w:line="266" w:lineRule="auto"/>
        <w:rPr>
          <w:sz w:val="20"/>
          <w:szCs w:val="20"/>
          <w:color w:val="auto"/>
        </w:rPr>
      </w:pPr>
      <w:r>
        <w:rPr>
          <w:rFonts w:ascii="Times New Roman" w:cs="Times New Roman" w:eastAsia="Times New Roman" w:hAnsi="Times New Roman"/>
          <w:sz w:val="18"/>
          <w:szCs w:val="18"/>
          <w:color w:val="auto"/>
        </w:rPr>
        <w:t>We are exposed to the risk of inflation, which has increased significantly during 2022 and may result in increases to our operating expenses. Other than the risk of inflation, our market risks at September 30, 2022 have not changed materially from those discussed in Item 7A of our Annual Report on Form 10-K for the year ended December 31, 2021 on file with the SEC.</w:t>
      </w:r>
    </w:p>
    <w:p>
      <w:pPr>
        <w:spacing w:after="0" w:line="11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75" w:lineRule="exact"/>
        <w:rPr>
          <w:sz w:val="20"/>
          <w:szCs w:val="20"/>
          <w:color w:val="auto"/>
        </w:rPr>
      </w:pPr>
    </w:p>
    <w:p>
      <w:pPr>
        <w:ind w:firstLine="567"/>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Securities Exchange Act of 1934 (Exchange Act) reports is recorded, processed, summarized, and reported within the time periods specified in the rules and forms of the SEC, and that such information is accumulated and communicated to management, including our Chief Executive Officer and Chief Financial Officer, as appropriate, to allow timely decisions regarding required disclosure.</w:t>
      </w:r>
    </w:p>
    <w:p>
      <w:pPr>
        <w:spacing w:after="0" w:line="72" w:lineRule="exact"/>
        <w:rPr>
          <w:sz w:val="20"/>
          <w:szCs w:val="20"/>
          <w:color w:val="auto"/>
        </w:rPr>
      </w:pPr>
    </w:p>
    <w:p>
      <w:pPr>
        <w:ind w:right="100" w:firstLine="567"/>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pursuant to Exchange Act Rule 13a-15. Based upon, and as of the date of, this evaluation, our Chief Executive Officer and Chief Financial Officer concluded that our disclosure controls and procedures were effective.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ind w:right="60" w:firstLine="567"/>
        <w:spacing w:after="0" w:line="255" w:lineRule="auto"/>
        <w:rPr>
          <w:sz w:val="20"/>
          <w:szCs w:val="20"/>
          <w:color w:val="auto"/>
        </w:rPr>
      </w:pPr>
      <w:r>
        <w:rPr>
          <w:rFonts w:ascii="Times New Roman" w:cs="Times New Roman" w:eastAsia="Times New Roman" w:hAnsi="Times New Roman"/>
          <w:sz w:val="18"/>
          <w:szCs w:val="18"/>
          <w:color w:val="auto"/>
        </w:rPr>
        <w:t>We continuously seek to improve the efficiency and effectiveness of our internal controls. This results in refinements to processes throughout the Company. However, there was no change in our internal control over financial reporting that occurred in the three months ended September 30, 2022 that has materially affected, or is reasonably likely to materially affect, our internal control over financial reporting. Specifically, despite the fact that most of our office-based employees are working remotely due to the COVID-19 pandemic, we do not believe that our adjustments to how we work have materially impacted our internal controls over financial reporting. We continue to monitor and assess the potential impact of the COVID-19 pandemic, and the related regulatory and government guidance that have been issued in response to the pandemic, on our internal controls and strive to minimize the impact on our internal control design and operating effectiveness.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w:t>
      </w:r>
    </w:p>
    <w:p>
      <w:pPr>
        <w:spacing w:after="0" w:line="175" w:lineRule="exact"/>
        <w:rPr>
          <w:sz w:val="20"/>
          <w:szCs w:val="20"/>
          <w:color w:val="auto"/>
        </w:rPr>
      </w:pPr>
    </w:p>
    <w:p>
      <w:pPr>
        <w:ind w:right="40" w:firstLine="567"/>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5"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Reference is hereby made to our disclosures in “Legal Matters” under Note 6 to our Condensed Consolidated Financial Statements in this Quarterly Report on Form 10-Q and the information under the heading “Legal Matters” is incorporated by reference herein.</w:t>
      </w:r>
    </w:p>
    <w:p>
      <w:pPr>
        <w:spacing w:after="0" w:line="10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75" w:lineRule="exact"/>
        <w:rPr>
          <w:sz w:val="20"/>
          <w:szCs w:val="20"/>
          <w:color w:val="auto"/>
        </w:rPr>
      </w:pPr>
    </w:p>
    <w:p>
      <w:pPr>
        <w:ind w:right="120" w:firstLine="567"/>
        <w:spacing w:after="0" w:line="261" w:lineRule="auto"/>
        <w:rPr>
          <w:sz w:val="20"/>
          <w:szCs w:val="20"/>
          <w:color w:val="auto"/>
        </w:rPr>
      </w:pPr>
      <w:r>
        <w:rPr>
          <w:rFonts w:ascii="Times New Roman" w:cs="Times New Roman" w:eastAsia="Times New Roman" w:hAnsi="Times New Roman"/>
          <w:sz w:val="18"/>
          <w:szCs w:val="18"/>
          <w:color w:val="auto"/>
        </w:rPr>
        <w:t>We are providing the following cautionary discussion of risk factors, uncertainties and assumptions that we believe are relevant to our business. These are factors that, individually or in the aggregate, we think could cause our actual results to differ materially from expected and historical results and our forward-looking statements. We note these factors for investors as permitted by Section 21E of the Exchange Act and Section 27A of the Securities Act.</w:t>
      </w:r>
    </w:p>
    <w:p>
      <w:pPr>
        <w:spacing w:after="0" w:line="72" w:lineRule="exact"/>
        <w:rPr>
          <w:sz w:val="20"/>
          <w:szCs w:val="20"/>
          <w:color w:val="auto"/>
        </w:rPr>
      </w:pPr>
    </w:p>
    <w:p>
      <w:pPr>
        <w:ind w:firstLine="567"/>
        <w:spacing w:after="0" w:line="256" w:lineRule="auto"/>
        <w:rPr>
          <w:sz w:val="20"/>
          <w:szCs w:val="20"/>
          <w:color w:val="auto"/>
        </w:rPr>
      </w:pPr>
      <w:r>
        <w:rPr>
          <w:rFonts w:ascii="Times New Roman" w:cs="Times New Roman" w:eastAsia="Times New Roman" w:hAnsi="Times New Roman"/>
          <w:sz w:val="18"/>
          <w:szCs w:val="18"/>
          <w:color w:val="auto"/>
        </w:rPr>
        <w:t>Investors in Nektar Therapeutics should carefully consider the risks described below before making an investment decision. You should understand that it is not possible to predict or identify all such factors. Consequently, you should not consider this section to be a complete discussion of all potential risks or uncertainties that may substantially impact our business. Moreover, we operate in a competitive and rapidly changing environment. New factors emerge from time to time and it is not possible to predict the impact of all of these factors on our business, financial condition or results of operations. The risks described below may not be the only ones relating to our company. This description includes any material changes to and supersedes the description of the risk factors associated with our business previously disclosed in Item 1A of our Annual Report on Form 10-K for the year ended December 31, 2021.</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1" w:lineRule="exact"/>
        <w:rPr>
          <w:sz w:val="20"/>
          <w:szCs w:val="20"/>
          <w:color w:val="auto"/>
        </w:rPr>
      </w:pPr>
    </w:p>
    <w:p>
      <w:pPr>
        <w:ind w:left="34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success of drug candidates, including rezpegaldesleukin (previously referred to as NKTR-358) and NKTR-255. If these drug candidates fail in clinical development our business will be significantly harmed.</w:t>
      </w:r>
    </w:p>
    <w:p>
      <w:pPr>
        <w:spacing w:after="0" w:line="105" w:lineRule="exact"/>
        <w:rPr>
          <w:sz w:val="20"/>
          <w:szCs w:val="20"/>
          <w:color w:val="auto"/>
        </w:rPr>
      </w:pPr>
    </w:p>
    <w:p>
      <w:pPr>
        <w:ind w:right="280" w:firstLine="648"/>
        <w:spacing w:after="0" w:line="272" w:lineRule="auto"/>
        <w:rPr>
          <w:sz w:val="20"/>
          <w:szCs w:val="20"/>
          <w:color w:val="auto"/>
        </w:rPr>
      </w:pPr>
      <w:r>
        <w:rPr>
          <w:rFonts w:ascii="Times New Roman" w:cs="Times New Roman" w:eastAsia="Times New Roman" w:hAnsi="Times New Roman"/>
          <w:sz w:val="17"/>
          <w:szCs w:val="17"/>
          <w:color w:val="auto"/>
        </w:rPr>
        <w:t>Our future success is highly dependent on the clinical success of our drug candidates, including rezpegaldesleukin and NKTR-255. In general, most investigational drugs, including immunology and I-O drug candidates such as rezpegaldesleukin and NKTR-255, respectively, do not become approved drugs. Accordingly, there is a very meaningful risk that our drug candidates will not succeed in one or more clinical trials sufficient to support one or more regulatory approvals. Further, if Lilly, our collaboration partner for rezpegaldesleukin, delays the initiation or completion of one or more clinical trials for reasons outside of our control, or is not successful, it would materially harm our market valuation, prospects, financial condition and results of operations. For example, under our collaboration agreement with Lilly, we are eligible for up to $250.0 million in additional development and regulatory milestones, and a royalty rate up to the low twenties percent based upon our Phase 3 development cost contribution and the level of annual global product sales. One or more clinical failures of our drug candidates would jeopardize and could result in reduced, delayed or eliminated revenue.</w:t>
      </w:r>
    </w:p>
    <w:p>
      <w:pPr>
        <w:spacing w:after="0" w:line="64"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Additionally, promising results from earlier trials may not predict similarly favorable outcomes in subsequent trials. For example, several of our past, planned and ongoing clinical trials utilize an “open-label” trial design. An “open-label” clinical trial is one where both the patient and investigator know whether the patient is receiving the investigational drug candidate or either an existing approved drug or placebo. Most typically, open-label clinical trials test only the investigational drug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drug candidates for which we include an open-label clinical trial when studied in a controlled environment with a placebo or active control.</w:t>
      </w:r>
    </w:p>
    <w:p>
      <w:pPr>
        <w:spacing w:after="0" w:line="136" w:lineRule="exact"/>
        <w:rPr>
          <w:sz w:val="20"/>
          <w:szCs w:val="20"/>
          <w:color w:val="auto"/>
        </w:rPr>
      </w:pPr>
    </w:p>
    <w:p>
      <w:pPr>
        <w:ind w:left="34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clinical studies are common and have many causes, and any significant delay in clinical studies being conducted by us or our partners could result in delay in regulatory approvals and jeopardize the ability to proceed to commercialization.</w:t>
      </w:r>
    </w:p>
    <w:p>
      <w:pPr>
        <w:spacing w:after="0" w:line="105"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We or our partners may experience delays in clinical trials of drug candidates. Our partner Lilly is conducting a Phase 2 study of rezpegaldesleukin in patients with SLE as well as two Phase 1b studies in patients with psoriasis and atopic dermatitis. In addition, we have initiated a Phase 1 clinical study of NKTR-255 in adults with relapsed or refractory non-Hodgkin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lymphoma or multiple myeloma, as well as a Phase 1/2 clinical study of NKTR-255 in patients with relapsed or refractory head and neck squamous cell carcinoma or colorectal cancer. These and other clinical studies may not begin on time, enroll a sufficient number of patients or be completed on schedule, if at all. Clinical trials for any of our drug candidates could be delayed for a variety of reasons, including:</w:t>
      </w:r>
    </w:p>
    <w:p>
      <w:pPr>
        <w:spacing w:after="0" w:line="122"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regulatory authorization to commence a clinical study;</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with applicable regulatory authorities on a clinical study design;</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for drug candidates (such as rezpegaldesleukin) partnered with other companies, delays caused by our partner;</w:t>
      </w:r>
    </w:p>
    <w:p>
      <w:pPr>
        <w:spacing w:after="0" w:line="169" w:lineRule="exact"/>
        <w:rPr>
          <w:rFonts w:ascii="Times New Roman" w:cs="Times New Roman" w:eastAsia="Times New Roman" w:hAnsi="Times New Roman"/>
          <w:sz w:val="18"/>
          <w:szCs w:val="18"/>
          <w:b w:val="1"/>
          <w:bCs w:val="1"/>
          <w:i w:val="1"/>
          <w:iCs w:val="1"/>
          <w:color w:val="auto"/>
        </w:rPr>
      </w:pPr>
    </w:p>
    <w:p>
      <w:pPr>
        <w:ind w:left="1300" w:right="40" w:hanging="644"/>
        <w:spacing w:after="0" w:line="284" w:lineRule="auto"/>
        <w:tabs>
          <w:tab w:leader="none" w:pos="129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delays caused by the COVID-19 pandemic (see also the risk factor in this Item 1A titled “</w:t>
      </w:r>
      <w:r>
        <w:rPr>
          <w:rFonts w:ascii="Times New Roman" w:cs="Times New Roman" w:eastAsia="Times New Roman" w:hAnsi="Times New Roman"/>
          <w:sz w:val="18"/>
          <w:szCs w:val="18"/>
          <w:i w:val="1"/>
          <w:iCs w:val="1"/>
          <w:color w:val="auto"/>
        </w:rPr>
        <w:t>Our business could be adversely affected by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effects of health epidemics, including the recent COVID-19 pandemic</w:t>
      </w:r>
      <w:r>
        <w:rPr>
          <w:rFonts w:ascii="Times New Roman" w:cs="Times New Roman" w:eastAsia="Times New Roman" w:hAnsi="Times New Roman"/>
          <w:sz w:val="18"/>
          <w:szCs w:val="18"/>
          <w:color w:val="auto"/>
        </w:rPr>
        <w:t>”).</w:t>
      </w:r>
    </w:p>
    <w:p>
      <w:pPr>
        <w:spacing w:after="0" w:line="106" w:lineRule="exact"/>
        <w:rPr>
          <w:rFonts w:ascii="Times New Roman" w:cs="Times New Roman" w:eastAsia="Times New Roman" w:hAnsi="Times New Roman"/>
          <w:sz w:val="18"/>
          <w:szCs w:val="18"/>
          <w:b w:val="1"/>
          <w:bCs w:val="1"/>
          <w:i w:val="1"/>
          <w:iCs w:val="1"/>
          <w:color w:val="auto"/>
        </w:rPr>
      </w:pPr>
    </w:p>
    <w:p>
      <w:pPr>
        <w:ind w:left="1300" w:right="560" w:hanging="644"/>
        <w:spacing w:after="0" w:line="282"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the FDA or other health authorities, which may occur at any time including after any inspection of clinical trial operations or trial sites;</w:t>
      </w:r>
    </w:p>
    <w:p>
      <w:pPr>
        <w:spacing w:after="0" w:line="107"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termination of a clinical study by us, our partners, the FDA or foreign regulatory authorities due to adverse side effects of a drug on subjects in the trial;</w:t>
      </w:r>
    </w:p>
    <w:p>
      <w:pPr>
        <w:spacing w:after="0" w:line="10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suitable patients to participate in a trial;</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having patients complete participation in a trial or return for post-treatment follow-up;</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dropping out of a trial due to the detriment of enrollment rates;</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manufacturing and delivery of sufficient supply of clinical trial materials;</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authorities policies or guidance applicable to our drug candidates; and</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caused by changing standards of care or new treatment options.</w:t>
      </w:r>
    </w:p>
    <w:p>
      <w:pPr>
        <w:spacing w:after="0" w:line="11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If the initiation or completion of any of the planned clinical studies for our drug candidates is delayed for any of the above or other reasons, results for the studies would be delayed, and consequently the regulatory approval process would be delayed which would also delay our ability to commercialize these drug candidates, which could have a material adverse effect on our business, financial condition and results of operations. Clinical study delays could also shorten any commercial periods during which our products have patent protection and may allow our competitors to bring products to market before we do, which could impair our ability to successfully commercialize our drug candidates and may harm our business and results of operations.</w:t>
      </w:r>
    </w:p>
    <w:p>
      <w:pPr>
        <w:spacing w:after="0" w:line="125" w:lineRule="exact"/>
        <w:rPr>
          <w:sz w:val="20"/>
          <w:szCs w:val="20"/>
          <w:color w:val="auto"/>
        </w:rPr>
      </w:pPr>
    </w:p>
    <w:p>
      <w:pPr>
        <w:ind w:left="340"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outcomes from competitive I-O and combination therapy clinical trials, and the discovery and development of new potential oncology therapies, could have a material and adverse impact on the value of our I-O research and development pipeline.</w:t>
      </w:r>
    </w:p>
    <w:p>
      <w:pPr>
        <w:spacing w:after="0" w:line="10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research and development of I-O therapies is a very competitive global segment in the biopharmaceutical industry attracting tens of billions of dollars of investment each year. Our clinical trial plans for NKTR-255 and other I-O therapy drug candidates face substantial competition from other I-O combination regimens already approved, and many more combination therapies that are either ahead of or in parallel development in patient populations where we are studying our drug candidates. As I-O combination therapies are relatively new approaches in cancer treatment and few have successfully completed late stage development, I-O drug development entails substantial risks and uncertainties that include rapidly changing standards of care, identifying contribution of component therapies, patient enrollment competition, evolving regulatory frameworks to evaluate combination regimens, and varying risk-benefit profiles of competing therapies, any or all of which could have a material and adverse impact on the probability of success of I-O drug candidates.</w:t>
      </w:r>
    </w:p>
    <w:p>
      <w:pPr>
        <w:spacing w:after="0" w:line="134" w:lineRule="exact"/>
        <w:rPr>
          <w:sz w:val="20"/>
          <w:szCs w:val="20"/>
          <w:color w:val="auto"/>
        </w:rPr>
      </w:pPr>
    </w:p>
    <w:p>
      <w:pPr>
        <w:ind w:left="34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risk of clinical failure for any drug candidate remains high prior to regulatory approval and there can be no assurance that our product candidates will obtain regulatory approval.</w:t>
      </w:r>
    </w:p>
    <w:p>
      <w:pPr>
        <w:spacing w:after="0" w:line="10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 number of companies have suffered significant unforeseen failures in clinical studies due to factors such as inconclusive efficacy or safety, even after achieving preclinical proof-of-concept or positive results from earlier clinical studies that were satisfactory both to them and to reviewing regulatory authorities. Clinical study outcomes remain very unpredictable and it is possible that one or more of our clinical studies could fail at any time due to efficacy, safety or other important clinical findings or regulatory requirements. The results from preclinical testing or early clinical trials of a drug candidate may not predict the results that will be obtained in later phase clinical trials of the drug candidate. We, the FDA, an independent Institutional Review Board (IRB), an independent ethics committee (IEC), or other applicable regulatory authorities may suspend clinical trials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of a drug candidate at any time for various reasons, including a belief that patients participating in such trials are being exposed to unacceptable health risks or adverse side effects. Similarly, an IRB or IEC may suspend a clinical trial at a particular trial site. If one or more of our drug candidates fail in clinical studies, it could have a material adverse effect on our business, financial condition and results of operations.</w:t>
      </w:r>
    </w:p>
    <w:p>
      <w:pPr>
        <w:spacing w:after="0" w:line="118" w:lineRule="exact"/>
        <w:rPr>
          <w:sz w:val="20"/>
          <w:szCs w:val="20"/>
          <w:color w:val="auto"/>
        </w:rPr>
      </w:pPr>
    </w:p>
    <w:p>
      <w:pPr>
        <w:ind w:left="34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Significant competition for our polymer conjugate chemistry technology platforms and our partnered and proprietary drugs and drug candidates could make our technologies, drugs or drug candidates obsolete or uncompetitive, which would negatively impact our business, results of operations and financial condition.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advanced polymer conjugate chemistry platforms and our partnered and proprietary products and drug candidates compete with various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pharmaceutical and biotechnology companies. Competitors of our polymer conjugate chemistry technologies include Biogen Inc., Horizon Pharma,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Reddy’s Laboratories Ltd., SunBio Corporation, Laysan Bio, Inc., Mountain View Pharmaceuticals, Inc., Novo Nordisk A/S (formerly assets held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Neose Technologies, Inc.), and NOF Corporation. Several other chemical, biotechnology and pharmaceutical companies may also be developing polymer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conjugation technologies or technologies that have similar impact on target drug molecules. Some of these companies license or provide the technology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companies, while others are developing the technology for internal use.</w:t>
      </w:r>
    </w:p>
    <w:p>
      <w:pPr>
        <w:spacing w:after="0" w:line="9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There are many competitors for our drug candidates currently in development. For rezpegaldesleukin, there are a number of competitors in various stages of clinical development that are working on programs which are designed to correct the underlying immune system imbalance in the body due to autoimmune disease. In particular, we expect to compete with therapies that could be cytokine-based therapies (Symbiotix, LLC, Janssen, AstraZeneca, and Tizona Therapeutics), regulatory T cell therapies (Targazyme, Inc., Caladrius BioSciences, Inc., and Tract Therapeutics, Inc.), or IL-2-based-therapies (Amgen Inc., Celgene Corporation, GentiBio, Inc., ILTOO Pharma, Kyverna Therapeutics, Merck &amp; Co, through its acquisition of Pandion Therapeutics, and Roche). For NKTR-255, we believe companies that are currently researching and developing engineered IL-15 biologics and cell therapies that could compete with this drug candidate include Artiva Biotherapeutics, Fate Therapeutics, ImmunityBio, Inc., Nkarta therapeutics, NKMax America, and Roche/Genentech (through its partnership with Xencor, Inc.). There can be no assurance that we or our partners will successfully develop, obtain regulatory approvals for and commercialize next-generation or new products that will successfully compete with those of our competitors. Many of our competitors have greater financial, research and development, marketing and sales, manufacturing and managerial capabilities. We face competition from these companies not just in product development but also in areas such as recruiting employees, acquiring technologies that might enhance our ability to commercialize products, establishing relationships with certain research and academic institutions, enrolling patients in clinical trials and seeking program partnerships and collaborations with larger pharmaceutical companies. As a result, our competitors may succeed in developing competing technologies, obtaining regulatory approval or gaining market acceptance for products before we do. These developments could make our products or technologies uncompetitive or obsolete.</w:t>
      </w:r>
    </w:p>
    <w:p>
      <w:pPr>
        <w:spacing w:after="0" w:line="138" w:lineRule="exact"/>
        <w:rPr>
          <w:sz w:val="20"/>
          <w:szCs w:val="20"/>
          <w:color w:val="auto"/>
        </w:rPr>
      </w:pPr>
    </w:p>
    <w:p>
      <w:pPr>
        <w:ind w:left="340"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Preliminary and interim data from our clinical studies that we announce or publish from time to time are subject to audit and verification procedures that could result in material changes in the final data and may change as more patient data become available.</w:t>
      </w:r>
    </w:p>
    <w:p>
      <w:pPr>
        <w:spacing w:after="0" w:line="10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From time to time, we publish preliminary or interim data from our clinical studies. Preliminary data remain subject to audit confirmation and verification procedures that may result in the final data being materially different from the preliminary data we previously published. Interim data are also subject to the risk that one or more of the clinical outcomes may materially change as patient enrollment continues and more patient data become available. As a result, preliminary and interim data should be viewed with caution until the final data are available. Material adverse changes in the final data could significantly harm our business prospects.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Collaboration Partners</w:t>
      </w:r>
    </w:p>
    <w:p>
      <w:pPr>
        <w:spacing w:after="0" w:line="171" w:lineRule="exact"/>
        <w:rPr>
          <w:sz w:val="20"/>
          <w:szCs w:val="20"/>
          <w:color w:val="auto"/>
        </w:rPr>
      </w:pPr>
    </w:p>
    <w:p>
      <w:pPr>
        <w:ind w:left="340" w:right="5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collaboration partner to initiate, properly conduct and prioritize clinical trials for rezpegaldesleukin and to perform important additional development and commercialization activities, and our business will be significantly harmed if their actions deprioritize or otherwise harm the prospects of our drug candidates.</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rely on Lilly (through the Lilly Agreement) to initiate, properly conduct, and prioritize clinical trials and other development-related activities for rezpegaldesleukin. Furthermore, we will rely on Lilly to perform specified commercialization activities for rezpegaldesleukin, pursuant to our collaboration agreement. In the event Lilly fails to initiate, properly conduct and prioritize their obligations under their applicable agreement with us, our business will be significantly harmed. Even if the applicable agreement provides us with enforcement or other curative rights to address the harm caused by Lilly’s action (or failure to act), our efforts in pursuing a remedy would be costly and there is no guarantee that these efforts would succeed or be sufficient to fully address the harm.</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addition, for reasons outside of our control, the operations of our collaboration partners may be affected by the COVID-19 pandemic more than our operations, or our collaboration partners may adopt more restrictive procedures for addressing the COVID-19 pandemic, either of which could delay initiating or completing one or more clinical trials involving our drug candidates.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strategic reorganization plan and cost restructuring plan may not be successful.</w:t>
      </w:r>
    </w:p>
    <w:p>
      <w:pPr>
        <w:spacing w:after="0" w:line="17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April 25, 2022, we announced strategic reorganization and cost restructuring plans (together, the Restructuring Plan) to prioritize key research and development efforts that will impact the Company’s future business activities, including activities involving rezpegaldesleukin, NKTR-255 and several core research programs. In connection with the Restructuring Plan, we also announced cost restructuring measures aimed at ensuring we will have significant capital to fund key programs over a multi-year time horizon. There is no guarantee that the Restructuring Plan will achieve its intended benefits or that our post-restructuring focus will be sufficient for us to achieve success. For example, our cost restructuring efforts may not result in the anticipated savings or other economic benefits, or could result in total costs and expenses that are greater than expected, which would require us to seek potentially dilutive financing alternatives, disrupt or restrain the scope of our business activities, and would make it more difficult to attract and retain qualified personnel, each of which could have a material adverse effect on our business, financial condition and prospects.</w:t>
      </w:r>
    </w:p>
    <w:p>
      <w:pPr>
        <w:spacing w:after="0" w:line="134" w:lineRule="exact"/>
        <w:rPr>
          <w:sz w:val="20"/>
          <w:szCs w:val="20"/>
          <w:color w:val="auto"/>
        </w:rPr>
      </w:pPr>
    </w:p>
    <w:p>
      <w:pPr>
        <w:ind w:left="34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and financial condition depend significantly on the ability of our collaboration partners to successfully develop and market drugs and they may fail to do so.</w:t>
      </w:r>
    </w:p>
    <w:p>
      <w:pPr>
        <w:spacing w:after="0" w:line="105"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Under our collaboration agreements with various pharmaceutical or biotechnology companies, our collaboration partner is generally solely responsible for:</w:t>
      </w:r>
    </w:p>
    <w:p>
      <w:pPr>
        <w:spacing w:after="0" w:line="54"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conducting large scale clinical studies;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and filing documents necessary to obtain government approvals to sell a given drug candidate; and/or</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selling the drugs when and if they are approved.</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reliance on collaboration partners poses a number of significant risks to our business, including risks that:</w:t>
      </w:r>
    </w:p>
    <w:p>
      <w:pPr>
        <w:spacing w:after="0" w:line="117" w:lineRule="exact"/>
        <w:rPr>
          <w:sz w:val="20"/>
          <w:szCs w:val="20"/>
          <w:color w:val="auto"/>
        </w:rPr>
      </w:pPr>
    </w:p>
    <w:p>
      <w:pPr>
        <w:ind w:left="1300" w:right="40" w:hanging="644"/>
        <w:spacing w:after="0" w:line="258"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very little control over the timing and level of resources that our collaboration partners dedicate to commercial marketing efforts such as the amount of investment in sales and marketing personnel, general marketing campaigns, direct-to-consumer advertising, product sampling, pricing agreements and rebate strategies with government and private payers, manufacturing and supply of drug product, and other marketing and selling activities that need to be undertaken and well executed for a drug to have the potential to achieve commercial success;</w:t>
      </w:r>
    </w:p>
    <w:p>
      <w:pPr>
        <w:spacing w:after="0" w:line="75"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partners with commercial rights may choose to devote fewer resources to the development or marketing of our partnered drugs than they devote to their own drugs or other drugs that they have in-licensed;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very little control over the timing and amount of resources our partners devote to development programs in one or more major markets;</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partners could lead to delays in, or termination of, the research, development or commercialization of drug candidates or to litigation or arbitration proceedings;</w:t>
      </w:r>
    </w:p>
    <w:p>
      <w:pPr>
        <w:spacing w:after="0" w:line="53" w:lineRule="exact"/>
        <w:rPr>
          <w:rFonts w:ascii="Times New Roman" w:cs="Times New Roman" w:eastAsia="Times New Roman" w:hAnsi="Times New Roman"/>
          <w:sz w:val="18"/>
          <w:szCs w:val="18"/>
          <w:color w:val="auto"/>
        </w:rPr>
      </w:pPr>
    </w:p>
    <w:p>
      <w:pPr>
        <w:ind w:left="1300" w:right="180" w:hanging="644"/>
        <w:spacing w:after="0" w:line="282"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or escalate in the future with respect to the ownership of rights to technology or intellectual property developed with partners;</w:t>
      </w:r>
    </w:p>
    <w:p>
      <w:pPr>
        <w:spacing w:after="0" w:line="53" w:lineRule="exact"/>
        <w:rPr>
          <w:rFonts w:ascii="Times New Roman" w:cs="Times New Roman" w:eastAsia="Times New Roman" w:hAnsi="Times New Roman"/>
          <w:sz w:val="18"/>
          <w:szCs w:val="18"/>
          <w:color w:val="auto"/>
        </w:rPr>
      </w:pPr>
    </w:p>
    <w:p>
      <w:pPr>
        <w:ind w:left="1300" w:right="60" w:hanging="644"/>
        <w:spacing w:after="0" w:line="282"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the ability to unilaterally terminate agreements (or partners may have extension or renewal rights) that we believe are not on commercially reasonable terms or consistent with our current business strategy;</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may be unable to pay us as expected;</w:t>
      </w:r>
    </w:p>
    <w:p>
      <w:pPr>
        <w:spacing w:after="0" w:line="117"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may terminate their agreements with us unilaterally for any or no reason, in some cases with the payment of a termination fee penalty and in other cases with no termination fee penalty; and</w:t>
      </w:r>
    </w:p>
    <w:p>
      <w:pPr>
        <w:spacing w:after="0" w:line="53" w:lineRule="exact"/>
        <w:rPr>
          <w:rFonts w:ascii="Times New Roman" w:cs="Times New Roman" w:eastAsia="Times New Roman" w:hAnsi="Times New Roman"/>
          <w:sz w:val="18"/>
          <w:szCs w:val="18"/>
          <w:color w:val="auto"/>
        </w:rPr>
      </w:pPr>
    </w:p>
    <w:p>
      <w:pPr>
        <w:ind w:left="1300" w:right="780" w:hanging="644"/>
        <w:spacing w:after="0" w:line="282"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may respond to natural disasters or health epidemics, such as the COVID-19 pandemic, by ceasing all or some of their development responsibilities (including the responsibility to clinical develop our drug candidates).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Given these risks, the success of our current and future collaboration partnerships is highly unpredictable and can have a substantial negative impact on our business. If the approved drugs fail to achieve commercial success or the drugs in development fail to have positive late stage clinical outcomes sufficient to support regulatory approval in major markets, it could significantly impair our access to capital necessary to fund our research and development efforts for our drug candidates. If we are unable to obtain sufficient capital resources to advance our drug candidate pipeline, it would negatively impact the value of our business, results of operations and financial condition.</w:t>
      </w:r>
    </w:p>
    <w:p>
      <w:pPr>
        <w:spacing w:after="0" w:line="125" w:lineRule="exact"/>
        <w:rPr>
          <w:sz w:val="20"/>
          <w:szCs w:val="20"/>
          <w:color w:val="auto"/>
        </w:rPr>
      </w:pPr>
    </w:p>
    <w:p>
      <w:pPr>
        <w:ind w:left="340"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substantial future capital requirements and there is a risk that we may not have access to sufficient capital to meet our current business plan. If we do not receive substantial milestone or royalty payments from our existing collaboration agreements, execute new high value collaborations or other arrangements, or are unable to raise additional capital in one or more financing transactions, we would be unable to continue our current level of investment in research and development.</w:t>
      </w:r>
    </w:p>
    <w:p>
      <w:pPr>
        <w:spacing w:after="0" w:line="12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2022, we had cash and investments in marketable securities valued at approximately $546.4 million. While we believe that our cash position will be sufficient to meet our liquidity requirements through at least the next 12 months, our future capital requirements will depend upon numerous unpredictable factors, including:</w:t>
      </w:r>
    </w:p>
    <w:p>
      <w:pPr>
        <w:spacing w:after="0" w:line="68"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outcomes of clinical studies and regulatory reviews of our drug candidates, particularly rezpegaldesleukin;</w:t>
      </w:r>
    </w:p>
    <w:p>
      <w:pPr>
        <w:spacing w:after="0" w:line="11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we receive potential milestone payments and royalties from our existing collaborations if the drug candidates subject to those collaborations achieve clinical, regulatory or commercial success;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cost and results of our clinical development programs;</w:t>
      </w:r>
    </w:p>
    <w:p>
      <w:pPr>
        <w:spacing w:after="0" w:line="117" w:lineRule="exact"/>
        <w:rPr>
          <w:rFonts w:ascii="Times New Roman" w:cs="Times New Roman" w:eastAsia="Times New Roman" w:hAnsi="Times New Roman"/>
          <w:sz w:val="18"/>
          <w:szCs w:val="18"/>
          <w:color w:val="auto"/>
        </w:rPr>
      </w:pPr>
    </w:p>
    <w:p>
      <w:pPr>
        <w:ind w:left="1300" w:right="260" w:hanging="644"/>
        <w:spacing w:after="0" w:line="266"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progress, timing and costs of our efforts to implement new collaborations, licenses and other transactions that increase our current net cash, such as the sale of additional royalty interests held by us, term loan or other debt arrangements, and the issuance of securities;</w:t>
      </w:r>
    </w:p>
    <w:p>
      <w:pPr>
        <w:spacing w:after="0" w:line="67" w:lineRule="exact"/>
        <w:rPr>
          <w:rFonts w:ascii="Times New Roman" w:cs="Times New Roman" w:eastAsia="Times New Roman" w:hAnsi="Times New Roman"/>
          <w:sz w:val="18"/>
          <w:szCs w:val="18"/>
          <w:color w:val="auto"/>
        </w:rPr>
      </w:pPr>
    </w:p>
    <w:p>
      <w:pPr>
        <w:ind w:left="1300" w:right="760" w:hanging="644"/>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enrollment criteria, primary and secondary endpoints, and the number of clinical studies required by the regulatory authorities in order to consider for approval our drug candidates and those of our collaboration partners;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and administrative expenses, capital expenditures and other uses of cash; and</w:t>
      </w:r>
    </w:p>
    <w:p>
      <w:pPr>
        <w:spacing w:after="0" w:line="117" w:lineRule="exact"/>
        <w:rPr>
          <w:rFonts w:ascii="Times New Roman" w:cs="Times New Roman" w:eastAsia="Times New Roman" w:hAnsi="Times New Roman"/>
          <w:sz w:val="18"/>
          <w:szCs w:val="18"/>
          <w:color w:val="auto"/>
        </w:rPr>
      </w:pPr>
    </w:p>
    <w:p>
      <w:pPr>
        <w:ind w:left="1300" w:right="460" w:hanging="644"/>
        <w:spacing w:after="0" w:line="266"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concerning patents, proprietary rights, or license and collaboration agreements that could negatively impact our receipt of milestone payments or royalties or require us to make significant payments arising from licenses, settlements, adverse judgments or ongoing royalties.</w:t>
      </w:r>
    </w:p>
    <w:p>
      <w:pPr>
        <w:spacing w:after="0" w:line="6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 significant multi-year capital commitment is required to advance our drug candidates through the various stages of research and development in order to generate sufficient data to enable high value collaboration partnerships with significant upfront payments or to successfully achieve regulatory approval. In the event we do not enter into any new collaboration partnerships with significant upfront payments and we choose to continue to advance our drug candidates to later stage research and development, we may need to pursue financing alternatives, including dilutive equity-based financings, such as an offering of convertible debt or common stock, which would dilute the percentage ownership of our current common stockholders and could significantly lower the market value of our common stock. If sufficient capital is not available to us or is not available on commercially reasonable terms, it could require us to delay or reduce one or more of our research and development programs. If we are unable to sufficiently advance our research and development programs, it could substantially impair the value of such programs and result in a material adverse effect on our business, financial condition and results of operations.</w:t>
      </w:r>
    </w:p>
    <w:p>
      <w:pPr>
        <w:spacing w:after="0" w:line="130" w:lineRule="exact"/>
        <w:rPr>
          <w:sz w:val="20"/>
          <w:szCs w:val="20"/>
          <w:color w:val="auto"/>
        </w:rPr>
      </w:pPr>
    </w:p>
    <w:p>
      <w:pPr>
        <w:ind w:left="34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spacing w:after="0" w:line="10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It is very difficult to estimate the commercial potential of drug candidates due to important factors such as safety and efficacy compared to other available treatments, including changing standards of care, third party payer reimbursement standards, patient and physician preferences, the availability of competitive alternatives that may emerge either during the long drug development process or after commercial introduction, and the availability of generic and biosimilar versions of our drug candidates following approval by regulatory authorities based on the expiration of regulatory exclusivity or our inability to prevent generic versions from coming to market by asserting our patents. If due to one or more of these risks the market potential for a drug candidate is lower than we anticipated, it could significantly and negatively impact the commercial potential of the drug candidate, the commercial terms of any collaboration partnership potential for such drug candidate, or if we have already entered into a collaboration for such drug candidate, the revenue potential from royalty and milestone payments could be significantly</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diminished and this would negatively impact our business, financial condition and results of operations. We may also depend on our relationships with other companies for sales and marketing performance and the commercialization of drug candidates. Poor performance by these companies, or disputes with these companies, could negatively impact our revenue and financial condition.</w:t>
      </w:r>
    </w:p>
    <w:p>
      <w:pPr>
        <w:spacing w:after="0" w:line="118" w:lineRule="exact"/>
        <w:rPr>
          <w:sz w:val="20"/>
          <w:szCs w:val="20"/>
          <w:color w:val="auto"/>
        </w:rPr>
      </w:pPr>
    </w:p>
    <w:p>
      <w:pPr>
        <w:ind w:left="34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government and private insurance programs do not provide payment or reimbursement for our partnered drug or proprietary drugs, those drugs will not be widely accepted, which would have a negative impact on our business, results of operations and financial condition.</w:t>
      </w:r>
    </w:p>
    <w:p>
      <w:pPr>
        <w:spacing w:after="0" w:line="105"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generally rely on third-party payers to reimburse all or part of the costs associated with their treatment. In both domestic and foreign markets, sales of our partnered and proprietary products that receive regulatory approval will depend in part on market acceptance among physicians and patients, pricing approvals by government authorities and the availability of coverage and payment or reimbursement from third-party payers, such as government programs, including Medicare and Medicaid in the U.S., managed care providers, private health insurers and other organizations. However, eligibility for coverage does not necessarily signify that a biologic candidate will be adequately reimbursed in all cases or at a rate that covers costs related to research, development, manufacture, sale, and distribution. Third-party payers are increasingly challenging the price and cost effectiveness of medical products and services. Therefore, significant uncertainty exists as to the coverage and pricing approvals for, and the payment or reimbursement status of, newly approved healthcare products. Further, due to the COVID-19 pandemic, millions of individuals have lost or will be losing employer-based insurance coverage, which may adversely affect our ability to commercialize our biologic candidates even if there is adequate coverage and reimbursement from third-party payers. It is unclear what effect, if any, the American Rescue Plan Act will have on the number of covered individuals.</w:t>
      </w:r>
    </w:p>
    <w:p>
      <w:pPr>
        <w:spacing w:after="0" w:line="8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CMS decides whether and to what extent a new medicine will be covered and reimbursed under Medicare and private payers tend to follow CMS to a substantial degree.</w:t>
      </w:r>
    </w:p>
    <w:p>
      <w:pPr>
        <w:spacing w:after="0" w:line="75"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Factors payers consider in determining reimbursement are based on whether the product is (i) a covered benefit under its health plan; (ii) safe, effective and medically necessary; (iii) appropriate for the specific patient; (iv) cost-effective; and (v) neither experimental nor investigational.</w:t>
      </w:r>
    </w:p>
    <w:p>
      <w:pPr>
        <w:spacing w:after="0" w:line="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net prices for drugs may be reduced by mandatory discounts or rebates required by government healthcare programs or private payers and by any future relaxation of laws that presently restrict imports of drugs from countries where they may be sold at lower prices than in the United States.</w:t>
      </w:r>
    </w:p>
    <w:p>
      <w:pPr>
        <w:spacing w:after="0" w:line="5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Increasingly, third-party payers are requiring that drug companies provide them with predetermined discounts from list prices and are challenging the prices charged for medical products. We cannot be sure that reimbursement will be available for any of our drug product candidates that are commercialized and, if reimbursement is available, the level of reimbursement.</w:t>
      </w:r>
    </w:p>
    <w:p>
      <w:pPr>
        <w:spacing w:after="0" w:line="68"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In addition, many pharmaceutical manufacturers must calculate and report certain price reporting metrics to the government, such as average sales price, or ASP, and best price. Penalties may apply in some cases when such metrics are not submitted accurately and timely. Further, these prices for drugs may be reduced by mandatory discounts or rebates required by government healthcare programs.</w:t>
      </w:r>
    </w:p>
    <w:p>
      <w:pPr>
        <w:spacing w:after="0" w:line="6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Moreover, legislation and regulations affecting the pricing of pharmaceuticals may change before regulatory agencies approve our proposed products for marketing and could further limit coverage or pricing approvals for, and reimbursement of, our products from government authorities and third-party payers. Federal agencies, Congress and state legislatures have continued to show interest in implementing cost containment programs to limit the growth of health care costs, including price controls, restrictions on reimbursement and other fundamental changes to the healthcare delivery system. In addition, in recent years, Congress has enacted various laws seeking to reduce the federal debt level and contain healthcare expenditures, and the Medicare and other healthcare programs are frequently identified as potential targets for spending cuts. New government legislation or regulations related to pricing or other fundamental changes to the healthcare delivery system as well as a government or third-party payer decision not to approve pricing for, or provide adequate coverage or reimbursement of, our products hold the potential to severely limit market opportunities of such products.</w:t>
      </w:r>
    </w:p>
    <w:p>
      <w:pPr>
        <w:spacing w:after="0" w:line="8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European Union do not follow price structures of the U.S. and generally prices tend to be significantly lower.</w:t>
      </w:r>
    </w:p>
    <w:p>
      <w:pPr>
        <w:spacing w:after="0" w:line="125" w:lineRule="exact"/>
        <w:rPr>
          <w:sz w:val="20"/>
          <w:szCs w:val="20"/>
          <w:color w:val="auto"/>
        </w:rPr>
      </w:pPr>
    </w:p>
    <w:p>
      <w:pPr>
        <w:ind w:left="34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Recent federal legislation and actions by federal, state and local governments may permit reimportation of drugs from foreign countries into the United States, including foreign countries where the drugs are sold at lower prices than in the United States, which could materially adversely affect our operating results.</w:t>
      </w:r>
    </w:p>
    <w:p>
      <w:pPr>
        <w:spacing w:after="0" w:line="121"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We may face competition in the United States for our development candidates and investigational medicines, if approved, from therapies sourced from foreign countries that have placed price controls on pharmaceutical products. In the United States, the Medicare Modernization Act (MMA), contains provisions that call for the promulgation of regulations that expand pharmacists’ and wholesalers’ ability to import cheaper versions of an approved drug and competing products from Canada, where there are government price controls. Further, the MMA provides that these changes to U.S. importation laws will not take effect, unless and until the U.S. Secretary of Health and Human Services (HHS) certifies that the changes will pose no additional risk to the public’s health and safety and will result in a significant reduction in the cost of products to consumers. On September 23, 2020, the U.S. Secretary of HHS made such certification to Congress, and on October 1, 2020, FDA published a final rule that allows for the importation of certain prescription drugs from Canada. Under the final rule, States and Indian Tribes, and in certain future circumstances pharmacists and wholesalers, may submit importation program proposals to the FDA for review and authorization. Since the issuance of the final rule, several industry groups have filed federal lawsuits challenging multiple aspects of the final rule, and authorities in Canada have passed rules designed to safeguard the Canadian drug supply from shortages.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Separately, the FDA also issued a final guidance document outlining a pathway for manufacturers to obtain an additional National Drug Code, or NDC, for an FDA-approved drug that was originally intended to be marketed in a foreign country and that was authorized for sale in that foreign country. The market implications of the final rule and guidance are unknown at this time. Proponents of drug reimportation may attempt to pass legislation that would directly allow reimportation under certain circumstances. Legislation or regulations allowing the reimportation of drugs, if enacted, could decrease the price we receive for any products that we may develop and adversely affect our future revenues and prospects for profitability.</w:t>
      </w:r>
    </w:p>
    <w:p>
      <w:pPr>
        <w:spacing w:after="0" w:line="134" w:lineRule="exact"/>
        <w:rPr>
          <w:sz w:val="20"/>
          <w:szCs w:val="20"/>
          <w:color w:val="auto"/>
        </w:rPr>
      </w:pPr>
    </w:p>
    <w:p>
      <w:pPr>
        <w:ind w:left="34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and maintain collaboration partnerships on attractive commercial terms, our business, results of operations and financial condition could suffer.</w:t>
      </w:r>
    </w:p>
    <w:p>
      <w:pPr>
        <w:spacing w:after="0" w:line="105"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intend to continue to seek partnerships with pharmaceutical and biotechnology partners to fund a portion of our research and development capital requirements. The timing of new collaboration partnerships is difficult to predict due to availability of clinical data, the outcomes from our clinical studies, the number of potential partners that need to complete due diligence and approval processes, the definitive agreement negotiation process and numerous other unpredictable factors that can delay, impede or prevent significant transactions. If we are unable to find suitable partners or negotiate collaboration arrangements with favorable commercial terms with respect to our existing and future biologic candidates or the licensing of our intellectual property, or if any arrangements we negotiate, or have negotiated, are terminated, it could have a material adverse effect on our business, financial condition and results of operations.</w:t>
      </w:r>
    </w:p>
    <w:p>
      <w:pPr>
        <w:spacing w:after="0" w:line="131" w:lineRule="exact"/>
        <w:rPr>
          <w:sz w:val="20"/>
          <w:szCs w:val="20"/>
          <w:color w:val="auto"/>
        </w:rPr>
      </w:pPr>
    </w:p>
    <w:p>
      <w:pPr>
        <w:ind w:left="34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is exclusively derived from our collaboration agreements, which can result in significant fluctuation in our revenue from period to period, and our past revenue is therefore not necessarily indicative of our future revenue.</w:t>
      </w:r>
    </w:p>
    <w:p>
      <w:pPr>
        <w:spacing w:after="0" w:line="10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revenue is exclusively derived from our collaboration agreements, from which we receive upfront fees, research and development reimbursement and funding, milestone and other contingent payments based on clinical progress, regulatory progress or net sales achievements, royalties and product sales. Significant variations in the timing of receipt of cash payments and our recognition of revenue can result from payments based on the execution of new collaboration agreements, the timing of clinical outcomes, regulatory approval, commercial launch or the achievement of certain annual sales thresholds. The amount of our revenue derived from collaboration agreements in any given period will depend on a number of unpredictable factors, including whether and when we or our collaboration partners achieve clinical, regulatory and sales milestones, the timing of regulatory approvals in one or more major markets, reimbursement levels by private and government payers, and the market introduction of new drugs or generic versions of the approved drug, as well as other factors. Our past revenue generated from collaboration agreements is not necessarily indicative of our future revenue. If any of our existing or future collaboration partners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fails to develop, obtain regulatory approval for, manufacture or ultimately commercialize any biologic candidate under our collaboration agreement, our business, financial condition, and results of operations could be materially and adversely affected.</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expect to continue to incur substantial losses and negative cash flow from operations and may not achieve or sustain profitability in the future.</w:t>
      </w:r>
    </w:p>
    <w:p>
      <w:pPr>
        <w:spacing w:after="0" w:line="17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2022, we reported a net loss of $308.5 million. If and when we achieve profitability depends upon a number of factors, including the timing and recognition of milestones and other contingent payments and royalties received, the timing of revenue under our collaboration agreements, the amount of investments we make in our proprietary biologic candidates and the regulatory approval and market success of our biologic candidates. We may not be able to achieve and sustain profitability.</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factors that will affect whether we achieve and sustain profitability include our ability, alone or together with our partners, to:</w:t>
      </w:r>
    </w:p>
    <w:p>
      <w:pPr>
        <w:spacing w:after="0" w:line="117" w:lineRule="exact"/>
        <w:rPr>
          <w:sz w:val="20"/>
          <w:szCs w:val="20"/>
          <w:color w:val="auto"/>
        </w:rPr>
      </w:pPr>
    </w:p>
    <w:p>
      <w:pPr>
        <w:ind w:left="1140" w:hanging="48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drugs utilizing our technologies, either independently or in collaboration with other pharmaceutical or biotechnology companies;</w:t>
      </w:r>
    </w:p>
    <w:p>
      <w:pPr>
        <w:spacing w:after="0" w:line="117" w:lineRule="exact"/>
        <w:rPr>
          <w:rFonts w:ascii="Times New Roman" w:cs="Times New Roman" w:eastAsia="Times New Roman" w:hAnsi="Times New Roman"/>
          <w:sz w:val="18"/>
          <w:szCs w:val="18"/>
          <w:color w:val="auto"/>
        </w:rPr>
      </w:pPr>
    </w:p>
    <w:p>
      <w:pPr>
        <w:ind w:left="1140" w:right="240" w:hanging="484"/>
        <w:spacing w:after="0" w:line="282"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estimate and manage clinical development costs, particularly the cost of the clinical studies for rezpegaldesleukin and NKTR-255;</w:t>
      </w:r>
    </w:p>
    <w:p>
      <w:pPr>
        <w:spacing w:after="0" w:line="5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necessary regulatory and marketing approvals;</w:t>
      </w:r>
    </w:p>
    <w:p>
      <w:pPr>
        <w:spacing w:after="0" w:line="11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or expand manufacturing at necessary levels;</w:t>
      </w:r>
    </w:p>
    <w:p>
      <w:pPr>
        <w:spacing w:after="0" w:line="11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partnered products;</w:t>
      </w:r>
    </w:p>
    <w:p>
      <w:pPr>
        <w:spacing w:after="0" w:line="117" w:lineRule="exact"/>
        <w:rPr>
          <w:rFonts w:ascii="Times New Roman" w:cs="Times New Roman" w:eastAsia="Times New Roman" w:hAnsi="Times New Roman"/>
          <w:sz w:val="18"/>
          <w:szCs w:val="18"/>
          <w:color w:val="auto"/>
        </w:rPr>
      </w:pPr>
    </w:p>
    <w:p>
      <w:pPr>
        <w:ind w:left="1140" w:hanging="484"/>
        <w:spacing w:after="0" w:line="282"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revenue or royalties on products that have been approved, marketed or submitted for marketing approval with regulatory authorities; and</w:t>
      </w:r>
    </w:p>
    <w:p>
      <w:pPr>
        <w:spacing w:after="0" w:line="5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sufficient funds to finance our activities.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COVID-19 Pandemic</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the effects of health epidemics, including the recent COVID-19 pandemic.</w:t>
      </w:r>
    </w:p>
    <w:p>
      <w:pPr>
        <w:spacing w:after="0" w:line="17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business could be adversely affected, directly or indirectly, by health epidemics in regions where we have concentrations of clinical trial sites or other business operations, including both our own manufacturing operations as well as the manufacturing operations of third parties upon whom we rely. We continue to actively monitor the ongoing COVID-19 pandemic and applicable government recommendations in light of new developments. Throughout the pandemic we have modified our office policies to maintain productivity and safety of our employees. Although we believe these and the other safety measures we have taken in response to the COVID-19 pandemic have not substantially impacted our productivity, it is not certain that this will continue to be the case. Operating requirements may continually change due to the COVID-19 pandemic and we may experience unpredictability in our expenses, employee productivity and availability and employee work culture.</w:t>
      </w:r>
    </w:p>
    <w:p>
      <w:pPr>
        <w:spacing w:after="0" w:line="81"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Certain of our clinical trials have been and may continue to be affected by the COVID-19 pandemic. Investigator recruitment, clinical site initiation, patient screening and patient enrollment may be delayed due to challenges associated with the COVID-19 pandemic. Delays and disruptions experienced by our collaborators or other third parties due to the COVID-19 pandemic could adversely impact the ability of such parties to fulfill their obligations, which could affect clinical development or regulatory approvals of our biologic candidates. For example, due to recent supply chain disruptions, we have been monitoring our supply chains for any disruptions or constraints caused by the COVID-19 pandemic. To date, we have not experienced any supply impact. However, if we, our collaborators or any third parties which we rely on are adversely effected by any supply disruptions or shortages in raw materials and equipment caused by the COVID-19 pandemic, our ability to manufacture our products and to supply drug candidates for our clinical trials could be negatively impacted, which could harm our business prospects, results of operations and financial condition.</w:t>
      </w:r>
    </w:p>
    <w:p>
      <w:pPr>
        <w:spacing w:after="0" w:line="8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Although we are implementing measures to maintain the integrity of our clinical trials, there is no guarantee that we will prevent all study protocol violations, missed study treatment visits, and other influences that may jeopardize reliability and validity of our clinical trial data. As a consequence, a clinical study of our biologic candidate in which the integrity of the clinical study is questioned or doubted may require lengthy and costly remediation measures (such as, for example, over-enrolling patients into the study or repeating the study), thereby causing substantial harm to our business.</w:t>
      </w:r>
    </w:p>
    <w:p>
      <w:pPr>
        <w:spacing w:after="0" w:line="7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COVID-19 pandemic has caused a broad impact globally and may materially affect us economically. The COVID-19 pandemic could result in significant disruption of global financial markets, reducing our ability to access capital,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which could in the future negatively affect our liquidity. In addition, a recession or market correction resulting from the COVID-19 pandemic could materially affect our business and the value of our common stock. We cannot predict what the overall impact the COVID-19 pandemic will be on our business and it could cause a significant negative impact on our clinical trial timelines, operations, financial condition and prospects. Furthermore, to the extent the ongoing COVID-19 pandemic adversely affects our operations and business, it may also heighten the other risks described in this “Risk Factors” section.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Supply and Manufacturing</w:t>
      </w:r>
    </w:p>
    <w:p>
      <w:pPr>
        <w:spacing w:after="0" w:line="171" w:lineRule="exact"/>
        <w:rPr>
          <w:sz w:val="20"/>
          <w:szCs w:val="20"/>
          <w:color w:val="auto"/>
        </w:rPr>
      </w:pPr>
    </w:p>
    <w:p>
      <w:pPr>
        <w:ind w:left="34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contract manufacturers are not able to manufacture biologic substance or substances in sufficient quantities that meet applicable quality standards, it could delay clinical studies, result in reduced sales or constitute a breach of our contractual obligations, any of which could significantly harm our business, financial condition and results of operations.</w:t>
      </w:r>
    </w:p>
    <w:p>
      <w:pPr>
        <w:spacing w:after="0" w:line="121"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If we or our contract manufacturing organizations (CMOs) are not able to manufacture and supply sufficient drug quantities meeting applicable quality standards required to support large clinical studies or commercial manufacturing in a timely manner, it could delay our or our collaboration partners’ clinical studies or result in a breach of our contractual obligations, which could in turn reduce the potential commercial sales of our or our collaboration partners’ products. As a result, we could incur substantial costs and damages and any product sales or royalty revenue that we would otherwise be entitled to receive could be reduced, delayed or eliminated. In most cases, we rely on CMOs to manufacture and supply drug product for our clinical studies and those of our collaboration partners. The manufacturing of biologics involves significant risks and uncertainties related to the demonstration of adequate stability, sufficient purification of the drug substance and drug product, the identification and elimination of impurities, optimal formulations, process and analytical methods validations, and challenges in controlling for all of these variables. These risks and uncertainties are compounded by the COVID-19 pandemic wherein the facilities and employees responsible for manufacturing biologics for use in clinical trials may be negatively impacted such that there is an insufficient supply of study biologic drugs. We have faced and may in the future face significant difficulties, delays and unexpected expenses as we validate third party CMOs required for drug supply to support our clinical studies and the clinical studies and products of our collaboration partners. Failure by us or our CMOs to supply API or drug products in sufficient quantities that meet all applicable quality requirements could result in supply shortages for our clinical studies or the clinical studies and commercial activities of our collaboration partners. Such failures could significantly and materially delay clinical trials and regulatory submissions or result in reduced sales, any of which could significantly harm our business prospects, results of operations and financial condition.</w:t>
      </w:r>
    </w:p>
    <w:p>
      <w:pPr>
        <w:spacing w:after="0" w:line="8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March 27, 2020, the President of the United States signed into law the Coronavirus Aid, Relief, and Economic Security Act (CARES Act) in response to the COVID-19 pandemic. Throughout the COVID-19 outbreak, there has been public concern over the availability and accessibility of critical medical products, and the CARES Act enhances FDA’s existing authority with respect to drug shortage measures. Under the CARES Act, we must have in place a risk management plan that identifies and evaluates the risks to the supply of approved drugs for certain serious diseases or conditions for each establishment where the drug or API is manufactured. The risk management plan will be subject to FDA review during an inspection. If we experience shortages in the supply of our marketed products, our results could be materially impacted.</w:t>
      </w:r>
    </w:p>
    <w:p>
      <w:pPr>
        <w:spacing w:after="0" w:line="7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either scenario, our clinical trials or commercial distribution could be delayed significantly as we establish alternative supply sources. In some cases, the technical skills required to manufacture our products or biologic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according to the specifications previously submitted to or approved by the FDA or another regulatory authority. The delays associated with the verification of a new CMO could negatively affect our ability to develop biologic candidates or commercialize our products in a timely manner or within budget. Furthermore, a CMO may possess technology related to the manufacture of our biologic candidate that such CMO owns independently. This would increase our reliance on such a CMO or require us to obtain a license from such CMO in order to have another CMO manufacture our products or biologic candidates. In addition, in the case of the CMOs that supply our biologic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8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Building and validating large scale clinical or commercial-scale manufacturing facilities and processes, recruiting and training qualified personnel and obtaining necessary regulatory approvals is complex, expensive and time consuming. In the past,</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encountered challenges in scaling up manufacturing to meet the requirements of large scale clinical trials without making modifications to the drug formulation, which may cause significant delays in clinical development. There continues to be substantial and unpredictable risk and uncertainty related to manufacturing and supply until such time as the commercial supply chain is validated and proven.</w:t>
      </w:r>
    </w:p>
    <w:p>
      <w:pPr>
        <w:spacing w:after="0" w:line="118" w:lineRule="exact"/>
        <w:rPr>
          <w:sz w:val="20"/>
          <w:szCs w:val="20"/>
          <w:color w:val="auto"/>
        </w:rPr>
      </w:pPr>
    </w:p>
    <w:p>
      <w:pPr>
        <w:ind w:left="340"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purchase some of the starting material for biologics and biologic candidates from a single source or a limited number of suppliers, and the partial or complete loss of one of these suppliers could cause production delays, clinical trial delays, substantial loss of revenue and contract liability to third parties.</w:t>
      </w:r>
    </w:p>
    <w:p>
      <w:pPr>
        <w:spacing w:after="0" w:line="12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often face very limited supply of a critical raw material that can only be obtained from a single, or a limited number of, suppliers, which could cause production delays, clinical trial delays, substantial lost revenue opportunities or contract liabilities to third parties. For example, there are only a limited number of qualified suppliers, and in some cases single source suppliers, for the raw materials included in our PEGylation and advanced polymer conjugate drug formulations. Any interruption in supply, diminution in quality of raw materials supplied to us or failure to procure such raw materials on commercially feasible terms could harm our business by delaying our clinical trials, impeding commercialization of approved drugs or increasing our costs.</w:t>
      </w:r>
    </w:p>
    <w:p>
      <w:pPr>
        <w:spacing w:after="0" w:line="125" w:lineRule="exact"/>
        <w:rPr>
          <w:sz w:val="20"/>
          <w:szCs w:val="20"/>
          <w:color w:val="auto"/>
        </w:rPr>
      </w:pPr>
    </w:p>
    <w:p>
      <w:pPr>
        <w:ind w:left="34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manufacturing operations and those of our contract manufacturers are subject to laws and other governmental regulatory requirements, which, if not met, would have a material adverse effect on our business, results of operations and financial condition.</w:t>
      </w:r>
    </w:p>
    <w:p>
      <w:pPr>
        <w:spacing w:after="0" w:line="105"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We and our CMOs are required in certain cases to maintain compliance with current good manufacturing practices (cGMP), including cGMP guidelines applicable to active pharmaceutical ingredients, and drug products, and with laws and regulations governing manufacture and distribution of controlled substances, and are subject to inspections by the FDA, or comparable agencies in other jurisdictions administering such requirements. We anticipate periodic regulatory inspections of our drug manufacturing facilities and the manufacturing facilities of our CMOs for compliance with applicable regulatory requirements. Any failure to follow and document our or our CMOs’ adherence to such cGMP and other laws and governmental regulations or satisfy other manufacturing and product release regulatory requirements may disrupt our ability to meet our manufacturing obligations to our customers, lead to significant delays in the availability of products for commercial use or clinical study, result in the termination or hold on a clinical study or delay or prevent filing or approval of marketing applications for our products. Failure to comply with applicable laws and regulations may also result in sanctions being imposed on us, including fines, injunctions, civil penalties, failure of regulatory authorities to grant marketing approval of our products, delays, suspension or withdrawal of approvals, license revocation, seizures, administrative detention, or recalls of products, operating restrictions and criminal prosecutions, any of which could harm our business. Regulatory inspections could result in costly manufacturing changes or facility or capital equipment upgrades to satisfy the FDA that our manufacturing and quality control procedures are in substantial compliance with cGMP. Manufacturing delays, for us or our CMOs, pending resolution of regulatory deficiencies or suspensions could have a material adverse effect on our business, results of operations and financial condition.</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Business Operations</w:t>
      </w:r>
    </w:p>
    <w:p>
      <w:pPr>
        <w:spacing w:after="0" w:line="171" w:lineRule="exact"/>
        <w:rPr>
          <w:sz w:val="20"/>
          <w:szCs w:val="20"/>
          <w:color w:val="auto"/>
        </w:rPr>
      </w:pPr>
    </w:p>
    <w:p>
      <w:pPr>
        <w:ind w:left="34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 parties to conduct the clinical trials for our biologic candidates and any failure of those parties to fulfill their obligations could harm our development and commercialization plans.</w:t>
      </w:r>
    </w:p>
    <w:p>
      <w:pPr>
        <w:spacing w:after="0" w:line="10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depend on independent clinical investigators, contract research organizations and other third-party service providers to conduct clinical trials for our biologic candidates. We rely heavily on these parties for the successful execution of our clinical trials. Though we are ultimately responsible for the results of their activities, many aspects of their activities are beyond our control. For example, we are responsible for ensuring that each of our clinical trials is conducted in accordance with the general investigational plan and protocols for the trials, but the independent clinical investigators may prioritize other projects over ours or communicate issues regarding our biologic candidates to us in an untimely manner. Third parties may not complete activities on schedule or may not conduct our clinical trials in accordance with regulatory requirements or our stated protocols. The early termination of any of our clinical trial arrangements, the failure of third parties to comply with the regulations and requirements governing clinical trials or the failure of third parties to properly conduct our clinical trials could hinder or delay the development, approval and commercialization of our product candidates and would adversely affect our business, results of operations and financial condition.</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future depends on the proper management of our current and future business operations and their associated expenses.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business strategy requires us to manage our business to provide for the continued development of our proprietary and partnered biologic candidates. Our strategy also calls for us to manage the capital necessary to fund key programs through value-enhancing data and other milestones. If we are unable to manage effectively our current operations, our business, financial condition and results of operations may be adversely affected. If we are unable to effectively manage our expenses, we may find it necessary to reduce our personnel-related costs through reductions in our workforce, which could harm our operations, employee morale and impair our ability to retain and recruit talent. Furthermore, if adequate funds are not available, we may be required to obtain funds through arrangements with partners or other sources that may require us to relinquish rights to certain of our technologies, products or future economic rights that we would not otherwise relinquish or require us to enter into other dilutive financing arrangements on unfavorable terms.</w:t>
      </w:r>
    </w:p>
    <w:p>
      <w:pPr>
        <w:spacing w:after="0" w:line="131" w:lineRule="exact"/>
        <w:rPr>
          <w:sz w:val="20"/>
          <w:szCs w:val="20"/>
          <w:color w:val="auto"/>
        </w:rPr>
      </w:pPr>
    </w:p>
    <w:p>
      <w:pPr>
        <w:ind w:left="34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partners through our collaborations, are not successful in recruiting sales and marketing personnel or in building a sales and marketing infrastructure, we will have difficulty commercializing our products, which would adversely affect our business, results of operations and financial condition.</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To the extent we rely on other pharmaceutical or biotechnology companies with established sales, marketing and distribution systems to market our products, we will need to establish and maintain partnership arrangements, and we may not be able to enter into these arrangements on acceptable terms or at all. To the extent that we enter into co-promotion or other arrangements, any revenue we receive will depend upon the efforts of third parties, which may not be successful and over which we have little or no control. In the event that we market our products without a partner, we would be required to build, either internally or through third-party contracts, a sales and marketing organization and infrastructure, which would require a significant investment, and we may not be successful in building this organization and infrastructure in a timely or efficient manner. We would also incur substantial costs in building such capabilities before receiving regulatory approval of our products, which would have an adverse effect on our financial condition if our products are not ultimately approved.</w:t>
      </w:r>
    </w:p>
    <w:p>
      <w:pPr>
        <w:spacing w:after="0" w:line="134" w:lineRule="exact"/>
        <w:rPr>
          <w:sz w:val="20"/>
          <w:szCs w:val="20"/>
          <w:color w:val="auto"/>
        </w:rPr>
      </w:pPr>
    </w:p>
    <w:p>
      <w:pPr>
        <w:ind w:left="34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competition for highly qualified technical personnel is intense, we may not be able to attract and retain the personnel we need to support our operations and growth.</w:t>
      </w:r>
    </w:p>
    <w:p>
      <w:pPr>
        <w:spacing w:after="0" w:line="10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must attract and retain experts in the areas of research, development (including clinical testing), manufacturing, regulatory and finance, and may need to attract and retain commercial, marketing and distribution experts and develop additional expertise in our existing personnel. We face intense competition from other biopharmaceutical companies, research and academic institutions and other organizations for qualified personnel. Many of the organizations with which we compete for qualified personnel have greater resources than we have. Because competition for skilled personnel in our industry is intense, companies such as ours sometimes experience high attrition rates with regard to their skilled employees. Further, in making employment decisions, job candidates often consider the value of the stock awards they are to receive in connection with their employment. Our equity incentive plan and employee benefit plans may not be effective in motivating or retaining our employees or attracting new employees, and significant volatility in the price of our stock may adversely affect our ability to attract or retain qualified personnel. Furthermore, as a result of our Restructuring Plan, our employees may experience distractions or decreases in employee morale and we may experience increased levels of employee attrition and turnover, which would adversely affect our business. If we fail to attract new personnel or to retain and motivate our current personnel, our business and future growth prospects could be severely harmed.</w:t>
      </w:r>
    </w:p>
    <w:p>
      <w:pPr>
        <w:spacing w:after="0" w:line="134" w:lineRule="exact"/>
        <w:rPr>
          <w:sz w:val="20"/>
          <w:szCs w:val="20"/>
          <w:color w:val="auto"/>
        </w:rPr>
      </w:pPr>
    </w:p>
    <w:p>
      <w:pPr>
        <w:ind w:left="34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management team and key technical personnel, and the loss of any key manager or employee may impair our ability to develop our products effectively and may harm our business, operating results and financial condition.</w:t>
      </w:r>
    </w:p>
    <w:p>
      <w:pPr>
        <w:spacing w:after="0" w:line="105"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Our success largely depends on the continued services of our executive officers and other key personnel. The loss of one or more members of our management team or other key employees could seriously harm our business, operating results and financial condition. The relationships that our key managers have cultivated within our industry make us particularly dependent upon their continued employment with us. We are also dependent on the continued services of our technical personnel because of the highly technical nature of our products and the regulatory approval process. Because our executive officers and key employees are not obligated to provide us with continued services, they could terminate their employment with us at any time without penalty. We do not have any post-employment noncompetition agreements with any of our employees and do not maintain key person life insurance policies on any of our executive officers or key employees.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Rising inflation rates have increased our operating costs and could negatively impact our operations.</w:t>
      </w:r>
    </w:p>
    <w:p>
      <w:pPr>
        <w:spacing w:after="0" w:line="243"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Inflation rates, particularly in the United States, have increased recently to levels not seen in decades. Increased inflation has resulted in increased operating costs. In addition, the United States Federal Reserve has raised, and is expected to continue to raise, interest rates in response to concerns about inflation. Increases in interest rates, especially if coupled with reduced government spending and volatility in financial markets, may further increase economic uncertainty and heighten these risks.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Litigation and Regulatory Concerns</w:t>
      </w:r>
    </w:p>
    <w:p>
      <w:pPr>
        <w:spacing w:after="0" w:line="171" w:lineRule="exact"/>
        <w:rPr>
          <w:sz w:val="20"/>
          <w:szCs w:val="20"/>
          <w:color w:val="auto"/>
        </w:rPr>
      </w:pPr>
    </w:p>
    <w:p>
      <w:pPr>
        <w:ind w:left="340" w:right="5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or our partners do not obtain regulatory approval for our biologic candidates on a timely basis, or at all, or if the terms of any approval impose significant restrictions or limitations on use, our business, results of operations and financial condition will be negatively affected.</w:t>
      </w:r>
    </w:p>
    <w:p>
      <w:pPr>
        <w:spacing w:after="0" w:line="82" w:lineRule="exact"/>
        <w:rPr>
          <w:sz w:val="20"/>
          <w:szCs w:val="20"/>
          <w:color w:val="auto"/>
        </w:rPr>
      </w:pPr>
    </w:p>
    <w:p>
      <w:pPr>
        <w:ind w:right="20" w:firstLine="648"/>
        <w:spacing w:after="0" w:line="248" w:lineRule="auto"/>
        <w:rPr>
          <w:sz w:val="20"/>
          <w:szCs w:val="20"/>
          <w:color w:val="auto"/>
        </w:rPr>
      </w:pPr>
      <w:r>
        <w:rPr>
          <w:rFonts w:ascii="Times New Roman" w:cs="Times New Roman" w:eastAsia="Times New Roman" w:hAnsi="Times New Roman"/>
          <w:sz w:val="18"/>
          <w:szCs w:val="18"/>
          <w:color w:val="auto"/>
        </w:rPr>
        <w:t>We or our partners may not obtain regulatory approval for biologic candidates on a timely basis, or at all, or the terms of any approval (which in some countries includes pricing approval) may impose significant restrictions or limitations on use. Biologic candidates must undergo rigorous animal and human testing and an extensive review process for safety and efficacy by the FDA and equivalent foreign regulatory authorities. The time required for obtaining regulatory decisions is uncertain and difficult to predict. The FDA and other U.S. and foreign regulatory authorities have substantial discretion, at any phase of development, to terminate clinical studies, require additional clinical development or other testing, delay or withhold registration and marketing approval and mandate product withdrawals, including recalls. Further, regulatory authorities have the discretion to analyze data using their own methodologies that may differ from those used by us or our partners, which could lead such authorities to arrive at different conclusions regarding the safety or efficacy of a biologic candidate. In addition, undesirable side effects caused by our biologic candidates could cause us or regulatory authorities to interrupt, delay or halt clinical trials and could result in a more restricted label or the delay or denial of regulatory approval by regulatory authorities. For example, AstraZeneca is conducting a post-marketing, observational epidemiological study comparing MOVANTIK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 other treatments of opioid-induced constipation in patients with chronic, non-cancer pain and the results of this study could at some point in the future negatively impact the labeling, regulatory status, and commercial potential of MOVANTIK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which could reduce our future royalties from sales of MOVANTIK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1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Even if we or our partners receive regulatory approval of a product, the approval may limit the indicated uses for which the drug may be marketed. Our and our partnered drugs that have obtained regulatory approval, and the manufacturing processes for these products, are subject to continued review and periodic inspections by the FDA and other regulatory authorities. Discovery from such review and inspection of previously unknown problems may result in restrictions on marketed products or on us, including withdrawal or recall of such products from the market, suspension of related manufacturing operations or a more restricted label. The failure to obtain timely regulatory approval of drug candidates, any product marketing limitations or a product withdrawal would negatively impact our business, results of operations and financial condition.</w:t>
      </w:r>
    </w:p>
    <w:p>
      <w:pPr>
        <w:spacing w:after="0" w:line="129" w:lineRule="exact"/>
        <w:rPr>
          <w:sz w:val="20"/>
          <w:szCs w:val="20"/>
          <w:color w:val="auto"/>
        </w:rPr>
      </w:pPr>
    </w:p>
    <w:p>
      <w:pPr>
        <w:ind w:left="34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party to numerous collaboration agreements and other significant agreements which contain complex commercial terms that could result in disputes, litigation or indemnification liability that could adversely affect our business, results of operations and financial condition.</w:t>
      </w:r>
    </w:p>
    <w:p>
      <w:pPr>
        <w:spacing w:after="0" w:line="105" w:lineRule="exact"/>
        <w:rPr>
          <w:sz w:val="20"/>
          <w:szCs w:val="20"/>
          <w:color w:val="auto"/>
        </w:rPr>
      </w:pPr>
    </w:p>
    <w:p>
      <w:pPr>
        <w:ind w:right="900" w:firstLine="648"/>
        <w:spacing w:after="0" w:line="282" w:lineRule="auto"/>
        <w:rPr>
          <w:sz w:val="20"/>
          <w:szCs w:val="20"/>
          <w:color w:val="auto"/>
        </w:rPr>
      </w:pPr>
      <w:r>
        <w:rPr>
          <w:rFonts w:ascii="Times New Roman" w:cs="Times New Roman" w:eastAsia="Times New Roman" w:hAnsi="Times New Roman"/>
          <w:sz w:val="18"/>
          <w:szCs w:val="18"/>
          <w:color w:val="auto"/>
        </w:rPr>
        <w:t>We currently derive, and expect to derive in the foreseeable future, substantially all of our revenue from collaboration agreements with biotechnology and pharmaceutical companies. These collaboration agreements contain complex commercial terms, including:</w:t>
      </w:r>
    </w:p>
    <w:p>
      <w:pPr>
        <w:spacing w:after="0" w:line="54" w:lineRule="exact"/>
        <w:rPr>
          <w:sz w:val="20"/>
          <w:szCs w:val="20"/>
          <w:color w:val="auto"/>
        </w:rPr>
      </w:pPr>
    </w:p>
    <w:p>
      <w:pPr>
        <w:ind w:left="1300" w:right="100" w:hanging="644"/>
        <w:spacing w:after="0" w:line="282"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and commercialization obligations that are based on certain commercial reasonableness performance standards that can often be difficult to enforce if disputes arise as to adequacy of our partner’s performance;</w:t>
      </w:r>
    </w:p>
    <w:p>
      <w:pPr>
        <w:spacing w:after="0" w:line="53" w:lineRule="exact"/>
        <w:rPr>
          <w:rFonts w:ascii="Times New Roman" w:cs="Times New Roman" w:eastAsia="Times New Roman" w:hAnsi="Times New Roman"/>
          <w:sz w:val="18"/>
          <w:szCs w:val="18"/>
          <w:color w:val="auto"/>
        </w:rPr>
      </w:pPr>
    </w:p>
    <w:p>
      <w:pPr>
        <w:ind w:left="1300" w:right="500" w:hanging="644"/>
        <w:spacing w:after="0" w:line="282"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performance and reimbursement obligations for our personnel and other resources allocated to partnered biologic candidate development programs;</w:t>
      </w:r>
    </w:p>
    <w:p>
      <w:pPr>
        <w:spacing w:after="0" w:line="53" w:lineRule="exact"/>
        <w:rPr>
          <w:rFonts w:ascii="Times New Roman" w:cs="Times New Roman" w:eastAsia="Times New Roman" w:hAnsi="Times New Roman"/>
          <w:sz w:val="18"/>
          <w:szCs w:val="18"/>
          <w:color w:val="auto"/>
        </w:rPr>
      </w:pPr>
    </w:p>
    <w:p>
      <w:pPr>
        <w:ind w:left="1300" w:right="220" w:hanging="644"/>
        <w:spacing w:after="0" w:line="282"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and commercial manufacturing agreements, some of which are priced on an actual cost basis for products supplied by us to our partners with complicated cost allocation formulas and methodologies;</w:t>
      </w:r>
    </w:p>
    <w:p>
      <w:pPr>
        <w:spacing w:after="0" w:line="5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ownership allocation between us and our partners for improvements and new inventions developed during the course of the collaboration;</w:t>
      </w:r>
    </w:p>
    <w:p>
      <w:pPr>
        <w:spacing w:after="0" w:line="53" w:lineRule="exact"/>
        <w:rPr>
          <w:rFonts w:ascii="Times New Roman" w:cs="Times New Roman" w:eastAsia="Times New Roman" w:hAnsi="Times New Roman"/>
          <w:sz w:val="18"/>
          <w:szCs w:val="18"/>
          <w:color w:val="auto"/>
        </w:rPr>
      </w:pPr>
    </w:p>
    <w:p>
      <w:pPr>
        <w:ind w:left="1300" w:right="580" w:hanging="644"/>
        <w:spacing w:after="0" w:line="282"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on drug sales based on a number of complex variables, including net sales calculations, geography, scope of patent claim coverage, patent life, generic competitors, bundled pricing and other factors; and</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indemnity obligations for intellectual property infringement, product liability and certain other claims.</w:t>
      </w:r>
    </w:p>
    <w:p>
      <w:pPr>
        <w:spacing w:after="0" w:line="11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are a party to numerous significant collaboration agreements and other strategic transaction agreements (e.g., financings and asset divestitures) that contain complex representations and warranties, covenants and indemnification obligations. If we are found to have materially breached such agreements, we could be subject to substantial liabilities, which would harm our financial condition.</w:t>
      </w:r>
    </w:p>
    <w:p>
      <w:pPr>
        <w:spacing w:after="0" w:line="6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are involved in litigation matters involving the interpretation and application of complex terms and conditions of our agreements. One or more disputes may arise or escalate in the future regarding our collaboration agreements, transaction documents, or third-party license agreements that may ultimately result in costly litigation and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unfavorable interpretation of contract terms, which would have a material adverse effect on our business, financial condition and results of operations.</w:t>
      </w:r>
    </w:p>
    <w:p>
      <w:pPr>
        <w:spacing w:after="0" w:line="167" w:lineRule="exact"/>
        <w:rPr>
          <w:sz w:val="20"/>
          <w:szCs w:val="20"/>
          <w:color w:val="auto"/>
        </w:rPr>
      </w:pPr>
    </w:p>
    <w:p>
      <w:pPr>
        <w:ind w:left="34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intellectual property licenses related to the development of our biologic candidates on a commercially reasonable basis, if at all.</w:t>
      </w:r>
    </w:p>
    <w:p>
      <w:pPr>
        <w:spacing w:after="0" w:line="10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Numerous pending and issued U.S. and foreign patent rights and other proprietary rights owned by third parties relate to pharmaceutical compositions, methods of preparation and manufacturing, and methods of use and administration. We cannot predict with any certainty which, if any, patent rights will be considered relevant to our or our collaboration partners’ technology or biologic candidates by authorities in the various jurisdictions where such rights exist, nor can we predict with certainty which, if any, of these rights will or may be asserted against us by third parties. In certain cases, we have existing licenses or cross-licenses with third parties; however, the sufficiency of the scope and adequacy of these licenses is very uncertain in view of the long development and commercialization cycles for biotechnology and pharmaceutical products. There can be no assurance that we can obtain a license to any technology that we determine we need on reasonable terms, if at all, or that we could develop or otherwise obtain alternate technology to avoid a need to secure a license. If we are required to enter into a license with a third party, our potential economic benefit for the products subject to the license will be diminished. If a license is not available on commercially reasonable terms or at all, we may be prevented from developing and commercializing the biologic, which could significantly harm our business, results of operations, and financial condition.</w:t>
      </w:r>
    </w:p>
    <w:p>
      <w:pPr>
        <w:spacing w:after="0" w:line="136" w:lineRule="exact"/>
        <w:rPr>
          <w:sz w:val="20"/>
          <w:szCs w:val="20"/>
          <w:color w:val="auto"/>
        </w:rPr>
      </w:pPr>
    </w:p>
    <w:p>
      <w:pPr>
        <w:ind w:left="34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pending patent applications do not issue, or are deemed invalid following issuance, we may lose valuable intellectual property protection.</w:t>
      </w:r>
    </w:p>
    <w:p>
      <w:pPr>
        <w:spacing w:after="0" w:line="105"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7"/>
          <w:szCs w:val="17"/>
          <w:color w:val="auto"/>
        </w:rPr>
        <w:t xml:space="preserve">The patent positions of pharmaceutical and biotechnology companies, such as ours, are uncertain and involve complex legal and factual issues. We own more than 310 U.S. and 1,200 foreign patents and have a number of pending patent applications that cover various aspects of our technologies. There can be no assurance that patents that have issued will be held valid and enforceable in a court of law. Even for patents that are held valid and enforceable, the legal process associated with obtaining such a judgment is time consuming and costly. Additionally, issued patents can be subject to opposition, </w:t>
      </w:r>
      <w:r>
        <w:rPr>
          <w:rFonts w:ascii="Times New Roman" w:cs="Times New Roman" w:eastAsia="Times New Roman" w:hAnsi="Times New Roman"/>
          <w:sz w:val="17"/>
          <w:szCs w:val="17"/>
          <w:i w:val="1"/>
          <w:iCs w:val="1"/>
          <w:color w:val="auto"/>
        </w:rPr>
        <w:t>inter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partes </w:t>
      </w:r>
      <w:r>
        <w:rPr>
          <w:rFonts w:ascii="Times New Roman" w:cs="Times New Roman" w:eastAsia="Times New Roman" w:hAnsi="Times New Roman"/>
          <w:sz w:val="17"/>
          <w:szCs w:val="17"/>
          <w:color w:val="auto"/>
        </w:rPr>
        <w:t>review, re-examinations or other proceedings that can result in the revocation of the patent or maintenance of the patent in amended form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potentially in a form that renders the patent without commercially relevant and/or broad coverage). Further, our competitors may be able to circumvent and otherwise design around our patents. Even if a patent is issued and enforceable, because development and commercialization of pharmaceutical products can be subject to substantial delays, patents may expire prior to the commercialization of the biologic. Moreover, even if a patent encompassing a biologic has not expired prior to the biologic's commercialization, the patent may only provide a short period of protection following the commercialization of products. In addition, our patents may be subject to post grant proceedings, such as or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and re-examinations, before the U.S. Patent and Trademark Office (or equivalent proceedings in other jurisdictions), which could result in a loss of the patent and/or substantial cost to us.</w:t>
      </w:r>
    </w:p>
    <w:p>
      <w:pPr>
        <w:spacing w:after="0" w:line="7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have filed patent applications, and plan to file additional patent applications, covering various aspects of our PEGylation and advanced polymer conjugate technologies and our biologic candidates. There can be no assurance that the patent applications for which we apply will actually issue as patents, or do so with commercially relevant and/or broad coverage. The coverage claimed in a patent application can be significantly reduced before the patent is issued. The scope of our claim coverage can be critical to our ability to enter into licensing transactions with third parties and our right to receive royalties from our collaboration partnerships. Since publication of discoveries in scientific or patent literature often lags behind the date of such discoveries, we cannot be certain that we were the first inventor of inventions covered by our patents or patent applications. In addition, there is no guarantee that we will be the first to file a patent application directed to an invention.</w:t>
      </w:r>
    </w:p>
    <w:p>
      <w:pPr>
        <w:spacing w:after="0" w:line="8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An adverse outcome in any judicial proceeding involving intellectual property, including patents, could subject us to significant liabilities to third parties, require disputed rights to be licensed from or to third parties or require us to cease using the technology in dispute. In those instances where we seek an intellectual property license from another, we may not be able to obtain the license on a commercially reasonable basis, if at all, thereby raising concerns on our ability to freely commercialize our technologies or products.</w:t>
      </w:r>
    </w:p>
    <w:p>
      <w:pPr>
        <w:spacing w:after="0" w:line="122" w:lineRule="exact"/>
        <w:rPr>
          <w:sz w:val="20"/>
          <w:szCs w:val="20"/>
          <w:color w:val="auto"/>
        </w:rPr>
      </w:pPr>
    </w:p>
    <w:p>
      <w:pPr>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0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rely on trade secret protection and other unpatented proprietary rights for our confidential and proprietary information. No assurance can be given that others will not independently develop substantially equivalent confidential and proprietary information or otherwise gain access to our trade secrets or disclose such technology, or that we can meaningfully protect our trade secrets. In addition, unpatented proprietary rights, including trade secrets and know-how, can be difficult to protect and may lose their value if they are independently developed by a third party or if their secrecy is lost. Any loss of trade secret protection or other unpatented proprietary rights could harm our business, results of operations and financial condition.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w:t>
      </w:r>
    </w:p>
    <w:p>
      <w:pPr>
        <w:spacing w:after="0" w:line="175"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manufacture, clinical testing, marketing and sale of medical products involve inherent product liability risks. If product liability costs exceed our product liability insurance coverage (or if we cannot secure product liability insurance), we may incur substantial liabilities that could have a severe negative impact on our financial position. Whether or not we are ultimately successful in any product liability litigation, such litigation would consume substantial amounts of our financial and managerial resources and might result in adverse publicity, all of which would impair our business. Additionally, we may not be able to maintain our clinical trial insurance or product liability insurance at an acceptable cost, if at all, and this insurance may not provide adequate coverage against potential claims or losses.</w:t>
      </w:r>
    </w:p>
    <w:p>
      <w:pPr>
        <w:spacing w:after="0" w:line="129" w:lineRule="exact"/>
        <w:rPr>
          <w:sz w:val="20"/>
          <w:szCs w:val="20"/>
          <w:color w:val="auto"/>
        </w:rPr>
      </w:pPr>
    </w:p>
    <w:p>
      <w:pPr>
        <w:ind w:left="34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current or future collaborators or service providers fail to comply with healthcare laws and regulations, we or they could be subject to enforcement actions and civil or criminal penalties.</w:t>
      </w:r>
    </w:p>
    <w:p>
      <w:pPr>
        <w:spacing w:after="0" w:line="105"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once we begin commercializing our biologic candidates, if approved, we will be subject to additional healthcare statutory and regulatory requirements and enforcement by the federal and state governments of the jurisdictions in which we conduct our business. Healthcare providers, physicians and third-party payers play a primary role in the recommendation and prescription of any biologic candidates for which we obtain marketing approval. Our future arrangements with third-party payers and customers may expose us to broadly applicable fraud and abuse and other healthcare laws and regulations that may constrain the business or financial arrangements and relationships through which we market, sell and distribute our therapeutic candidates for which we obtain marketing approval. Restrictions under applicable federal and state healthcare laws and regulations, include the following:</w:t>
      </w:r>
    </w:p>
    <w:p>
      <w:pPr>
        <w:spacing w:after="0" w:line="81" w:lineRule="exact"/>
        <w:rPr>
          <w:sz w:val="20"/>
          <w:szCs w:val="20"/>
          <w:color w:val="auto"/>
        </w:rPr>
      </w:pPr>
    </w:p>
    <w:p>
      <w:pPr>
        <w:ind w:left="1140" w:hanging="484"/>
        <w:spacing w:after="0" w:line="253" w:lineRule="auto"/>
        <w:tabs>
          <w:tab w:leader="none" w:pos="11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remuneration (a term interpreted broadly to include anything of value, including, for example, gifts, discounts, and credits), directly or indirectly, in cash or in kind, to induce or reward, or in return for, either the referral of an individual for, or the purchase, order, or recommendation of, an item or service reimbursable under a federal healthcare program, such as the Medicare and Medicaid programs. A person or entity does not need to have actual knowledge of the federal Anti-Kickback Statute or specific intent to violate it to have committed a violation. On December 2, 2020, the Office of Inspector General, or OIG, published further modifications to the federal Anti-Kickback Statute. Under the final rules, OIG added safe harbor protections under the Anti-Kickback Statute for certain coordinated care and value-based arrangements among clinicians, providers, and others. This rule (with exceptions) became effective January 19, 2021. Implementation of this change and new safe harbors for point-of-sale reductions in price for prescription pharmaceutical products and pharmacy benefit manager service fees are currently under review by the Biden administration and may be amended or repealed. We continue to evaluate what effect, if any, the rule will have on our business;</w:t>
      </w:r>
    </w:p>
    <w:p>
      <w:pPr>
        <w:spacing w:after="0" w:line="83" w:lineRule="exact"/>
        <w:rPr>
          <w:rFonts w:ascii="Times New Roman" w:cs="Times New Roman" w:eastAsia="Times New Roman" w:hAnsi="Times New Roman"/>
          <w:sz w:val="18"/>
          <w:szCs w:val="18"/>
          <w:color w:val="auto"/>
        </w:rPr>
      </w:pPr>
    </w:p>
    <w:p>
      <w:pPr>
        <w:ind w:left="1140" w:right="60" w:hanging="484"/>
        <w:spacing w:after="0" w:line="254" w:lineRule="auto"/>
        <w:tabs>
          <w:tab w:leader="none" w:pos="11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such as the U.S. federal False Claims Act (FCA), which prohibit, among other things, individuals or entities from knowingly presenting, or causing to be presented, claims for payment to Medicare, Medicaid, or other third-party payers that are false or fraudulent, or making a false statement or record material to payment of a false claim or avoiding, decreasing, or concealing an obligation to pay money owed to the federal government. In addition, the government may assert that a claim including items and services resulting from a violation of the federal Anti-Kickback Statute constitutes a false or fraudulent claim for purposes of the FCA. Manufacturers can be held liable under the federal False Claims Act even when they do not submit claims directly to government payers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80" w:lineRule="exact"/>
        <w:rPr>
          <w:rFonts w:ascii="Times New Roman" w:cs="Times New Roman" w:eastAsia="Times New Roman" w:hAnsi="Times New Roman"/>
          <w:sz w:val="18"/>
          <w:szCs w:val="18"/>
          <w:color w:val="auto"/>
        </w:rPr>
      </w:pPr>
    </w:p>
    <w:p>
      <w:pPr>
        <w:ind w:left="1140" w:right="140" w:hanging="484"/>
        <w:spacing w:after="0" w:line="266" w:lineRule="auto"/>
        <w:tabs>
          <w:tab w:leader="none" w:pos="11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the federal Health Insurance Portability and Accountability Act of 1996 (HIPAA), which created new federal criminal statutes, referred to as the “HIPAA All-Payer Fraud Prohibition,” that prohibit knowingly and willfully executing a scheme to defraud any healthcare benefit program and making false statements relating to healthcare matters;</w:t>
      </w:r>
    </w:p>
    <w:p>
      <w:pPr>
        <w:spacing w:after="0" w:line="67" w:lineRule="exact"/>
        <w:rPr>
          <w:rFonts w:ascii="Times New Roman" w:cs="Times New Roman" w:eastAsia="Times New Roman" w:hAnsi="Times New Roman"/>
          <w:sz w:val="18"/>
          <w:szCs w:val="18"/>
          <w:color w:val="auto"/>
        </w:rPr>
      </w:pPr>
    </w:p>
    <w:p>
      <w:pPr>
        <w:ind w:left="1140" w:right="200" w:hanging="484"/>
        <w:spacing w:after="0" w:line="256" w:lineRule="auto"/>
        <w:tabs>
          <w:tab w:leader="none" w:pos="11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laws, including the federal Physician Payment Sunshine Act, which require manufacturers of certain drugs and biologics to track and disclose payments and other transfers of value they make to U.S. physicians (currently defined to include doctors, dentists, optometrists, podiatrists and chiropractors) and teaching hospitals as well as physician ownership and investment interests in the manufacturer, and that such information is subsequently made publicly available in a searchable format on a CMS website, effective January 1, 2022, these reporting obligations will extend to include transfers of value made to certain non-physician assistants and nurse practitioners;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40" w:right="120" w:hanging="484"/>
        <w:spacing w:after="0" w:line="269" w:lineRule="auto"/>
        <w:tabs>
          <w:tab w:leader="none" w:pos="113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provisions of HIPAA, as amended by the Health Information Technology for Economic and Clinical Health Act and its implementing regulations, which imposes certain requirements relating to the privacy, security and transmission of individually identifiable health information, and also includes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73" w:lineRule="exact"/>
        <w:rPr>
          <w:rFonts w:ascii="Times New Roman" w:cs="Times New Roman" w:eastAsia="Times New Roman" w:hAnsi="Times New Roman"/>
          <w:sz w:val="17"/>
          <w:szCs w:val="17"/>
          <w:color w:val="auto"/>
        </w:rPr>
      </w:pPr>
    </w:p>
    <w:p>
      <w:pPr>
        <w:ind w:left="1140" w:right="40" w:hanging="484"/>
        <w:spacing w:after="0" w:line="282"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 price reporting laws, which require us to calculate and report complex pricing metrics in an accurate and timely manner to government programs;</w:t>
      </w:r>
    </w:p>
    <w:p>
      <w:pPr>
        <w:spacing w:after="0" w:line="53" w:lineRule="exact"/>
        <w:rPr>
          <w:rFonts w:ascii="Times New Roman" w:cs="Times New Roman" w:eastAsia="Times New Roman" w:hAnsi="Times New Roman"/>
          <w:sz w:val="18"/>
          <w:szCs w:val="18"/>
          <w:color w:val="auto"/>
        </w:rPr>
      </w:pPr>
    </w:p>
    <w:p>
      <w:pPr>
        <w:ind w:left="1140" w:right="120" w:hanging="484"/>
        <w:spacing w:after="0" w:line="282"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3" w:lineRule="exact"/>
        <w:rPr>
          <w:rFonts w:ascii="Times New Roman" w:cs="Times New Roman" w:eastAsia="Times New Roman" w:hAnsi="Times New Roman"/>
          <w:sz w:val="18"/>
          <w:szCs w:val="18"/>
          <w:color w:val="auto"/>
        </w:rPr>
      </w:pPr>
    </w:p>
    <w:p>
      <w:pPr>
        <w:ind w:left="1140" w:right="40" w:hanging="484"/>
        <w:spacing w:after="0" w:line="254"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state law equivalents of each of the above federal laws, such as anti-kickback and false claims laws which may apply to items or services reimbursed by any third-party payer, including commercial insurers, state transparency reporting and compliance laws; and state laws governing the privacy and security of health information in certain circumstances, many of which differ from each other in significant ways and which may not have the same effect, thus complicating compliance efforts. These state-equivalent laws may also apply to our business practices, including, but not limited to, research, distribution, and sales or marketing arrangements.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w:t>
      </w:r>
    </w:p>
    <w:p>
      <w:pPr>
        <w:spacing w:after="0" w:line="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If our operations are found to be in violation of any such requirements, we may be subject to penalties, including administrative, civil or criminal penalties, imprisonment, monetary damages, the curtailment or restructuring of our operations, or exclusion from participation in government contracting, healthcare reimbursement or other government programs, including Medicare and Medicaid, any of which could adversely affect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34" w:lineRule="exact"/>
        <w:rPr>
          <w:sz w:val="20"/>
          <w:szCs w:val="20"/>
          <w:color w:val="auto"/>
        </w:rPr>
      </w:pPr>
    </w:p>
    <w:p>
      <w:pPr>
        <w:ind w:left="34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to the normal functioning of the FDA and other government agencies could hinder their ability to perform and carry out important roles and activities on which the operation of our business relies, which could negatively impact our business.</w:t>
      </w:r>
    </w:p>
    <w:p>
      <w:pPr>
        <w:spacing w:after="0" w:line="10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For example, the current five-year authorization of the Prescription Drug User Fee Act (PDUFA) and other user free programs from which the FDA receives significant funding is set to expire on September 30, 2022, and a failure by Congress to reauthorize PDUFA and other user fee programs by this date may cause a reduction in the responsiveness of the FDA generally. In the past, average review times at the agency have fluctuated, and this may continue in the future. In addition, government funding of other agencies on which our operations may rely is subject to the political process, which is inherently fluid and unpredictable. Since March 2020 when foreign and domestic inspections of facilities were largely placed on hold due to the COVID-19 pandemic, the FDA has been working to resume routine surveillance, bioresearch monitoring and pre-approval inspections on a prioritized basis. The FDA has developed a rating system to assist in determining when and where it is safest to conduct prioritized domestic inspections. In April 2021, the FDA issued guidance for industry formally announcing plans to employ remote interactive evaluations, suing risk management methods, to meet user fee commitments and goal dates. Should FDA determine that an inspection is necessary for approval and an inspection cannot be completed during the review cycle due to restrictions on travel, and the FDA does not determine a remote interactive evaluation to be appropriate, FDA has stated that it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generally intends to issue a complete response letter. Further, if there is inadequate information to make a determination on the acceptability of a facility, FDA may defer action on the application until an inspection can be completed. Regulatory authorities outside the U.S. may adopt similar restrictions or other policy measures in response to the COVID-19 pandemic and may experience delays in their regulatory activities.</w:t>
      </w:r>
    </w:p>
    <w:p>
      <w:pPr>
        <w:spacing w:after="0" w:line="6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and other government employees and stop critical activities. Additionally, as of June 23, 2020, the FDA noted it is continuing to ensure timely reviews of applications for medical products during the COVID-19 pandemic in line with its user fee performance goals. On July 16, 2020, the FDA noted that it is continuing to expedite oncology product development with its staff teleworking full-time. However, the FDA may not be able to continue its current pace and review timelines could be extended, including where a pre-approval inspection or an inspection of clinical sites is required and due to the COVID-19 pandemic and travel restrictions the FDA is unable to complete such required inspections during the review period. If a prolonged government shutdown occurs, it could significantly impact the ability of the FDA to timely review and process our regulatory submissions, which could have a material adverse effect on our business. Further, future shutdowns of other government agencies, such as the SEC, may also impact our business through review of our public filings and our ability to access the public markets.</w:t>
      </w:r>
    </w:p>
    <w:p>
      <w:pPr>
        <w:spacing w:after="0" w:line="136" w:lineRule="exact"/>
        <w:rPr>
          <w:sz w:val="20"/>
          <w:szCs w:val="20"/>
          <w:color w:val="auto"/>
        </w:rPr>
      </w:pPr>
    </w:p>
    <w:p>
      <w:pPr>
        <w:ind w:left="34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involved in legal proceedings and may incur substantial litigation costs and liabilities that will adversely affect our business, financial condition and results of operations.</w:t>
      </w:r>
    </w:p>
    <w:p>
      <w:pPr>
        <w:spacing w:after="0" w:line="105"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From time to time, we are involved in legal proceedings where we or other third parties are enforcing or seeking intellectual property rights, invalidating or limiting patent rights that have already been allowed or issued, or otherwise asserting proprietary rights through one or more potential legal remedies. Third parties have asserted, and may in the future assert, that we or our partners infringe their proprietary rights, such as patents and trade secrets, or have otherwise breached our obligations to them. A third party often bases its assertions on a claim that its patents cover our technology platform or biologic candidates or that we have misappropriated its confidential or proprietary information. Similar assertions of infringement could be based on future patents that may issue to third parties. For example, we are involved in ongoing litigation with Aether Therapeutics Inc., who in March 2020 filed a complaint against AstraZeneca, Nektar and Daiichi-Sanko, Inc. alleging that MOVANTIK® infringes U.S. Patent Nos. 6,713,488, 8,748,448, 8,883,817 and 9,061,024. In certain of our agreements with our partners, we are obligated to indemnify and hold harmless our collaboration partners from intellectual property infringement, product liability and certain other claims, which could cause us to incur substantial costs and liability if we are called upon to defend ourselves and our partners against any claims. We are also regularly involved in opposition proceedings at the European Patent Office and in inter partes review and re-examination proceedings at the U.S. Patent and Trademark Office where third parties seek to invalidate or limit the scope of our allowed patent applications or issued patents covering (among other things) our biologic candidates and platform technologies. If a third party obtains injunctive or other equitable relief against us or our partners, they could effectively prevent us, or our partners, from developing or commercializing, or deriving revenue from, certain biologics or biologic candidates in the U.S. and abroad. Costs associated with litigation, substantial damage claims, indemnification claims or royalties paid for licenses from third parties could have a material adverse effect on our business, financial condition and results of operations.</w:t>
      </w:r>
    </w:p>
    <w:p>
      <w:pPr>
        <w:spacing w:after="0" w:line="12" w:lineRule="exact"/>
        <w:rPr>
          <w:sz w:val="20"/>
          <w:szCs w:val="20"/>
          <w:color w:val="auto"/>
        </w:rPr>
      </w:pPr>
    </w:p>
    <w:p>
      <w:pPr>
        <w:ind w:right="180" w:firstLine="648"/>
        <w:spacing w:after="0" w:line="237" w:lineRule="auto"/>
        <w:rPr>
          <w:sz w:val="20"/>
          <w:szCs w:val="20"/>
          <w:color w:val="auto"/>
        </w:rPr>
      </w:pPr>
      <w:r>
        <w:rPr>
          <w:rFonts w:ascii="Times New Roman" w:cs="Times New Roman" w:eastAsia="Times New Roman" w:hAnsi="Times New Roman"/>
          <w:sz w:val="18"/>
          <w:szCs w:val="18"/>
          <w:color w:val="auto"/>
        </w:rPr>
        <w:t>From time to time, we are involved in legal proceedings other than those related to intellectual property. In October 2018, we and certain of our executives were named in a putative securities class action complaint filed in the U.S. District Court for the Northern District of California (Case No. 18-cv-06607, which we refer to as the Mulquin action). The Mulquin plaintiffs challenged public statements Nektar made, between January 2017 and June 2018, about the clinical trials of bempegaldesleukin. In December 2020, the district court dismissed the action with prejudice. The plaintiffs filed a notice of appeal in January 2021 in the U.S. Court of Appeals for the Ninth Circuit. On May 19, 2022, the Ninth Circuit affirmed the district court's dismissal of all claims against the defendants.</w:t>
      </w:r>
    </w:p>
    <w:p>
      <w:pPr>
        <w:spacing w:after="0" w:line="90" w:lineRule="exact"/>
        <w:rPr>
          <w:sz w:val="20"/>
          <w:szCs w:val="20"/>
          <w:color w:val="auto"/>
        </w:rPr>
      </w:pPr>
    </w:p>
    <w:p>
      <w:pPr>
        <w:ind w:right="360" w:firstLine="648"/>
        <w:spacing w:after="0" w:line="256" w:lineRule="auto"/>
        <w:rPr>
          <w:sz w:val="20"/>
          <w:szCs w:val="20"/>
          <w:color w:val="auto"/>
        </w:rPr>
      </w:pPr>
      <w:r>
        <w:rPr>
          <w:rFonts w:ascii="Times New Roman" w:cs="Times New Roman" w:eastAsia="Times New Roman" w:hAnsi="Times New Roman"/>
          <w:sz w:val="18"/>
          <w:szCs w:val="18"/>
          <w:color w:val="auto"/>
        </w:rPr>
        <w:t>A derivative action was also filed against certain of the Company’s current and former officers and directors, purportedly on the Company’s behalf, which was based on the allegations in the Mulquin action and on the premise that the Company’s officers and directors breached their fiduciary duties to the Company. The complaint for the derivative action was filed in February 2021 in the Court of Chancery of the State of Delaware (C.A. No. 2021-0118-PAF). Following a stay in the proceedings during the pendency of the appeal in the Mulquin action, the Company received an amended complaint on July 2022, which the defendants responded to in September 2022. Subsequently, the plaintiffs and defendants filed a joint stipulation to dismiss the action with prejudice on September 27, 2022.</w:t>
      </w:r>
    </w:p>
    <w:p>
      <w:pPr>
        <w:spacing w:after="0" w:line="7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cost to us in initiating or defending any litigation or other proceeding, even if resolved in our favor, could be substantial, and litigation would divert our management’s attention. Uncertainties resulting from the initiation and continuation of patent litigation or other proceedings could delay our research and development efforts or result in financial implications either in terms of seeking license arrangements or payment of damages or royalties. There is no guarantee that our insurance coverage for</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damages resulting from a litigation or the settlement thereof (including the Mulquin action and related shareholder derivative lawsuit) is sufficient, thereby resulting in substantial financial risk to the Company.</w:t>
      </w:r>
    </w:p>
    <w:p>
      <w:pPr>
        <w:spacing w:after="0" w:line="54"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Given the nature of lawsuits and complaints, we cannot reasonably estimate a potential future loss or a range of potential future losses for any of the legal proceedings we are currently involved in. However, an unfavorable resolution could potentially have a material adverse effect on our business, financial condition, and results of operations or prospects, and potentially result in paying monetary damages. We have recorded no liability for any litigation matters in our Consolidated Balance Sheets at September 30, 2022.</w:t>
      </w:r>
    </w:p>
    <w:p>
      <w:pPr>
        <w:spacing w:after="0" w:line="122" w:lineRule="exact"/>
        <w:rPr>
          <w:sz w:val="20"/>
          <w:szCs w:val="20"/>
          <w:color w:val="auto"/>
        </w:rPr>
      </w:pPr>
    </w:p>
    <w:p>
      <w:pPr>
        <w:ind w:left="34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found in violation of privacy and data protection laws, we may be required to pay penalties, be subjected to scrutiny by regulators or governmental entities, or be suspended from participation in government healthcare programs, which may adversely affect our business, financial condition and results of operations.</w:t>
      </w:r>
    </w:p>
    <w:p>
      <w:pPr>
        <w:spacing w:after="0" w:line="1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business is subject to many laws and regulations intended to protect the privacy and data of individuals participating in our clinical trials and our employees, among others. For example, with regard to individuals participating in our clinical trials, these laws and regulations govern the safeguarding the privacy, integrity, availability, security and transmission of individually identifiable health information. In addition to federal laws and regulations in the United States, such as the HIPAA requirements relating to the privacy, security and transmission of individually identifiable health information, many state and foreign laws also govern the privacy and security of health information. These laws often differ from each other in significant ways, thus complicating compliance efforts. The global data protection landscape is rapidly evolving, and implementation standards and enforcement practices are likely to remain uncertain for the foreseeable future.</w:t>
      </w:r>
    </w:p>
    <w:p>
      <w:pPr>
        <w:spacing w:after="0" w:line="81"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 the United States, California recently enacted the California Consumer Privacy Act (CCPA), which took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has increased our compliance costs and may increase our potential liability. The CCPA has prompted a number of proposals for new federal and state privacy legislation. If passed, these proposals could increase our potential liability, increase our compliance costs and adversely affect our business.</w:t>
      </w:r>
    </w:p>
    <w:p>
      <w:pPr>
        <w:spacing w:after="0" w:line="79"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The European Regulation 2016/679, known as the General Data Protection Regulation (GDPR), and the implementing legislation of EU Member States, which became effective on May 25, 2018, apply to the collection and processing of personal data, including health-related information, by companies located in the EU, or in certain circumstances, by companies located outside of the EU and processing personal information of individuals located in the EU. The GDPR is wide-ranging in scope and imposes strict obligations on the ability to process personal data, including health-related information, in particular in relation to their collection, use, disclosure and transfer. These include several requirements relating to, for example, (i) obtaining, in some situations, the consent of the individuals to whom the personal data relates, (ii) the information provided to the individuals about how their personal information is used, and (iii) ensuring the security and confidentiality of the personal data. The GDPR prohibits the transfer of personal data to countries outside of the European Economic Area (EEA), such as the United States, which are not considered by the European Commission to provide an adequate level of data protection. Potential pecuniary fines for noncompliant companies may be up to the greater of €20 million or 4% of annual global revenue.</w:t>
      </w:r>
    </w:p>
    <w:p>
      <w:pPr>
        <w:spacing w:after="0" w:line="8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To the extent that we are found liable for the inappropriate collection, storage, use or disclosure of protected information of individuals (such as employees and or clinical patients protected by any privacy or data protection law), we could be subject to reputational harm, monetary fines (such as those imposed by the GDPR and CCPA), civil suits, civil penalties or criminal sanctions and requirements to disclose the breach, and the development of our biologic candidates could be delayed. In addition, we continue to be subject to new and evolving data protection laws and regulations from a variety of jurisdictions, and there is a risk that our systems and processes for managing and protecting data may be found to be inadequate, which could materially adversely affect our business, financial condition and results of operations.</w:t>
      </w:r>
    </w:p>
    <w:p>
      <w:pPr>
        <w:spacing w:after="0" w:line="129" w:lineRule="exact"/>
        <w:rPr>
          <w:sz w:val="20"/>
          <w:szCs w:val="20"/>
          <w:color w:val="auto"/>
        </w:rPr>
      </w:pPr>
    </w:p>
    <w:p>
      <w:pPr>
        <w:ind w:left="34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10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As a research-based biopharmaceutical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radioactive compounds, and other hazardous materials. The cost of compliance with environmental, health, and safety regulations (including, but not limited to, the handling and disposal of both our hazardous and non-hazardous waste) is substantial. If an accident involving these materials or an environmental discharge were to occur, we could be held liable for any resulting damages, or face regulatory actions, which could exceed our resources or insurance coverage.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Investment and Securities</w:t>
      </w:r>
    </w:p>
    <w:p>
      <w:pPr>
        <w:spacing w:after="0" w:line="171" w:lineRule="exact"/>
        <w:rPr>
          <w:sz w:val="20"/>
          <w:szCs w:val="20"/>
          <w:color w:val="auto"/>
        </w:rPr>
      </w:pPr>
    </w:p>
    <w:p>
      <w:pPr>
        <w:ind w:left="340"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and may continue to fluctuate significantly, which could result in substantial losses for investors and securities class action and shareholder derivative litigation.</w:t>
      </w:r>
    </w:p>
    <w:p>
      <w:pPr>
        <w:spacing w:after="0" w:line="10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stock price is volatile. During the three months ended September 30, 2022, based on closing prices on the NASDAQ Global Select Market, the closing price of our common stock ranged from $3.04 to $5.14 per share. In response to volatility in the price of our common stock in the past, plaintiffs’ securities litigation firms have sought information from us and/or shareholders as part of their investigation into alleged securities violations and breaches of duties (among other corporate misconduct allegations). Following their investigations, plaintiffs’ securities litigation firms have often initiated legal action, including the filing of class action lawsuits, derivative lawsuits, and other forms of redress. We expect our stock price to remain volatile and we continue to expect the initiation of legal actions by plaintiffs’ securities litigation firms following share price fluctuations. A variety of factors may have a significant effect on the market price of our common stock, including the risks described in this section titled “Risk Factors” and the following:</w:t>
      </w:r>
    </w:p>
    <w:p>
      <w:pPr>
        <w:spacing w:after="0" w:line="81" w:lineRule="exact"/>
        <w:rPr>
          <w:sz w:val="20"/>
          <w:szCs w:val="20"/>
          <w:color w:val="auto"/>
        </w:rPr>
      </w:pPr>
    </w:p>
    <w:p>
      <w:pPr>
        <w:ind w:left="660" w:right="2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data from, or material developments in, our clinical studies and those of our collaboration partners, including data regarding efficacy and safety, delays in clinical development, regulatory approval or commercial launch – in particular, data from clinical studies of bempegaldesleukin has had a significant impact on our stock price;</w:t>
      </w:r>
    </w:p>
    <w:p>
      <w:pPr>
        <w:spacing w:after="0" w:line="6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outcomes from our clinical trials which can be difficult to predict particularly for clinical studies that have event-driven end points such as progression-free survival and overall survival;</w:t>
      </w:r>
    </w:p>
    <w:p>
      <w:pPr>
        <w:spacing w:after="0" w:line="5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collaboration partners as to their plans or expectations related to biologic candidates and approved biologics in which we have a substantial economic interest;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terminations or disputes under our collaboration agreements;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results of operations;</w:t>
      </w:r>
    </w:p>
    <w:p>
      <w:pPr>
        <w:spacing w:after="0" w:line="117" w:lineRule="exact"/>
        <w:rPr>
          <w:rFonts w:ascii="Times New Roman" w:cs="Times New Roman" w:eastAsia="Times New Roman" w:hAnsi="Times New Roman"/>
          <w:sz w:val="18"/>
          <w:szCs w:val="18"/>
          <w:color w:val="auto"/>
        </w:rPr>
      </w:pPr>
    </w:p>
    <w:p>
      <w:pPr>
        <w:ind w:left="660" w:right="8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patent or other proprietary rights, including intellectual property litigation or entering into intellectual property license agreements and the costs associated with those arrangements;</w:t>
      </w:r>
    </w:p>
    <w:p>
      <w:pPr>
        <w:spacing w:after="0" w:line="53"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or new therapeutic products that may compete with our approved partnered products or products under development;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changes in governmental regulation affecting us or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brought against us or third parties to whom we have indemnification obligations;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of drug formulations developed by us or others;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financing needs and activities;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the impacts of rising inflation and interest rates and global geopolitical tensions.</w:t>
      </w:r>
    </w:p>
    <w:p>
      <w:pPr>
        <w:spacing w:after="0" w:line="11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At times, our stock price has been volatile even in the absence of significant news or developments. The stock prices of biotechnology companies and securities markets generally have been subject to dramatic price swings in recent years.</w:t>
      </w:r>
    </w:p>
    <w:p>
      <w:pPr>
        <w:spacing w:after="0" w:line="104" w:lineRule="exact"/>
        <w:rPr>
          <w:sz w:val="20"/>
          <w:szCs w:val="20"/>
          <w:color w:val="auto"/>
        </w:rPr>
      </w:pPr>
    </w:p>
    <w:p>
      <w:pPr>
        <w:ind w:left="34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implemented certain anti-takeover measures, which make it more difficult to acquire us, even though such acquisitions may be beneficial to our stockholders.</w:t>
      </w:r>
    </w:p>
    <w:p>
      <w:pPr>
        <w:spacing w:after="0" w:line="10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Provisions of our certificate of incorporation and bylaws, as well as provisions of Delaware law, could make it more difficult for a third party to acquire us, even though such acquisitions may be beneficial to our stockholders. These anti-takeover provisions include:</w:t>
      </w:r>
    </w:p>
    <w:p>
      <w:pPr>
        <w:spacing w:after="0" w:line="54"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classified board of directors such that not all members of the board may be elected at one time;</w:t>
      </w:r>
    </w:p>
    <w:p>
      <w:pPr>
        <w:spacing w:after="0" w:line="11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 provision for cumulative voting in the election of directors, which would otherwise allow less than a majority of stockholders to elect director candidates;</w:t>
      </w:r>
    </w:p>
    <w:p>
      <w:pPr>
        <w:spacing w:after="0" w:line="53"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to authorize the issuance of “blank check” preferred stock to increase the number of outstanding shares and thwart a takeover attempt;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 on stockholder action by written consent, thereby requiring all stockholder actions to be taken at a meeting of stockholders;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advance notice requirements for nominations for election to the board of directors or for proposing matters that can be acted upon by stockholders at stockholder meetings;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who may call a special meeting of stockholders.</w:t>
      </w:r>
    </w:p>
    <w:p>
      <w:pPr>
        <w:spacing w:after="0" w:line="11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Further, provisions of Delaware law relating to business combinations with interested stockholders may discourage, delay or prevent a third party from acquiring us. These provisions may also discourage, delay or prevent a third party from acquiring a large portion of our securities or initiating a tender offer or proxy contest, even if our stockholders might receive a premium for their shares in the acquisition over the then-current market prices. We also have a change of control severance benefit plan, which provides for certain cash severance, stock award acceleration and other benefits in the event our employees are terminated (or, in some cases, resign for specified reasons) following an acquisition. This severance plan could discourage a third party from acquiring 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1" w:lineRule="exact"/>
        <w:rPr>
          <w:sz w:val="20"/>
          <w:szCs w:val="20"/>
          <w:color w:val="auto"/>
        </w:rPr>
      </w:pPr>
    </w:p>
    <w:p>
      <w:pPr>
        <w:ind w:left="34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significantly rely on information technology systems, and any failure, inadequacy, interruption, breach, or security lapse of that technology within our internal computer systems, or those of our partners, vendors, CROs, CMOs or other contractors or consultants, may result in a material disruption of our development programs and our operations.</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part of our business, we collect, store and transmit large amounts of confidential information, proprietary data, intellectual property and personal data. Despite the implementation of security measures, our internal computer systems and those of our partners, vendors, contract research organizations (CROs), contract manufacturing organizations (CMOs) and other contractors and consultants are vulnerable to loss, damage, denial-of-service, unauthorized access, or misappropriation. Such cybersecurity breaches may be the result of unauthorized activity by our employees and contractors, as well as by third parties who use cyberattack techniques involving malware, hacking and phishing, among others. Additionally, the risk of cyber-attacks or other privacy or data security incidents may be heightened as a result of an increase in the number of employees adopting a remote working environment during the COVID-19 pandemic, which may be less secure and more susceptible to hacking attacks. Our information technology systems, and those of our partners, vendors, CROs, CMOs or other contractors or consultants are also vulnerable to natural disasters, terrorism, war and telecommunication and electrical failures. Any such compromise or disruption, no matter the origin, may cause an interruption of our operations. For instance, the loss of preclinical data or data from any clinical trial involving our biologic candidates could result in delays in our development and regulatory filing efforts and significantly increase our costs. In addition, the loss, corruption or unauthorized disclosure of our trade secrets, personal data or other proprietary or sensitive information could compromise the commercial viability of one or more of our programs, which would negatively affect our business. Also, the costs to us to investigate and mitigate cybersecurity incidents could be significant.</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could adversely affect our business and financial condition.</w:t>
      </w:r>
    </w:p>
    <w:p>
      <w:pPr>
        <w:spacing w:after="0" w:line="17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business is subject to numerous international, federal, state, and other governmental laws, rules, and regulations that may adversely affect our operating results, including, taxation and tax policy changes, tax rate changes, new tax laws, or revised tax law interpretations, which individually or in combination may cause our effective tax rate to increase. In the U.S., the rules dealing with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such changes have been made and changes are likely to continue to occur in the future. For example, on March 27, 2020, the CARES Act was signed into law and included certain changes in tax law intended to stimulate the U.S. economy in light of the COVID-19 pandemic, including temporary changes to the treatment of net operating losses, interest deductibility limitations and payroll tax matters. Future changes in tax laws could have a material adverse effect on our business, cash flow, financial condition or results of operations.</w:t>
      </w:r>
    </w:p>
    <w:p>
      <w:pPr>
        <w:spacing w:after="0" w:line="130" w:lineRule="exact"/>
        <w:rPr>
          <w:sz w:val="20"/>
          <w:szCs w:val="20"/>
          <w:color w:val="auto"/>
        </w:rPr>
      </w:pPr>
    </w:p>
    <w:p>
      <w:pPr>
        <w:ind w:left="340"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United Kingdom’s withdrawal from the EU may have a negative effect on global economic conditions, access to patient markets, and regulatory certainty, which could adversely affect our operations.</w:t>
      </w:r>
    </w:p>
    <w:p>
      <w:pPr>
        <w:spacing w:after="0" w:line="105"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Effective January 31, 2020, the U.K. ceased to be a member state of the EU, a process known as Brexit, and began a transition period, which expired on December 31, 2020.</w:t>
      </w:r>
    </w:p>
    <w:p>
      <w:pPr>
        <w:spacing w:after="0" w:line="5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December 2020, the U.K. and the EU agreed on a trade and cooperation agreement, under which the EU and the U.K. will now form two separate markets governed by two distinct regulatory and legal regimes. The trade and cooperation agreement covers the general objectives and framework of the relationship between the U.K. and the EU, including as it relates to trade, transport and visas. Under the trade and cooperation agreement, U.K. service suppliers no longer benefit from automatic access to the entire EU single market, U.K. goods no longer benefit from the free movement of goods and there is no longer the free movement of people between the U.K. and the EU. Depending on the application of the terms of the trade and cooperation agreement, we, our collaboration partners and others could face new regulatory costs and challenges.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and political conditions may negatively affect us and may magnify certain risks that affect our business.</w:t>
      </w:r>
    </w:p>
    <w:p>
      <w:pPr>
        <w:spacing w:after="0" w:line="175"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Our operations and performance have been, and may continue to be, affected by global economic conditions, including, for example, adverse global economic conditions resulting from the COVID-19 pandemic. See also the risk factor in this Item 1A titled “</w:t>
      </w:r>
      <w:r>
        <w:rPr>
          <w:rFonts w:ascii="Times New Roman" w:cs="Times New Roman" w:eastAsia="Times New Roman" w:hAnsi="Times New Roman"/>
          <w:sz w:val="18"/>
          <w:szCs w:val="18"/>
          <w:i w:val="1"/>
          <w:iCs w:val="1"/>
          <w:color w:val="auto"/>
        </w:rPr>
        <w:t>Our business could be adversely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affected by the effects of health epidemics, including the recent COVID-19 pandemic.</w:t>
      </w:r>
      <w:r>
        <w:rPr>
          <w:rFonts w:ascii="Times New Roman" w:cs="Times New Roman" w:eastAsia="Times New Roman" w:hAnsi="Times New Roman"/>
          <w:sz w:val="18"/>
          <w:szCs w:val="18"/>
          <w:color w:val="auto"/>
        </w:rPr>
        <w:t>” In addition, our operations and performance may be affected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political or civil unrest or military action, terrorist activity, and unstable governments and legal systems. For example, in late February 2022, Russia commenced a military invasion of Ukraine, and the sustained conflict in Ukraine, including the potential effects of sanctions and retaliatory cyber-attacks on the world economy and markets, has contributed to increased market volatility and uncertainty. In particular, sanctions imposed by the U.S., EU and other countries in response to the conflict between Russia and Ukraine and the potential response to such sanctions may have an adverse impact on our business, including our clinical trials, the financial markets and the global economy. As the conflict in Ukraine continues, there can be no certainty regarding whether the U.S., EU or other governments will impose additional sanctions, or other economic or military measured relating to Russia.</w:t>
      </w:r>
    </w:p>
    <w:p>
      <w:pPr>
        <w:spacing w:after="0" w:line="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global economic and political conditions, some third-party payers may delay or be unable to satisfy their reimbursement obligations. Job losses or other economic hardships may also affect patients’ ability to afford healthcare as a result of increased co-pay or deductible obligations, greater cost sensitivity to existing co-pay or deductible obligations, lost healthcare insurance coverage or for other reasons. Our ability to conduct clinical trials in regions experiencing political or civil unrest could negatively affect clinical trial enrollment or the timely completion of a clinical trial. We believe the aforementioned economic conditions have led and could continue to lead to reduced demand for our and our collaboration partners’ drug products, which could have a material adverse effect on our product sales, business and results of operations.</w:t>
      </w:r>
    </w:p>
    <w:p>
      <w:pPr>
        <w:spacing w:after="0" w:line="7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Further, with rising international trade tensions or sanctions, our business may be adversely affected following new or increased tariffs that result in increased global clinical trial costs as a result of international transportation of clinical drug supplies, as well as the costs of materials and products imported into the U.S. Tariffs, trade restrictions or sanctions imposed by the U.S. or other countries could increase the prices of our and our collaboration partners’ drug products, affect our and our collaboration partners’ ability to commercialize such drug products, or create adverse tax consequences in the U.S. or other countries. As a result, changes in international trade policy, changes in trade agreements and the imposition of tariffs or sanctions by the U.S. or other countries could materially adversely affect our results of operations and financial condition.</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corporate citizenship and sustainability matters.</w:t>
      </w:r>
    </w:p>
    <w:p>
      <w:pPr>
        <w:spacing w:after="0" w:line="17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There is an increased focus from certain investors, employees, and other stakeholders concerning corporate citizenship and sustainability matters, which include environmental concerns and social investments. We could fail to meet, or be perceived to fail to meet, the expectations of these certain investors, employees and other stakeholders concerning corporate citizenship and sustainability matters, thereby resulting in a negative impact to our business.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earthquakes or other catastrophic events strike, our business may be harmed.</w:t>
      </w:r>
    </w:p>
    <w:p>
      <w:pPr>
        <w:spacing w:after="0" w:line="17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corporate headquarters, including a substantial portion of our research and development operations, are located in the San Francisco Bay Area, a region known for seismic activity and a potential terrorist target. In addition, we own facilities for the manufacture of products using our advanced polymer conjugate technologies in Huntsville, Alabama and own and lease offices in Hyderabad, India. There are no backup facilities for our manufacturing operations located in Huntsville, Alabama. In the event of an earthquake or other natural disaster, political instability, civil unrest, or terrorist event in any of these locations, our ability to manufacture and supply materials for biologic candidates in development and our ability to meet our manufacturing obligations to our customers would be significantly disrupted and our business, results of operations and financial condition would be harmed. Our collaboration partners and important vendors and suppliers to us or our collaboration partners may also be subject to catastrophic events, such as earthquakes, floods, hurricanes, tornadoes and pandemics any of which could harm our business (including, for example, by disrupting supply chains important to the success of our business), results of operations and financial condition. We have not undertaken a systematic analysis of the potential consequences to our business, results of operations and financial condition from a major earthquake or other catastrophic event, such as a fire, sustained loss of power, terrorist activity or other disaster, and do not have a recovery plan for such disasters. In addition, our insurance coverage may not be sufficient to compensate us for actual losses from any interruption of our business that may occur.</w:t>
      </w:r>
    </w:p>
    <w:p>
      <w:pPr>
        <w:spacing w:after="0" w:line="200" w:lineRule="exact"/>
        <w:rPr>
          <w:sz w:val="20"/>
          <w:szCs w:val="20"/>
          <w:color w:val="auto"/>
        </w:rPr>
      </w:pPr>
    </w:p>
    <w:p>
      <w:pPr>
        <w:spacing w:after="0" w:line="33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75" w:lineRule="exact"/>
        <w:rPr>
          <w:sz w:val="20"/>
          <w:szCs w:val="20"/>
          <w:color w:val="auto"/>
        </w:rPr>
      </w:pPr>
    </w:p>
    <w:p>
      <w:pPr>
        <w:ind w:right="140" w:firstLine="567"/>
        <w:spacing w:after="0" w:line="282" w:lineRule="auto"/>
        <w:rPr>
          <w:sz w:val="20"/>
          <w:szCs w:val="20"/>
          <w:color w:val="auto"/>
        </w:rPr>
      </w:pPr>
      <w:r>
        <w:rPr>
          <w:rFonts w:ascii="Times New Roman" w:cs="Times New Roman" w:eastAsia="Times New Roman" w:hAnsi="Times New Roman"/>
          <w:sz w:val="18"/>
          <w:szCs w:val="18"/>
          <w:color w:val="auto"/>
        </w:rPr>
        <w:t>None, including no purchases of any class of our equity securities by us or any affiliate pursuant to any publicly announced repurchase plan in the three months ended September 30, 2022.</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Except as so indicated in Exhibit 32.1, the following exhibits are filed as part of, or incorporated by reference into, this Quarterly Report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10-Q.</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6540" w:type="dxa"/>
            <w:vAlign w:val="bottom"/>
            <w:gridSpan w:val="8"/>
          </w:tcPr>
          <w:p>
            <w:pPr>
              <w:ind w:left="1460"/>
              <w:spacing w:after="0"/>
              <w:rPr>
                <w:sz w:val="20"/>
                <w:szCs w:val="20"/>
                <w:color w:val="auto"/>
              </w:rPr>
            </w:pPr>
            <w:r>
              <w:rPr>
                <w:rFonts w:ascii="Times New Roman" w:cs="Times New Roman" w:eastAsia="Times New Roman" w:hAnsi="Times New Roman"/>
                <w:sz w:val="14"/>
                <w:szCs w:val="14"/>
                <w:b w:val="1"/>
                <w:bCs w:val="1"/>
                <w:color w:val="auto"/>
              </w:rPr>
              <w:t>Description of Documents</w:t>
            </w:r>
          </w:p>
        </w:tc>
      </w:tr>
      <w:tr>
        <w:trPr>
          <w:trHeight w:val="457"/>
        </w:trPr>
        <w:tc>
          <w:tcPr>
            <w:tcW w:w="1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440" w:type="dxa"/>
            <w:vAlign w:val="bottom"/>
            <w:tcBorders>
              <w:top w:val="single" w:sz="8" w:color="auto"/>
              <w:bottom w:val="single" w:sz="8" w:color="0000FF"/>
            </w:tcBorders>
            <w:gridSpan w:val="4"/>
          </w:tcPr>
          <w:p>
            <w:pPr>
              <w:spacing w:after="0"/>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Certificate of Incorporation of Inhale Therapeutic Systems (Delaware), Inc.</w:t>
              </w:r>
            </w:hyperlink>
          </w:p>
        </w:tc>
        <w:tc>
          <w:tcPr>
            <w:tcW w:w="22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r>
      <w:tr>
        <w:trPr>
          <w:trHeight w:val="37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60" w:type="dxa"/>
            <w:vAlign w:val="bottom"/>
            <w:gridSpan w:val="9"/>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Certificate of Amendment of the Amended Certificate of Incorporation of Inhale Therapeutic Systems, Inc.</w:t>
              </w:r>
            </w:hyperlink>
          </w:p>
        </w:tc>
      </w:tr>
      <w:tr>
        <w:trPr>
          <w:trHeight w:val="37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Certificate of Ownership and Merger of Nektar Therapeutics.</w:t>
              </w:r>
            </w:hyperlink>
          </w:p>
        </w:tc>
        <w:tc>
          <w:tcPr>
            <w:tcW w:w="3300" w:type="dxa"/>
            <w:vAlign w:val="bottom"/>
            <w:tcBorders>
              <w:top w:val="single" w:sz="8" w:color="0000FF"/>
            </w:tcBorders>
            <w:gridSpan w:val="2"/>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7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60" w:type="dxa"/>
            <w:vAlign w:val="bottom"/>
            <w:gridSpan w:val="9"/>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Certificate of Ownership and Merger of Nektar Therapeutics AL, Corporation with and into Nektar Therapeutics.</w:t>
              </w:r>
            </w:hyperlink>
          </w:p>
        </w:tc>
      </w:tr>
      <w:tr>
        <w:trPr>
          <w:trHeight w:val="37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Amended and Restated Bylaws of Nektar Therapeutics.</w:t>
              </w:r>
            </w:hyperlink>
          </w:p>
        </w:tc>
        <w:tc>
          <w:tcPr>
            <w:tcW w:w="4140" w:type="dxa"/>
            <w:vAlign w:val="bottom"/>
            <w:tcBorders>
              <w:top w:val="single" w:sz="8" w:color="0000FF"/>
            </w:tcBorders>
            <w:gridSpan w:val="6"/>
          </w:tcPr>
          <w:p>
            <w:pPr>
              <w:spacing w:after="0"/>
              <w:rPr>
                <w:sz w:val="24"/>
                <w:szCs w:val="24"/>
                <w:color w:val="auto"/>
              </w:rPr>
            </w:pPr>
          </w:p>
        </w:tc>
        <w:tc>
          <w:tcPr>
            <w:tcW w:w="400" w:type="dxa"/>
            <w:vAlign w:val="bottom"/>
          </w:tcPr>
          <w:p>
            <w:pPr>
              <w:spacing w:after="0"/>
              <w:rPr>
                <w:sz w:val="24"/>
                <w:szCs w:val="24"/>
                <w:color w:val="auto"/>
              </w:rPr>
            </w:pPr>
          </w:p>
        </w:tc>
      </w:tr>
      <w:tr>
        <w:trPr>
          <w:trHeight w:val="37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Nektar Therapeutics’ principal executive officer required by Rule 13a-14(a) or Rule 15d-14(a).</w:t>
            </w:r>
          </w:p>
        </w:tc>
        <w:tc>
          <w:tcPr>
            <w:tcW w:w="560" w:type="dxa"/>
            <w:vAlign w:val="bottom"/>
            <w:gridSpan w:val="2"/>
          </w:tcPr>
          <w:p>
            <w:pPr>
              <w:spacing w:after="0"/>
              <w:rPr>
                <w:sz w:val="24"/>
                <w:szCs w:val="24"/>
                <w:color w:val="auto"/>
              </w:rPr>
            </w:pPr>
          </w:p>
        </w:tc>
      </w:tr>
      <w:tr>
        <w:trPr>
          <w:trHeight w:val="37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Nektar Therapeutics’ principal financial officer required by Rule 13a-14(a) or Rule 15d-14(a).</w:t>
            </w:r>
          </w:p>
        </w:tc>
        <w:tc>
          <w:tcPr>
            <w:tcW w:w="620" w:type="dxa"/>
            <w:vAlign w:val="bottom"/>
            <w:gridSpan w:val="3"/>
          </w:tcPr>
          <w:p>
            <w:pPr>
              <w:spacing w:after="0"/>
              <w:rPr>
                <w:sz w:val="24"/>
                <w:szCs w:val="24"/>
                <w:color w:val="auto"/>
              </w:rPr>
            </w:pPr>
          </w:p>
        </w:tc>
      </w:tr>
      <w:tr>
        <w:trPr>
          <w:trHeight w:val="37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Section 1350 Certifications.</w:t>
            </w:r>
          </w:p>
        </w:tc>
      </w:tr>
      <w:tr>
        <w:trPr>
          <w:trHeight w:val="20"/>
        </w:trPr>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6540" w:type="dxa"/>
            <w:vAlign w:val="bottom"/>
            <w:gridSpan w:val="8"/>
          </w:tcPr>
          <w:p>
            <w:pPr>
              <w:spacing w:after="0" w:line="20" w:lineRule="exact"/>
              <w:rPr>
                <w:sz w:val="1"/>
                <w:szCs w:val="1"/>
                <w:color w:val="auto"/>
              </w:rPr>
            </w:pPr>
          </w:p>
        </w:tc>
      </w:tr>
      <w:tr>
        <w:trPr>
          <w:trHeight w:val="412"/>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101.SCH(6)</w:t>
            </w:r>
          </w:p>
        </w:tc>
        <w:tc>
          <w:tcPr>
            <w:tcW w:w="20" w:type="dxa"/>
            <w:vAlign w:val="bottom"/>
          </w:tcPr>
          <w:p>
            <w:pPr>
              <w:spacing w:after="0"/>
              <w:rPr>
                <w:sz w:val="24"/>
                <w:szCs w:val="24"/>
                <w:color w:val="auto"/>
              </w:rPr>
            </w:pPr>
          </w:p>
        </w:tc>
        <w:tc>
          <w:tcPr>
            <w:tcW w:w="8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51"/>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101.CAL(6)</w:t>
            </w:r>
          </w:p>
        </w:tc>
        <w:tc>
          <w:tcPr>
            <w:tcW w:w="20" w:type="dxa"/>
            <w:vAlign w:val="bottom"/>
          </w:tcPr>
          <w:p>
            <w:pPr>
              <w:spacing w:after="0"/>
              <w:rPr>
                <w:sz w:val="24"/>
                <w:szCs w:val="24"/>
                <w:color w:val="auto"/>
              </w:rPr>
            </w:pPr>
          </w:p>
        </w:tc>
        <w:tc>
          <w:tcPr>
            <w:tcW w:w="8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51"/>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101.LAB(6)</w:t>
            </w:r>
          </w:p>
        </w:tc>
        <w:tc>
          <w:tcPr>
            <w:tcW w:w="20" w:type="dxa"/>
            <w:vAlign w:val="bottom"/>
          </w:tcPr>
          <w:p>
            <w:pPr>
              <w:spacing w:after="0"/>
              <w:rPr>
                <w:sz w:val="24"/>
                <w:szCs w:val="24"/>
                <w:color w:val="auto"/>
              </w:rPr>
            </w:pPr>
          </w:p>
        </w:tc>
        <w:tc>
          <w:tcPr>
            <w:tcW w:w="8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51"/>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101.PRE(6)</w:t>
            </w:r>
          </w:p>
        </w:tc>
        <w:tc>
          <w:tcPr>
            <w:tcW w:w="20" w:type="dxa"/>
            <w:vAlign w:val="bottom"/>
          </w:tcPr>
          <w:p>
            <w:pPr>
              <w:spacing w:after="0"/>
              <w:rPr>
                <w:sz w:val="24"/>
                <w:szCs w:val="24"/>
                <w:color w:val="auto"/>
              </w:rPr>
            </w:pPr>
          </w:p>
        </w:tc>
        <w:tc>
          <w:tcPr>
            <w:tcW w:w="8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51"/>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101.DEF(6)</w:t>
            </w:r>
          </w:p>
        </w:tc>
        <w:tc>
          <w:tcPr>
            <w:tcW w:w="20" w:type="dxa"/>
            <w:vAlign w:val="bottom"/>
          </w:tcPr>
          <w:p>
            <w:pPr>
              <w:spacing w:after="0"/>
              <w:rPr>
                <w:sz w:val="24"/>
                <w:szCs w:val="24"/>
                <w:color w:val="auto"/>
              </w:rPr>
            </w:pPr>
          </w:p>
        </w:tc>
        <w:tc>
          <w:tcPr>
            <w:tcW w:w="8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97"/>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w:t>
            </w:r>
          </w:p>
        </w:tc>
      </w:tr>
      <w:tr>
        <w:trPr>
          <w:trHeight w:val="234"/>
        </w:trPr>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contained in Exhibits 101).</w:t>
            </w:r>
          </w:p>
        </w:tc>
      </w:tr>
    </w:tbl>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12" w:lineRule="exact"/>
        <w:rPr>
          <w:sz w:val="20"/>
          <w:szCs w:val="20"/>
          <w:color w:val="auto"/>
        </w:rPr>
      </w:pPr>
    </w:p>
    <w:p>
      <w:pPr>
        <w:ind w:right="2280" w:firstLine="8"/>
        <w:spacing w:after="0" w:line="230" w:lineRule="auto"/>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Nektar Therapeutics’ Quarterly Report on Form 10-Q, for the quarter ended June 30, 1998.</w:t>
      </w:r>
    </w:p>
    <w:p>
      <w:pPr>
        <w:spacing w:after="0" w:line="1" w:lineRule="exact"/>
        <w:rPr>
          <w:rFonts w:ascii="Times New Roman" w:cs="Times New Roman" w:eastAsia="Times New Roman" w:hAnsi="Times New Roman"/>
          <w:sz w:val="18"/>
          <w:szCs w:val="18"/>
          <w:color w:val="auto"/>
        </w:rPr>
      </w:pPr>
    </w:p>
    <w:p>
      <w:pPr>
        <w:ind w:right="2280" w:firstLine="8"/>
        <w:spacing w:after="0" w:line="211" w:lineRule="auto"/>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3.3 to Nektar Therapeutics’ Quarterly Report on Form 10-Q, for the quarter ended June 30, 2000.</w:t>
      </w:r>
    </w:p>
    <w:p>
      <w:pPr>
        <w:ind w:right="2620" w:firstLine="8"/>
        <w:spacing w:after="0" w:line="219"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Nektar Therapeutics’ Current Report on Form 8-K, filed with the SEC on January 23, 2003.</w:t>
      </w:r>
    </w:p>
    <w:p>
      <w:pPr>
        <w:ind w:right="2640" w:firstLine="8"/>
        <w:spacing w:after="0" w:line="211" w:lineRule="auto"/>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3.6 to Nektar Therapeutics’ Annual Report on Form 10-K, for the year ended December 31, 2009.</w:t>
      </w:r>
    </w:p>
    <w:p>
      <w:pPr>
        <w:ind w:right="2440" w:firstLine="8"/>
        <w:spacing w:after="0" w:line="219" w:lineRule="auto"/>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Nektar Therapeutics’ Current Report on Form 8-K, filed with the SEC on December 21, 2020.</w:t>
      </w: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5" w:lineRule="exact"/>
        <w:rPr>
          <w:sz w:val="20"/>
          <w:szCs w:val="20"/>
          <w:color w:val="auto"/>
        </w:rPr>
      </w:pPr>
    </w:p>
    <w:p>
      <w:pPr>
        <w:ind w:left="660" w:hanging="652"/>
        <w:spacing w:after="0" w:line="266" w:lineRule="auto"/>
        <w:tabs>
          <w:tab w:leader="none" w:pos="28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20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972"/>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4900"/>
        <w:spacing w:after="0"/>
        <w:tabs>
          <w:tab w:leader="none" w:pos="5420" w:val="left"/>
        </w:tabs>
        <w:rPr>
          <w:sz w:val="20"/>
          <w:szCs w:val="20"/>
          <w:color w:val="auto"/>
        </w:rPr>
      </w:pPr>
      <w:r>
        <w:rPr>
          <w:rFonts w:ascii="Times New Roman" w:cs="Times New Roman" w:eastAsia="Times New Roman" w:hAnsi="Times New Roman"/>
          <w:sz w:val="18"/>
          <w:szCs w:val="18"/>
          <w:color w:val="auto"/>
        </w:rPr>
        <w:t>By:</w:t>
        <w:tab/>
        <w:t>/s/ JILLIAN B. THOMSEN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17145</wp:posOffset>
            </wp:positionV>
            <wp:extent cx="36944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Jillian B. Thomsen</w:t>
      </w:r>
    </w:p>
    <w:p>
      <w:pPr>
        <w:ind w:left="5440"/>
        <w:spacing w:after="0"/>
        <w:rPr>
          <w:sz w:val="20"/>
          <w:szCs w:val="20"/>
          <w:color w:val="auto"/>
        </w:rPr>
      </w:pPr>
      <w:r>
        <w:rPr>
          <w:rFonts w:ascii="Times New Roman" w:cs="Times New Roman" w:eastAsia="Times New Roman" w:hAnsi="Times New Roman"/>
          <w:sz w:val="18"/>
          <w:szCs w:val="18"/>
          <w:b w:val="1"/>
          <w:bCs w:val="1"/>
          <w:color w:val="auto"/>
        </w:rPr>
        <w:t>Senior Vice President, Chief Financial Officer</w:t>
      </w:r>
    </w:p>
    <w:p>
      <w:pPr>
        <w:spacing w:after="0" w:line="1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Date: November 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80"/>
          </w:cols>
          <w:pgMar w:left="320" w:top="121" w:right="59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Howard W. Robin, certify that:</w:t>
      </w:r>
    </w:p>
    <w:p>
      <w:pPr>
        <w:spacing w:after="0" w:line="117" w:lineRule="exact"/>
        <w:rPr>
          <w:sz w:val="20"/>
          <w:szCs w:val="20"/>
          <w:color w:val="auto"/>
        </w:rPr>
      </w:pPr>
    </w:p>
    <w:p>
      <w:pPr>
        <w:ind w:left="820" w:hanging="812"/>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2022 of Nektar Therapeutics;</w:t>
      </w:r>
    </w:p>
    <w:p>
      <w:pPr>
        <w:spacing w:after="0" w:line="117" w:lineRule="exact"/>
        <w:rPr>
          <w:rFonts w:ascii="Times New Roman" w:cs="Times New Roman" w:eastAsia="Times New Roman" w:hAnsi="Times New Roman"/>
          <w:sz w:val="18"/>
          <w:szCs w:val="18"/>
          <w:color w:val="auto"/>
        </w:rPr>
      </w:pPr>
    </w:p>
    <w:p>
      <w:pPr>
        <w:ind w:left="820" w:right="20" w:hanging="812"/>
        <w:spacing w:after="0" w:line="266" w:lineRule="auto"/>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820" w:right="220" w:hanging="812"/>
        <w:spacing w:after="0" w:line="282" w:lineRule="auto"/>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820" w:right="140" w:hanging="812"/>
        <w:spacing w:after="0" w:line="276" w:lineRule="auto"/>
        <w:tabs>
          <w:tab w:leader="none" w:pos="8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460" w:right="180" w:hanging="642"/>
        <w:spacing w:after="0" w:line="266" w:lineRule="auto"/>
        <w:tabs>
          <w:tab w:leader="none" w:pos="145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460" w:right="260" w:hanging="642"/>
        <w:spacing w:after="0" w:line="266" w:lineRule="auto"/>
        <w:tabs>
          <w:tab w:leader="none" w:pos="14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460" w:right="40" w:hanging="642"/>
        <w:spacing w:after="0" w:line="282" w:lineRule="auto"/>
        <w:tabs>
          <w:tab w:leader="none" w:pos="145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460" w:right="60" w:hanging="642"/>
        <w:spacing w:after="0" w:line="266" w:lineRule="auto"/>
        <w:tabs>
          <w:tab w:leader="none" w:pos="14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820" w:right="100" w:hanging="812"/>
        <w:spacing w:after="0" w:line="312" w:lineRule="auto"/>
        <w:tabs>
          <w:tab w:leader="none" w:pos="8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460" w:right="300" w:hanging="642"/>
        <w:spacing w:after="0" w:line="282" w:lineRule="auto"/>
        <w:tabs>
          <w:tab w:leader="none" w:pos="145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460" w:right="580" w:hanging="642"/>
        <w:spacing w:after="0" w:line="273" w:lineRule="auto"/>
        <w:tabs>
          <w:tab w:leader="none" w:pos="14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1480"/>
        <w:spacing w:after="0"/>
        <w:tabs>
          <w:tab w:leader="none" w:pos="5700" w:val="left"/>
        </w:tabs>
        <w:rPr>
          <w:sz w:val="20"/>
          <w:szCs w:val="20"/>
          <w:color w:val="auto"/>
        </w:rPr>
      </w:pPr>
      <w:r>
        <w:rPr>
          <w:rFonts w:ascii="Times New Roman" w:cs="Times New Roman" w:eastAsia="Times New Roman" w:hAnsi="Times New Roman"/>
          <w:sz w:val="18"/>
          <w:szCs w:val="18"/>
          <w:color w:val="auto"/>
        </w:rPr>
        <w:t>Date: November 4, 2022</w:t>
      </w:r>
      <w:r>
        <w:rPr>
          <w:sz w:val="20"/>
          <w:szCs w:val="20"/>
          <w:color w:val="auto"/>
        </w:rPr>
        <w:tab/>
      </w:r>
      <w:r>
        <w:rPr>
          <w:rFonts w:ascii="Times New Roman" w:cs="Times New Roman" w:eastAsia="Times New Roman" w:hAnsi="Times New Roman"/>
          <w:sz w:val="17"/>
          <w:szCs w:val="17"/>
          <w:color w:val="auto"/>
        </w:rPr>
        <w:t>/s/ HOWARD W. ROBIN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17145</wp:posOffset>
            </wp:positionV>
            <wp:extent cx="26403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Howard W. Robin</w:t>
      </w:r>
    </w:p>
    <w:p>
      <w:pPr>
        <w:ind w:left="5720"/>
        <w:spacing w:after="0"/>
        <w:rPr>
          <w:sz w:val="20"/>
          <w:szCs w:val="20"/>
          <w:color w:val="auto"/>
        </w:rPr>
      </w:pPr>
      <w:r>
        <w:rPr>
          <w:rFonts w:ascii="Times New Roman" w:cs="Times New Roman" w:eastAsia="Times New Roman" w:hAnsi="Times New Roman"/>
          <w:sz w:val="18"/>
          <w:szCs w:val="18"/>
          <w:b w:val="1"/>
          <w:bCs w:val="1"/>
          <w:color w:val="auto"/>
        </w:rPr>
        <w:t>Chief Executive Officer, President and Director</w:t>
      </w:r>
    </w:p>
    <w:p>
      <w:pPr>
        <w:sectPr>
          <w:pgSz w:w="11900" w:h="16838" w:orient="portrait"/>
          <w:cols w:equalWidth="0" w:num="1">
            <w:col w:w="11240"/>
          </w:cols>
          <w:pgMar w:left="320" w:top="887"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Jillian B. Thomsen, certify that:</w:t>
      </w:r>
    </w:p>
    <w:p>
      <w:pPr>
        <w:spacing w:after="0" w:line="99" w:lineRule="exact"/>
        <w:rPr>
          <w:sz w:val="20"/>
          <w:szCs w:val="20"/>
          <w:color w:val="auto"/>
        </w:rPr>
      </w:pPr>
    </w:p>
    <w:p>
      <w:pPr>
        <w:ind w:left="820" w:hanging="812"/>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2022 of Nektar Therapeutics;</w:t>
      </w:r>
    </w:p>
    <w:p>
      <w:pPr>
        <w:spacing w:after="0" w:line="117" w:lineRule="exact"/>
        <w:rPr>
          <w:rFonts w:ascii="Times New Roman" w:cs="Times New Roman" w:eastAsia="Times New Roman" w:hAnsi="Times New Roman"/>
          <w:sz w:val="18"/>
          <w:szCs w:val="18"/>
          <w:color w:val="auto"/>
        </w:rPr>
      </w:pPr>
    </w:p>
    <w:p>
      <w:pPr>
        <w:ind w:left="820" w:right="20" w:hanging="812"/>
        <w:spacing w:after="0" w:line="266" w:lineRule="auto"/>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820" w:right="220" w:hanging="812"/>
        <w:spacing w:after="0" w:line="282" w:lineRule="auto"/>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820" w:right="140" w:hanging="812"/>
        <w:spacing w:after="0" w:line="276" w:lineRule="auto"/>
        <w:tabs>
          <w:tab w:leader="none" w:pos="8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460" w:right="180" w:hanging="642"/>
        <w:spacing w:after="0" w:line="266" w:lineRule="auto"/>
        <w:tabs>
          <w:tab w:leader="none" w:pos="145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460" w:right="260" w:hanging="642"/>
        <w:spacing w:after="0" w:line="266" w:lineRule="auto"/>
        <w:tabs>
          <w:tab w:leader="none" w:pos="14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460" w:right="40" w:hanging="642"/>
        <w:spacing w:after="0" w:line="282" w:lineRule="auto"/>
        <w:tabs>
          <w:tab w:leader="none" w:pos="145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460" w:right="60" w:hanging="642"/>
        <w:spacing w:after="0" w:line="266" w:lineRule="auto"/>
        <w:tabs>
          <w:tab w:leader="none" w:pos="14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820" w:right="100" w:hanging="812"/>
        <w:spacing w:after="0" w:line="312" w:lineRule="auto"/>
        <w:tabs>
          <w:tab w:leader="none" w:pos="8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460" w:right="300" w:hanging="642"/>
        <w:spacing w:after="0" w:line="282" w:lineRule="auto"/>
        <w:tabs>
          <w:tab w:leader="none" w:pos="145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460" w:right="580" w:hanging="642"/>
        <w:spacing w:after="0" w:line="273" w:lineRule="auto"/>
        <w:tabs>
          <w:tab w:leader="none" w:pos="14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1480"/>
        <w:spacing w:after="0"/>
        <w:tabs>
          <w:tab w:leader="none" w:pos="5880" w:val="left"/>
        </w:tabs>
        <w:rPr>
          <w:sz w:val="20"/>
          <w:szCs w:val="20"/>
          <w:color w:val="auto"/>
        </w:rPr>
      </w:pPr>
      <w:r>
        <w:rPr>
          <w:rFonts w:ascii="Times New Roman" w:cs="Times New Roman" w:eastAsia="Times New Roman" w:hAnsi="Times New Roman"/>
          <w:sz w:val="18"/>
          <w:szCs w:val="18"/>
          <w:color w:val="auto"/>
        </w:rPr>
        <w:t>Date: November 4, 2022</w:t>
      </w:r>
      <w:r>
        <w:rPr>
          <w:sz w:val="20"/>
          <w:szCs w:val="20"/>
          <w:color w:val="auto"/>
        </w:rPr>
        <w:tab/>
      </w:r>
      <w:r>
        <w:rPr>
          <w:rFonts w:ascii="Times New Roman" w:cs="Times New Roman" w:eastAsia="Times New Roman" w:hAnsi="Times New Roman"/>
          <w:sz w:val="17"/>
          <w:szCs w:val="17"/>
          <w:color w:val="auto"/>
        </w:rPr>
        <w:t>/s/ JILLIAN B. THOMSEN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17145</wp:posOffset>
            </wp:positionV>
            <wp:extent cx="268287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b w:val="1"/>
          <w:bCs w:val="1"/>
          <w:color w:val="auto"/>
        </w:rPr>
        <w:t>Jillian B. Thomsen</w:t>
      </w:r>
    </w:p>
    <w:p>
      <w:pPr>
        <w:ind w:left="5900"/>
        <w:spacing w:after="0"/>
        <w:rPr>
          <w:sz w:val="20"/>
          <w:szCs w:val="20"/>
          <w:color w:val="auto"/>
        </w:rPr>
      </w:pPr>
      <w:r>
        <w:rPr>
          <w:rFonts w:ascii="Times New Roman" w:cs="Times New Roman" w:eastAsia="Times New Roman" w:hAnsi="Times New Roman"/>
          <w:sz w:val="18"/>
          <w:szCs w:val="18"/>
          <w:b w:val="1"/>
          <w:bCs w:val="1"/>
          <w:color w:val="auto"/>
        </w:rPr>
        <w:t>Senior Vice President, Chief Financial Officer</w:t>
      </w:r>
    </w:p>
    <w:p>
      <w:pPr>
        <w:sectPr>
          <w:pgSz w:w="11900" w:h="16838" w:orient="portrait"/>
          <w:cols w:equalWidth="0" w:num="1">
            <w:col w:w="11240"/>
          </w:cols>
          <w:pgMar w:left="320" w:top="88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Howard W. Robin, Chief Executive Officer, President and Director of Nektar Therapeutics (the “Company”), and Jillian B. Thomsen, Senior Vice President, Chief Financial Officer of the Company, each hereby certifies that, to the best of his or her knowledge:</w:t>
      </w:r>
    </w:p>
    <w:p>
      <w:pPr>
        <w:spacing w:after="0" w:line="72" w:lineRule="exact"/>
        <w:rPr>
          <w:sz w:val="20"/>
          <w:szCs w:val="20"/>
          <w:color w:val="auto"/>
        </w:rPr>
      </w:pPr>
    </w:p>
    <w:p>
      <w:pPr>
        <w:ind w:left="820" w:right="500" w:hanging="812"/>
        <w:spacing w:after="0" w:line="282" w:lineRule="auto"/>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three months ended September 30, 2022, to which this Certification is attached as Exhibit 32.1 (the “Periodic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color w:val="auto"/>
        </w:rPr>
      </w:pPr>
    </w:p>
    <w:p>
      <w:pPr>
        <w:ind w:left="820" w:right="120" w:hanging="812"/>
        <w:spacing w:after="0" w:line="273" w:lineRule="auto"/>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November 4, 2022</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HOWARD W. ROBIN</w:t>
            </w: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JILLIAN B. THOMSEN</w:t>
            </w:r>
          </w:p>
        </w:tc>
      </w:tr>
      <w:tr>
        <w:trPr>
          <w:trHeight w:val="27"/>
        </w:trPr>
        <w:tc>
          <w:tcPr>
            <w:tcW w:w="820" w:type="dxa"/>
            <w:vAlign w:val="bottom"/>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14"/>
        </w:trPr>
        <w:tc>
          <w:tcPr>
            <w:tcW w:w="820" w:type="dxa"/>
            <w:vAlign w:val="bottom"/>
          </w:tcPr>
          <w:p>
            <w:pPr>
              <w:spacing w:after="0"/>
              <w:rPr>
                <w:sz w:val="18"/>
                <w:szCs w:val="18"/>
                <w:color w:val="auto"/>
              </w:rPr>
            </w:pPr>
          </w:p>
        </w:tc>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Howard W. Robin</w:t>
            </w: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Jillian B. Thomsen</w:t>
            </w:r>
          </w:p>
        </w:tc>
      </w:tr>
      <w:tr>
        <w:trPr>
          <w:trHeight w:val="238"/>
        </w:trPr>
        <w:tc>
          <w:tcPr>
            <w:tcW w:w="820" w:type="dxa"/>
            <w:vAlign w:val="bottom"/>
          </w:tcPr>
          <w:p>
            <w:pPr>
              <w:spacing w:after="0"/>
              <w:rPr>
                <w:sz w:val="20"/>
                <w:szCs w:val="20"/>
                <w:color w:val="auto"/>
              </w:rPr>
            </w:pPr>
          </w:p>
        </w:tc>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Chief Executive Officer, President and Director</w:t>
            </w: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Senior Vice President, Chief Financial Officer</w:t>
            </w:r>
          </w:p>
        </w:tc>
      </w:tr>
      <w:tr>
        <w:trPr>
          <w:trHeight w:val="245"/>
        </w:trPr>
        <w:tc>
          <w:tcPr>
            <w:tcW w:w="5020" w:type="dxa"/>
            <w:vAlign w:val="bottom"/>
            <w:gridSpan w:val="2"/>
          </w:tcPr>
          <w:p>
            <w:pPr>
              <w:jc w:val="right"/>
              <w:ind w:right="2590"/>
              <w:spacing w:after="0"/>
              <w:rPr>
                <w:sz w:val="20"/>
                <w:szCs w:val="20"/>
                <w:color w:val="auto"/>
              </w:rPr>
            </w:pPr>
            <w:r>
              <w:rPr>
                <w:rFonts w:ascii="Times New Roman" w:cs="Times New Roman" w:eastAsia="Times New Roman" w:hAnsi="Times New Roman"/>
                <w:sz w:val="11"/>
                <w:szCs w:val="11"/>
                <w:b w:val="1"/>
                <w:bCs w:val="1"/>
                <w:color w:val="auto"/>
                <w:w w:val="98"/>
              </w:rPr>
              <w:t>___________________________________________</w:t>
            </w:r>
          </w:p>
        </w:tc>
        <w:tc>
          <w:tcPr>
            <w:tcW w:w="1760" w:type="dxa"/>
            <w:vAlign w:val="bottom"/>
          </w:tcPr>
          <w:p>
            <w:pPr>
              <w:spacing w:after="0"/>
              <w:rPr>
                <w:sz w:val="21"/>
                <w:szCs w:val="21"/>
                <w:color w:val="auto"/>
              </w:rPr>
            </w:pPr>
          </w:p>
        </w:tc>
        <w:tc>
          <w:tcPr>
            <w:tcW w:w="4440" w:type="dxa"/>
            <w:vAlign w:val="bottom"/>
          </w:tcPr>
          <w:p>
            <w:pPr>
              <w:spacing w:after="0"/>
              <w:rPr>
                <w:sz w:val="21"/>
                <w:szCs w:val="21"/>
                <w:color w:val="auto"/>
              </w:rPr>
            </w:pPr>
          </w:p>
        </w:tc>
      </w:tr>
    </w:tbl>
    <w:p>
      <w:pPr>
        <w:ind w:left="820" w:right="20" w:hanging="812"/>
        <w:spacing w:after="0" w:line="253" w:lineRule="auto"/>
        <w:tabs>
          <w:tab w:leader="none" w:pos="27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lvl w:ilvl="1">
      <w:lvlJc w:val="left"/>
      <w:lvlText w:val="◦"/>
      <w:numFmt w:val="bullet"/>
      <w:start w:val="1"/>
    </w:lvl>
  </w:abstractNum>
  <w:abstractNum w:abstractNumId="3">
    <w:nsid w:val="41A7C4C9"/>
    <w:multiLevelType w:val="hybridMultilevel"/>
    <w:lvl w:ilvl="0">
      <w:lvlJc w:val="left"/>
      <w:lvlText w:val="•"/>
      <w:numFmt w:val="bullet"/>
      <w:start w:val="1"/>
    </w:lvl>
    <w:lvl w:ilvl="1">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83" Type="http://schemas.openxmlformats.org/officeDocument/2006/relationships/hyperlink" Target="https://www.sec.gov/Archives/edgar/data/906709/0001047469-98-031070.txt" TargetMode="External"/><Relationship Id="rId84" Type="http://schemas.openxmlformats.org/officeDocument/2006/relationships/hyperlink" Target="https://www.sec.gov/Archives/edgar/data/906709/000091205700037283/ex-3_3.txt" TargetMode="External"/><Relationship Id="rId85" Type="http://schemas.openxmlformats.org/officeDocument/2006/relationships/hyperlink" Target="https://www.sec.gov/Archives/edgar/data/906709/000104746903002325/a2101294zex-3_1.htm" TargetMode="External"/><Relationship Id="rId86" Type="http://schemas.openxmlformats.org/officeDocument/2006/relationships/hyperlink" Target="https://www.sec.gov/Archives/edgar/data/906709/000114420410011093/v176023_ex3-6.htm" TargetMode="External"/><Relationship Id="rId87" Type="http://schemas.openxmlformats.org/officeDocument/2006/relationships/hyperlink" Target="https://www.sec.gov/Archives/edgar/data/906709/000121390020043821/ea132008ex3-1_nektarthera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2022-11-04T14:16:59Z</dcterms:created>
  <dcterms:modified xsi:type="dcterms:W3CDTF">2022-11-04T14:16:59Z</dcterms:modified>
</cp:coreProperties>
</file>