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nktr-20260630.htm"/>
        <w:bookmarkStart w:id="1" w:name="ksnktr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REPORTS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0-24006</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6"/>
        </w:rPr>
        <w:t>NEKTAR THERAPEUTICS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94-3134940</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455 Mission Bay Boulevard South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San Francisco, California</w:t>
      </w:r>
      <w:r>
        <w:rPr>
          <w:rFonts w:ascii="Times New Roman" w:hAnsi="Times New Roman"/>
          <w:color w:val="000000"/>
          <w:sz w:val="20"/>
        </w:rPr>
        <w:t xml:space="preserve"> </w:t>
      </w:r>
      <w:r>
        <w:rPr>
          <w:rFonts w:ascii="Times New Roman" w:hAnsi="Times New Roman"/>
          <w:b/>
          <w:color w:val="000000"/>
          <w:sz w:val="18"/>
        </w:rPr>
        <w:t>94158</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60" w:after="283"/>
        <w:jc w:val="center"/>
        <w:rPr>
          <w:rFonts w:ascii="Times New Roman" w:hAnsi="Times New Roman"/>
          <w:sz w:val="20"/>
        </w:rPr>
      </w:pPr>
      <w:r>
        <w:rPr>
          <w:rFonts w:ascii="Times New Roman" w:hAnsi="Times New Roman"/>
          <w:b/>
          <w:color w:val="000000"/>
          <w:sz w:val="18"/>
        </w:rPr>
        <w:t>415-482-5300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tbl>
      <w:tblPr>
        <w:tblW w:w="7608" w:type="dxa"/>
        <w:jc w:val="left"/>
        <w:tblInd w:w="0" w:type="dxa"/>
        <w:tblLayout w:type="fixed"/>
        <w:tblCellMar>
          <w:top w:w="28" w:type="dxa"/>
          <w:left w:w="28" w:type="dxa"/>
          <w:bottom w:w="28" w:type="dxa"/>
          <w:right w:w="28" w:type="dxa"/>
        </w:tblCellMar>
      </w:tblPr>
      <w:tblGrid>
        <w:gridCol w:w="2596"/>
        <w:gridCol w:w="1531"/>
        <w:gridCol w:w="3481"/>
      </w:tblGrid>
      <w:tr>
        <w:trPr/>
        <w:tc>
          <w:tcPr>
            <w:tcW w:w="259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760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c>
      </w:tr>
      <w:tr>
        <w:trPr/>
        <w:tc>
          <w:tcPr>
            <w:tcW w:w="259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9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w:t>
            </w:r>
          </w:p>
        </w:tc>
        <w:tc>
          <w:tcPr>
            <w:tcW w:w="15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NKTR</w:t>
            </w:r>
          </w:p>
        </w:tc>
        <w:tc>
          <w:tcPr>
            <w:tcW w:w="3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Wingdings;serif" w:hAnsi="Wingdings;serif"/>
          <w:color w:val="000000"/>
          <w:sz w:val="18"/>
        </w:rPr>
        <w:t>x</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Wingdings;serif" w:hAnsi="Wingdings;serif"/>
          <w:color w:val="000000"/>
          <w:sz w:val="18"/>
        </w:rPr>
        <w:t>x</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number of outstanding shares of the registrant’s Common Stock, $0.0001 par value, was 34,142,994 on August 7, 2026.</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14"/>
        <w:gridCol w:w="8849"/>
        <w:gridCol w:w="542"/>
      </w:tblGrid>
      <w:tr>
        <w:trPr/>
        <w:tc>
          <w:tcPr>
            <w:tcW w:w="814" w:type="dxa"/>
            <w:tcBorders/>
            <w:vAlign w:val="center"/>
          </w:tcPr>
          <w:p>
            <w:pPr>
              <w:pStyle w:val="TableContents"/>
              <w:bidi w:val="0"/>
              <w:spacing w:before="0" w:after="283"/>
              <w:jc w:val="left"/>
              <w:rPr>
                <w:sz w:val="4"/>
                <w:szCs w:val="4"/>
              </w:rPr>
            </w:pPr>
            <w:r>
              <w:rPr>
                <w:sz w:val="4"/>
                <w:szCs w:val="4"/>
              </w:rPr>
            </w:r>
          </w:p>
        </w:tc>
        <w:tc>
          <w:tcPr>
            <w:tcW w:w="884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summary_of_risks">
              <w:r>
                <w:rPr>
                  <w:rStyle w:val="InternetLink"/>
                  <w:rFonts w:ascii="Times New Roman" w:hAnsi="Times New Roman"/>
                  <w:color w:val="0000FF"/>
                  <w:sz w:val="20"/>
                  <w:u w:val="single"/>
                </w:rPr>
                <w:t>Summary of Risks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4</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8849"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75" w:after="30"/>
              <w:jc w:val="center"/>
              <w:rPr/>
            </w:pPr>
            <w:hyperlink w:anchor="part_i">
              <w:r>
                <w:rPr>
                  <w:rStyle w:val="InternetLink"/>
                  <w:rFonts w:ascii="Times New Roman" w:hAnsi="Times New Roman"/>
                  <w:b/>
                  <w:color w:val="0000FF"/>
                  <w:sz w:val="20"/>
                  <w:u w:val="single"/>
                </w:rPr>
                <w:t>PART I: FINANCIAL INFORMATION</w:t>
              </w:r>
            </w:hyperlink>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condensed_consolidated_fin_stat">
              <w:r>
                <w:rPr>
                  <w:rStyle w:val="InternetLink"/>
                  <w:rFonts w:ascii="Times New Roman" w:hAnsi="Times New Roman"/>
                  <w:color w:val="0000FF"/>
                  <w:sz w:val="20"/>
                  <w:u w:val="single"/>
                </w:rPr>
                <w:t>Item 1.</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condensed_consolidated_fin_stat">
              <w:r>
                <w:rPr>
                  <w:rStyle w:val="InternetLink"/>
                  <w:rFonts w:ascii="Times New Roman" w:hAnsi="Times New Roman"/>
                  <w:color w:val="0000FF"/>
                  <w:sz w:val="20"/>
                  <w:u w:val="single"/>
                </w:rPr>
                <w:t>Condensed Consolidated Financial Statements — Unaudited:</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w:t>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balance_sheets">
              <w:r>
                <w:rPr>
                  <w:rStyle w:val="InternetLink"/>
                  <w:rFonts w:ascii="Times New Roman" w:hAnsi="Times New Roman"/>
                  <w:color w:val="0000FF"/>
                  <w:sz w:val="20"/>
                  <w:u w:val="single"/>
                </w:rPr>
                <w:t>Condensed Consolidated Balance Sheets — June 30, 2026 and December 31, 2025</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w:t>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statements_of_operation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7</w:t>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comprehensive_loss">
              <w:r>
                <w:rPr>
                  <w:rStyle w:val="InternetLink"/>
                  <w:rFonts w:ascii="Times New Roman" w:hAnsi="Times New Roman"/>
                  <w:color w:val="0000FF"/>
                  <w:sz w:val="20"/>
                  <w:u w:val="single"/>
                </w:rPr>
                <w:t>Condensed Consolidated Statements of Comprehensive Loss for the</w:t>
              </w:r>
            </w:hyperlink>
            <w:hyperlink w:anchor="comprehensive_loss">
              <w:r>
                <w:rPr>
                  <w:rStyle w:val="InternetLink"/>
                  <w:rFonts w:ascii="Times New Roman" w:hAnsi="Times New Roman"/>
                  <w:color w:val="0000FF"/>
                  <w:sz w:val="20"/>
                </w:rPr>
                <w:t xml:space="preserve"> </w:t>
              </w:r>
            </w:hyperlink>
            <w:hyperlink w:anchor="statements_of_operations">
              <w:r>
                <w:rPr>
                  <w:rStyle w:val="InternetLink"/>
                  <w:rFonts w:ascii="Times New Roman" w:hAnsi="Times New Roman"/>
                  <w:color w:val="0000FF"/>
                  <w:sz w:val="20"/>
                  <w:u w:val="single"/>
                </w:rPr>
                <w:t>three and six months ended June 30, 2026 and 2025</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8</w:t>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stockholders_equity">
              <w:r>
                <w:rPr>
                  <w:rStyle w:val="InternetLink"/>
                  <w:rFonts w:ascii="Times New Roman" w:hAnsi="Times New Roman"/>
                  <w:color w:val="0000FF"/>
                  <w:sz w:val="20"/>
                  <w:u w:val="single"/>
                </w:rPr>
                <w:t>Condensed Consolidated Statements of Stockholders’ Equity (Deficit) for the</w:t>
              </w:r>
            </w:hyperlink>
            <w:hyperlink w:anchor="stockholders_equity">
              <w:r>
                <w:rPr>
                  <w:rStyle w:val="InternetLink"/>
                  <w:rFonts w:ascii="Times New Roman" w:hAnsi="Times New Roman"/>
                  <w:color w:val="0000FF"/>
                  <w:sz w:val="20"/>
                </w:rPr>
                <w:t xml:space="preserve"> </w:t>
              </w:r>
            </w:hyperlink>
            <w:hyperlink w:anchor="statements_of_operations">
              <w:r>
                <w:rPr>
                  <w:rStyle w:val="InternetLink"/>
                  <w:rFonts w:ascii="Times New Roman" w:hAnsi="Times New Roman"/>
                  <w:color w:val="0000FF"/>
                  <w:sz w:val="20"/>
                  <w:u w:val="single"/>
                </w:rPr>
                <w:t>three and six months ended June 30, 2026 and 2025</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9</w:t>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cash_flows">
              <w:r>
                <w:rPr>
                  <w:rStyle w:val="InternetLink"/>
                  <w:rFonts w:ascii="Times New Roman" w:hAnsi="Times New Roman"/>
                  <w:color w:val="0000FF"/>
                  <w:sz w:val="20"/>
                  <w:u w:val="single"/>
                </w:rPr>
                <w:t>Condensed Consolidated Statements of Cash Flows for the</w:t>
              </w:r>
            </w:hyperlink>
            <w:hyperlink w:anchor="cash_flows">
              <w:r>
                <w:rPr>
                  <w:rStyle w:val="InternetLink"/>
                  <w:rFonts w:ascii="Times New Roman" w:hAnsi="Times New Roman"/>
                  <w:color w:val="0000FF"/>
                  <w:sz w:val="20"/>
                </w:rPr>
                <w:t xml:space="preserve"> </w:t>
              </w:r>
            </w:hyperlink>
            <w:hyperlink w:anchor="statements_of_operations">
              <w:r>
                <w:rPr>
                  <w:rStyle w:val="InternetLink"/>
                  <w:rFonts w:ascii="Times New Roman" w:hAnsi="Times New Roman"/>
                  <w:color w:val="0000FF"/>
                  <w:sz w:val="20"/>
                  <w:u w:val="single"/>
                </w:rPr>
                <w:t>six months ended June 30, 2026 and 2025</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11</w:t>
            </w:r>
          </w:p>
        </w:tc>
      </w:tr>
      <w:tr>
        <w:trPr/>
        <w:tc>
          <w:tcPr>
            <w:tcW w:w="81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notes_to_condensed_consolidated_fin_st">
              <w:r>
                <w:rPr>
                  <w:rStyle w:val="InternetLink"/>
                  <w:rFonts w:ascii="Times New Roman" w:hAnsi="Times New Roman"/>
                  <w:color w:val="0000FF"/>
                  <w:sz w:val="20"/>
                  <w:u w:val="single"/>
                </w:rPr>
                <w:t>Notes to Condensed Consolidated Financial Statements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12</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mda">
              <w:r>
                <w:rPr>
                  <w:rStyle w:val="InternetLink"/>
                  <w:rFonts w:ascii="Times New Roman" w:hAnsi="Times New Roman"/>
                  <w:color w:val="0000FF"/>
                  <w:sz w:val="20"/>
                  <w:u w:val="single"/>
                </w:rPr>
                <w:t>Item 2.</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23</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
              <w:r>
                <w:rPr>
                  <w:rStyle w:val="InternetLink"/>
                  <w:rFonts w:ascii="Times New Roman" w:hAnsi="Times New Roman"/>
                  <w:color w:val="0000FF"/>
                  <w:sz w:val="20"/>
                  <w:u w:val="single"/>
                </w:rPr>
                <w:t>Item 3.</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34</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
              <w:r>
                <w:rPr>
                  <w:rStyle w:val="InternetLink"/>
                  <w:rFonts w:ascii="Times New Roman" w:hAnsi="Times New Roman"/>
                  <w:color w:val="0000FF"/>
                  <w:sz w:val="20"/>
                  <w:u w:val="single"/>
                </w:rPr>
                <w:t>Item 4.</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34</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8849"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75" w:after="30"/>
              <w:jc w:val="center"/>
              <w:rPr/>
            </w:pPr>
            <w:hyperlink w:anchor="part_ii">
              <w:r>
                <w:rPr>
                  <w:rStyle w:val="InternetLink"/>
                  <w:rFonts w:ascii="Times New Roman" w:hAnsi="Times New Roman"/>
                  <w:b/>
                  <w:color w:val="0000FF"/>
                  <w:sz w:val="20"/>
                  <w:u w:val="single"/>
                </w:rPr>
                <w:t>PART II: OTHER INFORMATION</w:t>
              </w:r>
            </w:hyperlink>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legal_proceedings">
              <w:r>
                <w:rPr>
                  <w:rStyle w:val="InternetLink"/>
                  <w:rFonts w:ascii="Times New Roman" w:hAnsi="Times New Roman"/>
                  <w:color w:val="0000FF"/>
                  <w:sz w:val="20"/>
                  <w:u w:val="single"/>
                </w:rPr>
                <w:t>Item 1.</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1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r>
        <w:trPr/>
        <w:tc>
          <w:tcPr>
            <w:tcW w:w="814" w:type="dxa"/>
            <w:tcBorders/>
            <w:tcMar>
              <w:top w:w="0" w:type="dxa"/>
              <w:left w:w="0" w:type="dxa"/>
              <w:bottom w:w="0" w:type="dxa"/>
              <w:right w:w="0" w:type="dxa"/>
            </w:tcMar>
            <w:vAlign w:val="center"/>
          </w:tcPr>
          <w:p>
            <w:pPr>
              <w:pStyle w:val="TableContents"/>
              <w:bidi w:val="0"/>
              <w:spacing w:before="75" w:after="30"/>
              <w:jc w:val="left"/>
              <w:rPr/>
            </w:pPr>
            <w:hyperlink w:anchor="item_1a_risk_factors">
              <w:r>
                <w:rPr>
                  <w:rStyle w:val="InternetLink"/>
                  <w:rFonts w:ascii="Times New Roman" w:hAnsi="Times New Roman"/>
                  <w:color w:val="0000FF"/>
                  <w:sz w:val="20"/>
                  <w:u w:val="single"/>
                </w:rPr>
                <w:t>Item 1A.</w:t>
              </w:r>
            </w:hyperlink>
            <w:hyperlink w:anchor="item_1a_risk_factors">
              <w:r>
                <w:rPr>
                  <w:rStyle w:val="InternetLink"/>
                  <w:rFonts w:ascii="Times New Roman" w:hAnsi="Times New Roman"/>
                  <w:color w:val="0000FF"/>
                  <w:sz w:val="20"/>
                </w:rPr>
                <w:t xml:space="preserve"> </w:t>
              </w:r>
            </w:hyperlink>
          </w:p>
        </w:tc>
        <w:tc>
          <w:tcPr>
            <w:tcW w:w="8849" w:type="dxa"/>
            <w:tcBorders/>
            <w:tcMar>
              <w:top w:w="0" w:type="dxa"/>
              <w:left w:w="0" w:type="dxa"/>
              <w:bottom w:w="0" w:type="dxa"/>
              <w:right w:w="0" w:type="dxa"/>
            </w:tcMar>
            <w:vAlign w:val="center"/>
          </w:tcPr>
          <w:p>
            <w:pPr>
              <w:pStyle w:val="TableContents"/>
              <w:bidi w:val="0"/>
              <w:spacing w:before="75" w:after="30"/>
              <w:jc w:val="left"/>
              <w:rPr/>
            </w:pPr>
            <w:hyperlink w:anchor="item_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unregistered_sales_of_equity">
              <w:r>
                <w:rPr>
                  <w:rStyle w:val="InternetLink"/>
                  <w:rFonts w:ascii="Times New Roman" w:hAnsi="Times New Roman"/>
                  <w:color w:val="0000FF"/>
                  <w:sz w:val="20"/>
                  <w:u w:val="single"/>
                </w:rPr>
                <w:t>Item 2.</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2_unregistered_sales_of_equity">
              <w:r>
                <w:rPr>
                  <w:rStyle w:val="InternetLink"/>
                  <w:rFonts w:ascii="Times New Roman" w:hAnsi="Times New Roman"/>
                  <w:color w:val="0000FF"/>
                  <w:sz w:val="20"/>
                  <w:u w:val="single"/>
                </w:rPr>
                <w:t>Unregistered Sales of Equity Securities, Use of Proceeds and Issuer Purchases of Equity Securities</w:t>
              </w:r>
            </w:hyperlink>
            <w:r>
              <w:rPr>
                <w:rFonts w:ascii="Times New Roman" w:hAnsi="Times New Roman"/>
                <w:color w:val="000000"/>
                <w:sz w:val="20"/>
              </w:rPr>
              <w:t xml:space="preserve"> </w:t>
            </w:r>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61</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_defaults_upon_senior_securities">
              <w:r>
                <w:rPr>
                  <w:rStyle w:val="InternetLink"/>
                  <w:rFonts w:ascii="Times New Roman" w:hAnsi="Times New Roman"/>
                  <w:color w:val="0000FF"/>
                  <w:sz w:val="20"/>
                  <w:u w:val="single"/>
                </w:rPr>
                <w:t>Item 3.</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61</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_mine_safety_disclosures">
              <w:r>
                <w:rPr>
                  <w:rStyle w:val="InternetLink"/>
                  <w:rFonts w:ascii="Times New Roman" w:hAnsi="Times New Roman"/>
                  <w:color w:val="0000FF"/>
                  <w:sz w:val="20"/>
                  <w:u w:val="single"/>
                </w:rPr>
                <w:t>Item 4.</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61</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5_other_information">
              <w:r>
                <w:rPr>
                  <w:rStyle w:val="InternetLink"/>
                  <w:rFonts w:ascii="Times New Roman" w:hAnsi="Times New Roman"/>
                  <w:color w:val="0000FF"/>
                  <w:sz w:val="20"/>
                  <w:u w:val="single"/>
                </w:rPr>
                <w:t>Item 5.</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5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61</w:t>
            </w:r>
          </w:p>
        </w:tc>
      </w:tr>
      <w:tr>
        <w:trPr/>
        <w:tc>
          <w:tcPr>
            <w:tcW w:w="814"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6_exhibits">
              <w:r>
                <w:rPr>
                  <w:rStyle w:val="InternetLink"/>
                  <w:rFonts w:ascii="Times New Roman" w:hAnsi="Times New Roman"/>
                  <w:color w:val="0000FF"/>
                  <w:sz w:val="20"/>
                  <w:u w:val="single"/>
                </w:rPr>
                <w:t>Item 6.</w:t>
              </w:r>
            </w:hyperlink>
          </w:p>
        </w:tc>
        <w:tc>
          <w:tcPr>
            <w:tcW w:w="8849" w:type="dxa"/>
            <w:tcBorders/>
            <w:tcMar>
              <w:top w:w="0" w:type="dxa"/>
              <w:left w:w="0" w:type="dxa"/>
              <w:bottom w:w="0" w:type="dxa"/>
              <w:right w:w="0" w:type="dxa"/>
            </w:tcMar>
            <w:vAlign w:val="center"/>
          </w:tcPr>
          <w:p>
            <w:pPr>
              <w:pStyle w:val="TableContents"/>
              <w:bidi w:val="0"/>
              <w:spacing w:before="75" w:after="30"/>
              <w:ind w:left="0" w:right="0" w:firstLine="180"/>
              <w:jc w:val="left"/>
              <w:rPr/>
            </w:pPr>
            <w:hyperlink w:anchor="item_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75" w:after="30"/>
              <w:ind w:left="0" w:right="0" w:firstLine="180"/>
              <w:jc w:val="right"/>
              <w:rPr>
                <w:rFonts w:ascii="Times New Roman" w:hAnsi="Times New Roman"/>
                <w:color w:val="000000"/>
                <w:sz w:val="20"/>
              </w:rPr>
            </w:pPr>
            <w:r>
              <w:rPr>
                <w:rFonts w:ascii="Times New Roman" w:hAnsi="Times New Roman"/>
                <w:color w:val="000000"/>
                <w:sz w:val="20"/>
              </w:rPr>
              <w:t>62</w:t>
            </w:r>
          </w:p>
        </w:tc>
      </w:tr>
      <w:tr>
        <w:trPr/>
        <w:tc>
          <w:tcPr>
            <w:tcW w:w="9663"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any collaboration arrangements, commercialization activities and product sales levels and future payments that may come due to us under these arrangements, any statements regarding our plans and objectives to initiate or continue clinical trials, any statements related to potential, anticipated, or ongoing litigation (including the timing for court hearings and trials)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80" w:after="283"/>
        <w:jc w:val="left"/>
        <w:rPr>
          <w:rFonts w:ascii="Times New Roman" w:hAnsi="Times New Roman"/>
          <w:sz w:val="20"/>
        </w:rPr>
      </w:pPr>
      <w:r>
        <w:rPr>
          <w:rFonts w:ascii="Times New Roman" w:hAnsi="Times New Roman"/>
          <w:color w:val="000000"/>
          <w:sz w:val="20"/>
        </w:rPr>
        <w:t>The Nektar brand and product names, including but not limited to Nektar</w:t>
      </w:r>
      <w:r>
        <w:rPr>
          <w:rFonts w:ascii="Times New Roman" w:hAnsi="Times New Roman"/>
          <w:color w:val="000000"/>
          <w:sz w:val="12"/>
        </w:rPr>
        <w:t>®</w:t>
      </w:r>
      <w:r>
        <w:rPr>
          <w:rFonts w:ascii="Times New Roman" w:hAnsi="Times New Roman"/>
          <w:color w:val="000000"/>
          <w:sz w:val="20"/>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Risks to our business are more fully described below in Part II, Item 1A under “Risk Factors” in this Form 10-Q, which risks include, among others: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our Research and Development Efforts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drug development is a lengthy and uncertain process and we may not be able to generate and develop successful drug candidates for commercial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highly dependent on the success of rezpegaldesleukin (previously referred to as NKTR-358) and our business will be significantly harmed if rezpegaldesleukin does not continue to advance in clinical studies;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outcomes from competitive immunotherapy clinical trials, and the discovery and development of new potential immunotherapies could have a material and adverse impact on the value of our pipeline;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competition for our products and drug candidates could make our drug products or drug candidates obsolete or uncompetitive;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preliminary and interim data from our clinical studies are subject to audit and verification procedures that could result in material changes in the final data and may change as more patient data become available;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trials for any of our drug candidates could be delayed for a variety of reasons, including delays associated with activating clinical sites and lower than anticipated patient enrollment rates, which are often outside of our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depend on third parties to conduct laboratory experiments, preclinical studies and clinical trials for our drug candidates and any failure of those parties to fulfill their obligations according to our instructions and protocol standards could harm our research and development plans and adversely affect our business;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believe we currently have the documents, records and data that are necessary for us to continue clinical development of rezpegaldesleukin, our ability to perform important development and regulatory activities will be significantly harmed if Eli Lilly and Company fails to continue to cooperate with us in the transfer of all documents, records and data associated with the rezpegaldesleukin program.</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our Financial Condition and Capital Requirements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substantial future capital requirements and there is a risk we may not have access to sufficient capital to meet our current business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significant source of our revenue and capital for research and development has been derived from our collaboration agreements, and if we are unable to establish collaboration partnerships with attractive commercial terms, including significant development milestones and research and development cost-sharing, our business, results of operations and financial condition could suffer;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continue to incur substantial net losses from operations and may not achieve or sustain profitability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Supply and Manufacturing</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contract manufacturers are not able to manufacture drugs or drug substances in sufficient quantities that meet applicable quality standards, our clinical studies could be delayed, and our business, financial condition and results of operations could be harmed;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contract manufacturers purchase some of the starting material for drugs and drug candidates from a single source or a limited number of suppliers and we are dependent on Gannet BioChem for the supply of the polyethylene glycol reagents (PEG reagents) used in the manufacture of rezpegaldesleukin, and the partial or complete loss of one of these suppliers could cause production and clinical trial delays.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u w:val="single"/>
        </w:rPr>
        <w:t>Risks Related to Intellectual Property, Litigation and Regulatory Concerns</w:t>
      </w:r>
      <w:r>
        <w:rPr>
          <w:rFonts w:ascii="Times New Roman" w:hAnsi="Times New Roman"/>
          <w:b/>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or our partners may not obtain regulatory approval for our drug candidates on a timely basis,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disruptions to the normal functioning of the U.S. Food and Drug Administration (FDA) and other government agencies could hinder their ability to perform required activities and may slow the time necessary for new product candidates to be reviewed and/or approved, which would adversely affect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are involved in legal proceedings and may incur substantial litigation costs and liabilities that could adversely affect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above-mentioned risks, our business is subject to a number of additional risks faced by businesses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FINANCIAL INFORMATION</w:t>
      </w:r>
    </w:p>
    <w:p>
      <w:pPr>
        <w:pStyle w:val="TextBody"/>
        <w:bidi w:val="0"/>
        <w:jc w:val="center"/>
        <w:rPr/>
      </w:pPr>
      <w:r>
        <w:rPr/>
        <w:t> </w:t>
      </w:r>
    </w:p>
    <w:p>
      <w:pPr>
        <w:pStyle w:val="TextBody"/>
        <w:bidi w:val="0"/>
        <w:jc w:val="left"/>
        <w:rPr>
          <w:rFonts w:ascii="Times New Roman" w:hAnsi="Times New Roman"/>
          <w:sz w:val="20"/>
        </w:rPr>
      </w:pPr>
      <w:bookmarkStart w:id="5" w:name="item_1_condensed_consolidated_fin_stat"/>
      <w:bookmarkEnd w:id="5"/>
      <w:r>
        <w:rPr>
          <w:rFonts w:ascii="Times New Roman" w:hAnsi="Times New Roman"/>
          <w:b/>
          <w:color w:val="000000"/>
          <w:sz w:val="20"/>
        </w:rPr>
        <w:t>Item 1. Condensed Consolidated</w:t>
      </w:r>
      <w:r>
        <w:rPr>
          <w:rFonts w:ascii="Times New Roman" w:hAnsi="Times New Roman"/>
          <w:color w:val="000000"/>
          <w:sz w:val="20"/>
        </w:rPr>
        <w:t xml:space="preserve"> </w:t>
      </w:r>
      <w:r>
        <w:rPr>
          <w:rFonts w:ascii="Times New Roman" w:hAnsi="Times New Roman"/>
          <w:b/>
          <w:color w:val="000000"/>
          <w:sz w:val="20"/>
        </w:rPr>
        <w:t>Financial Statements—Unaudited:</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6" w:name="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50"/>
        <w:gridCol w:w="146"/>
        <w:gridCol w:w="211"/>
        <w:gridCol w:w="991"/>
        <w:gridCol w:w="166"/>
        <w:gridCol w:w="146"/>
        <w:gridCol w:w="228"/>
        <w:gridCol w:w="1074"/>
        <w:gridCol w:w="593"/>
      </w:tblGrid>
      <w:tr>
        <w:trPr/>
        <w:tc>
          <w:tcPr>
            <w:tcW w:w="6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230,636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 (including $0 and $429 as of June 30, 2026 and December 31, 2025, respectively,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280,406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(including $456 and $137 as of June 30, 2026 and December 31, 2025, respectively, to a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(including $130 and $994 as of June 30, 2026 and December 31, 2025, respectively, to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the sales of future royalties,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$0.0001 par value; 10,000,000 shares authorized; no shares designated or outstanding at June 30, 2026 or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$0.0001 par value; 390,000,000 shares authorized; 34,129,664 shares and 20,378,832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3,850,099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(3,760,286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89,832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280,406</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7" w:name="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4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$1,137 and $613 for the three months ended June 30, 2026 and 2025, respectively, from a related party; and $2,845 and $821 for the six months ended June 30, 2026 and 2025, respectively,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102,400</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liabilities related to the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 (including income of $0 and $540 for the three months ended June 30, 2026 and 2025, respectively, from a related party; and income of $2 and $861 for the six months ended June 30, 2026 and 2025, respectively,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used in computing 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28,918,445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14,074,545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8" w:name="comprehensive_loss"/>
      <w:bookmarkEnd w:id="8"/>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67"/>
        <w:gridCol w:w="146"/>
        <w:gridCol w:w="215"/>
        <w:gridCol w:w="755"/>
        <w:gridCol w:w="169"/>
        <w:gridCol w:w="148"/>
        <w:gridCol w:w="215"/>
        <w:gridCol w:w="755"/>
        <w:gridCol w:w="166"/>
        <w:gridCol w:w="146"/>
        <w:gridCol w:w="211"/>
        <w:gridCol w:w="736"/>
        <w:gridCol w:w="166"/>
        <w:gridCol w:w="146"/>
        <w:gridCol w:w="211"/>
        <w:gridCol w:w="736"/>
        <w:gridCol w:w="417"/>
      </w:tblGrid>
      <w:tr>
        <w:trPr/>
        <w:tc>
          <w:tcPr>
            <w:tcW w:w="4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(92,550</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9" w:name="stockholders_equity"/>
      <w:bookmarkEnd w:id="9"/>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2114" w:type="dxa"/>
        <w:jc w:val="left"/>
        <w:tblInd w:w="0" w:type="dxa"/>
        <w:tblLayout w:type="fixed"/>
        <w:tblCellMar>
          <w:top w:w="28" w:type="dxa"/>
          <w:left w:w="28" w:type="dxa"/>
          <w:bottom w:w="28" w:type="dxa"/>
          <w:right w:w="28" w:type="dxa"/>
        </w:tblCellMar>
      </w:tblPr>
      <w:tblGrid>
        <w:gridCol w:w="1431"/>
        <w:gridCol w:w="146"/>
        <w:gridCol w:w="146"/>
        <w:gridCol w:w="916"/>
        <w:gridCol w:w="146"/>
        <w:gridCol w:w="146"/>
        <w:gridCol w:w="271"/>
        <w:gridCol w:w="480"/>
        <w:gridCol w:w="146"/>
        <w:gridCol w:w="146"/>
        <w:gridCol w:w="146"/>
        <w:gridCol w:w="691"/>
        <w:gridCol w:w="146"/>
        <w:gridCol w:w="146"/>
        <w:gridCol w:w="196"/>
        <w:gridCol w:w="571"/>
        <w:gridCol w:w="166"/>
        <w:gridCol w:w="146"/>
        <w:gridCol w:w="196"/>
        <w:gridCol w:w="826"/>
        <w:gridCol w:w="146"/>
        <w:gridCol w:w="146"/>
        <w:gridCol w:w="472"/>
        <w:gridCol w:w="834"/>
        <w:gridCol w:w="166"/>
        <w:gridCol w:w="146"/>
        <w:gridCol w:w="203"/>
        <w:gridCol w:w="923"/>
        <w:gridCol w:w="166"/>
        <w:gridCol w:w="146"/>
        <w:gridCol w:w="267"/>
        <w:gridCol w:w="904"/>
        <w:gridCol w:w="391"/>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 in</w:t>
              <w:br/>
              <w:t>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 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br/>
              <w:t>Equity (Deficit)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3,659,885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12,406,710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12,457,252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(3,688,685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(DEFICIT)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1872" w:type="dxa"/>
        <w:jc w:val="left"/>
        <w:tblInd w:w="0" w:type="dxa"/>
        <w:tblLayout w:type="fixed"/>
        <w:tblCellMar>
          <w:top w:w="28" w:type="dxa"/>
          <w:left w:w="28" w:type="dxa"/>
          <w:bottom w:w="28" w:type="dxa"/>
          <w:right w:w="28" w:type="dxa"/>
        </w:tblCellMar>
      </w:tblPr>
      <w:tblGrid>
        <w:gridCol w:w="1431"/>
        <w:gridCol w:w="146"/>
        <w:gridCol w:w="146"/>
        <w:gridCol w:w="916"/>
        <w:gridCol w:w="146"/>
        <w:gridCol w:w="146"/>
        <w:gridCol w:w="271"/>
        <w:gridCol w:w="480"/>
        <w:gridCol w:w="146"/>
        <w:gridCol w:w="146"/>
        <w:gridCol w:w="187"/>
        <w:gridCol w:w="444"/>
        <w:gridCol w:w="146"/>
        <w:gridCol w:w="146"/>
        <w:gridCol w:w="271"/>
        <w:gridCol w:w="480"/>
        <w:gridCol w:w="146"/>
        <w:gridCol w:w="146"/>
        <w:gridCol w:w="196"/>
        <w:gridCol w:w="826"/>
        <w:gridCol w:w="146"/>
        <w:gridCol w:w="146"/>
        <w:gridCol w:w="333"/>
        <w:gridCol w:w="973"/>
        <w:gridCol w:w="166"/>
        <w:gridCol w:w="146"/>
        <w:gridCol w:w="203"/>
        <w:gridCol w:w="923"/>
        <w:gridCol w:w="166"/>
        <w:gridCol w:w="146"/>
        <w:gridCol w:w="258"/>
        <w:gridCol w:w="913"/>
        <w:gridCol w:w="391"/>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 in</w:t>
              <w:br/>
              <w:t>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 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b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20,378,832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3,850,099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and pre-funded warrants sold in underwritten offering, net of underwriting discounts and offering costs of $28,134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7,637,931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431,866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sold under at-the-market offering, net of commissions and offering costs of $2,936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29,472,092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issued under equity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sold in underwritten offering, net of underwriting discounts and offering costs of $23,324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sold under at-the-market offering, net of commissions and offering costs of $420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34,129,664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903,121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10" w:name="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92"/>
        <w:gridCol w:w="146"/>
        <w:gridCol w:w="211"/>
        <w:gridCol w:w="841"/>
        <w:gridCol w:w="166"/>
        <w:gridCol w:w="146"/>
        <w:gridCol w:w="211"/>
        <w:gridCol w:w="781"/>
        <w:gridCol w:w="411"/>
      </w:tblGrid>
      <w:tr>
        <w:trPr/>
        <w:tc>
          <w:tcPr>
            <w:tcW w:w="7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liabilities related to the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(discounts),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transaction costs and working capital adjustment from the sale of the Huntsville 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shares issued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underwritten offering, net of underwriting discounts of $50,025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at-the-market offering, net of commissions of $3,300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offering costs associated with issuance of common stock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associated with issuance of common stock and pre-funded warrants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NEKTAR THERAPEUTICS</w:t>
      </w:r>
    </w:p>
    <w:p>
      <w:pPr>
        <w:pStyle w:val="TextBody"/>
        <w:bidi w:val="0"/>
        <w:jc w:val="center"/>
        <w:rPr>
          <w:rFonts w:ascii="Times New Roman" w:hAnsi="Times New Roman"/>
          <w:b/>
          <w:color w:val="000000"/>
          <w:sz w:val="20"/>
        </w:rPr>
      </w:pPr>
      <w:bookmarkStart w:id="11" w:name="notes_to_condensed_consolidated_fin_st"/>
      <w:bookmarkEnd w:id="11"/>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 — Organization and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Nektar Therapeutics (Nektar, we) is a clinical stage, research-based drug discovery biopharmaceutical company headquartered in San Francisco, California and incorporated in Delaware, focused on the development of novel immunology therapies. Within this growing field, we direct our efforts toward creating new immunomodulatory agents that selectively induce, amplify, attenuate or prevent immune responses in order to achieve desired therapeutic outcomes. Our pipeline of clinical-stage and preclinical-stage immunomodulatory agents, such as rezpegaldesleukin, NKTR-0165 and NKTR-0166, target the treatment of autoimmune diseases.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are evaluating rezpegaldesleukin in moderate-to-severe atopic dermatitis and severe-to-very-severe alopecia areata and, in collaboration with TrialNet, in new-onset stage 3 Type 1 diabetes mellitus.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July 2026, we announced the initiation of the first two global registrational trials (ZENITH AD-1 and ZENITH AD-2) in the Phase 3 ZENITH AD program evaluating rezpegaldesleukin in patients who are 12 years of age or older with moderate-to-severe atopic dermatitis.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are also continuing Phase 2b trials of rezpegaldesleukin in patients with moderate-to-severe atopic dermatitis which we initiated in October 2023 (the Phase 2b REZOLVE-AD trial) and in patients with severe-to-very severe alopecia areata which we initiated in March 2024 (the Phase 2b REZOLVE-AA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announced that we had entered into a collaboration agreement with TrialNet to evaluate rezpegaldesleukin in patients with new-onset stage 3 Type 1 diabetes mellitus in a Phase 2 study, which was initiated in May 2026.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public and private placements of debt and equity securities, royalties and product sales, as well as, revenue from upfront and milestone payments under our strategic collaboration agreements. As of June 30, 2026, we had approximately $1,023.4 million in cash and investments in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our research and development activities, we will need additional cash to fund our operations. Accordingly, we may enter into new collaboration agreements or other similar transactions, and we may also seek financing transactions, which may include dilutive equity-based financings, such as an offering of our common stock. There can be no assurance that any additional collaboration agreements or financings will be available to us on commercially reasonable terms. We believe we have sufficient cash and investments in marketable securities to fund operations through at least the next twelve months from the date of the filing of these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July 2025 to April 2026, we completed a number of equity-based financing transactions, under which we sold 19,400,822 shares of our common stock and 293,103 pre-funded warrants, resulting in net proceeds of $1,068.6 million. See Note 6 for additional information.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prepared our Condensed Consolidated Financial Statements pursuant to U.S. generally accepted accounting principles (U.S. GAAP) and the rules and regulations of the SEC for interim reporting. As permitted under those rules,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condense or omit certain footnotes or other financial information that are normally required by U.S. GAAP for annual periods. In the opinion of management, these financial statements include all normal and recurring adjustments that we consider necessary for the fair presentation of our financial position and operating results.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Condensed Consolidated Financial Statements include the financial position, results of operations and cash flows of our wholly-owned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interests in any variable interest entities of which we are the primary beneficiary. We have eliminated all intercompany accounts and transactions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loss consists of our net loss plus our foreign currency translation gains and losses (to the extent recognized in other comprehensive income (loss)) and unrealized holding gains and losses on available-for-sale securities. There were no significant reclassifications out of accumulated other comprehensive income (loss) to the statements of operations during the three and six months ended June 30, 2026 and 2025. We include translation gains and losses in accumulated other comprehensive income (loss) in the stockholders’ equity section of our Condensed Consolidated Balance Sheets. However, if we have concluded that we have substantially liquidated the entity, such as for our subsidiary in India, we recognize subsequent translation gains and losses in other income (expense) in our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are unaudited. The Condensed Consolidated Balance Sheet data as of December 31, 2025 was derived from the audited consolidated financial statements which are included in our Annual Report on Form 10-K for the year ended December 31, 2025 filed with the SEC on March 13, 2026. The information included in this Quarterly Report on Form 10-Q should be read in conjunction with the consolidated financial statements and the accompanying notes to those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expenses, assets, and liabilities can vary during each quarter of the year. The results and trends in these interim Condensed Consolidated Financial Statements are not necessarily indicative of the results to be expected for the full year or any other period.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results could differ materially from those estimates and assumptions. As appropriate, we assess estimates each period, update them to reflect current information, and generally reflect any changes in estimates in the period first identified.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Transactions between related parties are considered to be related party transactions even though they may not be given accounting recognition. Accounting Standards Codification (ASC) 850, Related Party Disclosures (ASC 850) requires that transactions with related parties that would make a difference in decision making shall be disclosed so that users of the financial statements can evaluate their significance. The related party transactions disclosed on our Condensed Consolidated Statements of Operations and Condensed Consolidated Balance Sheets relate to transactions with Gannet BioChem. Please see Note 4 regarding our related party transactions with Gannet BioChem.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Concentrations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contract manufacturers in the supply chain of our drug candidates to provide raw materials, manufacturing services and other development services with appropriate quality and reliability to meet applicable regulatory requirements. In certain cases, we rely on a single contract manufacturer for its role in our supply chain. Consequently, in the event that these services are delayed or interrupted for any reason, our ability to develop and produce our drug candidates could be significantly impaired,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available-for-sale securities, we have significant concentrations of issuers in the banking and financial services industries. While our investment policy requires that we invest only in highly-rated securities and limit our exposure to any single issuer, various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various factors result in downgrades below our minimum credit rating requirements and if we decide to sell these securities, we may experience losses on such sales.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all periods presented in the Condensed Consolidated Statements of Operations, the net loss available to common stockholders is equal to the reported net loss. We calculate basic net loss per share based on the weighted-average number of common shares outstanding, including pre-funded warrants outstanding, during the periods presented. Pre-funded warrants are considered outstanding for the purposes of computing basic net loss per share because the shares are issuable for little consideration, are fully vested and are exercisable after the original issuance date. For the three and six months ended June 30, 2026 and 2025, basic and diluted net loss per share are the same due to our net losses and the requirement to exclude potentially dilutive securities which would have an antidilutive effect on net loss per share. We excluded shares underlying the weighted average outstanding stock options and restricted stock units (RSUs), as follows:</w:t>
      </w:r>
    </w:p>
    <w:p>
      <w:pPr>
        <w:pStyle w:val="TextBody"/>
        <w:bidi w:val="0"/>
        <w:jc w:val="left"/>
        <w:rPr/>
      </w:pPr>
      <w:r>
        <w:rPr/>
        <w:t> </w:t>
      </w:r>
    </w:p>
    <w:tbl>
      <w:tblPr>
        <w:tblW w:w="8042" w:type="dxa"/>
        <w:jc w:val="left"/>
        <w:tblInd w:w="0" w:type="dxa"/>
        <w:tblLayout w:type="fixed"/>
        <w:tblCellMar>
          <w:top w:w="28" w:type="dxa"/>
          <w:left w:w="28" w:type="dxa"/>
          <w:bottom w:w="28" w:type="dxa"/>
          <w:right w:w="28" w:type="dxa"/>
        </w:tblCellMar>
      </w:tblPr>
      <w:tblGrid>
        <w:gridCol w:w="2521"/>
        <w:gridCol w:w="146"/>
        <w:gridCol w:w="146"/>
        <w:gridCol w:w="931"/>
        <w:gridCol w:w="146"/>
        <w:gridCol w:w="146"/>
        <w:gridCol w:w="146"/>
        <w:gridCol w:w="931"/>
        <w:gridCol w:w="146"/>
        <w:gridCol w:w="146"/>
        <w:gridCol w:w="146"/>
        <w:gridCol w:w="931"/>
        <w:gridCol w:w="146"/>
        <w:gridCol w:w="146"/>
        <w:gridCol w:w="146"/>
        <w:gridCol w:w="93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Potentially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an accounting standard update that requires the Company to disclose more detailed information about the types of expenses (including employee compensation, depreciation, and amortization) included in each relevant income statement expense caption.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to clarify the effective date of ASU 2024-03. The ASU is effective for fiscal years beginning after December 15, 2026, and interim reporting periods beginning after December 15, 2027. Early adoption is permitted. We are currently evaluating the incremental disclosures that will be required in our consolidated financial statements.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July 2025, the FASB issued ASU No. 2025-05, Financial Instruments—Credit Losses (Topic 326): Measurement of Credit Losses for Accounts Receivable and Contract Assets, which provides a practical expedient that assumes that current conditions as of the balance sheet date do not change for the remaining life of the asset in developing reasonable and supportable forecasts during the application of the current expected credit loss model for current accounts receivable and current contract assets arising from transactions under ASC 606. ASU 2025-05 is effective for fiscal years beginning after December 15, 2025 and interim reporting periods within those annual reporting periods. Early adoption is permitted. We have determined there is no impact of adopting ASU 2025-05 as we do not develop forecasts as part of estimating expected credit losses.</w:t>
      </w:r>
    </w:p>
    <w:p>
      <w:pPr>
        <w:pStyle w:val="TextBody"/>
        <w:bidi w:val="0"/>
        <w:spacing w:before="180" w:after="283"/>
        <w:jc w:val="left"/>
        <w:rPr>
          <w:rFonts w:ascii="Times New Roman" w:hAnsi="Times New Roman"/>
          <w:sz w:val="20"/>
        </w:rPr>
      </w:pPr>
      <w:r>
        <w:rPr>
          <w:rFonts w:ascii="Times New Roman" w:hAnsi="Times New Roman"/>
          <w:color w:val="000000"/>
          <w:sz w:val="20"/>
        </w:rPr>
        <w:t>In December 2025, the FASB issued ASU 2025</w:t>
        <w:noBreakHyphen/>
        <w:t xml:space="preserve">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improves clarity for interim financial reporting requirements under the existing guidance within ASC 270, Interim Reporting. ASU 2025-11 is effective for public entities with annual periods beginning after December 15, 2027, with early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adoption permitted. We are currently evaluating the impact of ASU 2025-11 on its financial statements and related disclosures.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 Cash and Investments in Marketable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and investments in marketable securities, including cash equivalents, are as follows (in thousands):</w:t>
      </w:r>
    </w:p>
    <w:p>
      <w:pPr>
        <w:pStyle w:val="TextBody"/>
        <w:bidi w:val="0"/>
        <w:jc w:val="left"/>
        <w:rPr/>
      </w:pPr>
      <w:r>
        <w:rPr/>
        <w:t> </w:t>
      </w:r>
    </w:p>
    <w:tbl>
      <w:tblPr>
        <w:tblW w:w="7962" w:type="dxa"/>
        <w:jc w:val="left"/>
        <w:tblInd w:w="0" w:type="dxa"/>
        <w:tblLayout w:type="fixed"/>
        <w:tblCellMar>
          <w:top w:w="28" w:type="dxa"/>
          <w:left w:w="28" w:type="dxa"/>
          <w:bottom w:w="28" w:type="dxa"/>
          <w:right w:w="28" w:type="dxa"/>
        </w:tblCellMar>
      </w:tblPr>
      <w:tblGrid>
        <w:gridCol w:w="4491"/>
        <w:gridCol w:w="146"/>
        <w:gridCol w:w="211"/>
        <w:gridCol w:w="931"/>
        <w:gridCol w:w="146"/>
        <w:gridCol w:w="146"/>
        <w:gridCol w:w="319"/>
        <w:gridCol w:w="1181"/>
        <w:gridCol w:w="391"/>
      </w:tblGrid>
      <w:tr>
        <w:trPr/>
        <w:tc>
          <w:tcPr>
            <w:tcW w:w="4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at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investments in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portfolio of cash and investments in marketable securities, including cash equivalents, consists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6"/>
        <w:gridCol w:w="146"/>
        <w:gridCol w:w="1008"/>
        <w:gridCol w:w="146"/>
        <w:gridCol w:w="213"/>
        <w:gridCol w:w="941"/>
        <w:gridCol w:w="146"/>
        <w:gridCol w:w="146"/>
        <w:gridCol w:w="377"/>
        <w:gridCol w:w="620"/>
        <w:gridCol w:w="146"/>
        <w:gridCol w:w="146"/>
        <w:gridCol w:w="250"/>
        <w:gridCol w:w="750"/>
        <w:gridCol w:w="166"/>
        <w:gridCol w:w="146"/>
        <w:gridCol w:w="211"/>
        <w:gridCol w:w="931"/>
        <w:gridCol w:w="146"/>
        <w:gridCol w:w="146"/>
        <w:gridCol w:w="224"/>
        <w:gridCol w:w="829"/>
        <w:gridCol w:w="395"/>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156,714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216,499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0" w:type="dxa"/>
            <w:gridSpan w:val="6"/>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investments 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245,752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there were no transfers between Level 1 and Level 2 of the fair value hierarchy. All of our long-term investments as of June 30, 2026 had maturities between one and two years. As of June 30, 2026, we had 279 investments in unrealized loss positions and no investments had been in continuous unrealized loss positions for 12 months or longer. At December 31, 2025, our gross unrealized gains and losses were insignificant.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 Condensed Consolidated Financial Statement Details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Other Current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current assets consist of the following (in thousands):</w:t>
      </w:r>
    </w:p>
    <w:tbl>
      <w:tblPr>
        <w:tblW w:w="7130" w:type="dxa"/>
        <w:jc w:val="left"/>
        <w:tblInd w:w="0" w:type="dxa"/>
        <w:tblLayout w:type="fixed"/>
        <w:tblCellMar>
          <w:top w:w="28" w:type="dxa"/>
          <w:left w:w="28" w:type="dxa"/>
          <w:bottom w:w="28" w:type="dxa"/>
          <w:right w:w="28" w:type="dxa"/>
        </w:tblCellMar>
      </w:tblPr>
      <w:tblGrid>
        <w:gridCol w:w="3676"/>
        <w:gridCol w:w="146"/>
        <w:gridCol w:w="267"/>
        <w:gridCol w:w="858"/>
        <w:gridCol w:w="146"/>
        <w:gridCol w:w="146"/>
        <w:gridCol w:w="357"/>
        <w:gridCol w:w="1143"/>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non-trade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assets consist of the following (in thousands):</w:t>
      </w:r>
    </w:p>
    <w:tbl>
      <w:tblPr>
        <w:tblW w:w="8030" w:type="dxa"/>
        <w:jc w:val="left"/>
        <w:tblInd w:w="0" w:type="dxa"/>
        <w:tblLayout w:type="fixed"/>
        <w:tblCellMar>
          <w:top w:w="28" w:type="dxa"/>
          <w:left w:w="28" w:type="dxa"/>
          <w:bottom w:w="28" w:type="dxa"/>
          <w:right w:w="28" w:type="dxa"/>
        </w:tblCellMar>
      </w:tblPr>
      <w:tblGrid>
        <w:gridCol w:w="4576"/>
        <w:gridCol w:w="146"/>
        <w:gridCol w:w="267"/>
        <w:gridCol w:w="858"/>
        <w:gridCol w:w="146"/>
        <w:gridCol w:w="146"/>
        <w:gridCol w:w="357"/>
        <w:gridCol w:w="1143"/>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 in Gannet BioChem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tbl>
      <w:tblPr>
        <w:tblW w:w="7190" w:type="dxa"/>
        <w:jc w:val="left"/>
        <w:tblInd w:w="0" w:type="dxa"/>
        <w:tblLayout w:type="fixed"/>
        <w:tblCellMar>
          <w:top w:w="28" w:type="dxa"/>
          <w:left w:w="28" w:type="dxa"/>
          <w:bottom w:w="28" w:type="dxa"/>
          <w:right w:w="28" w:type="dxa"/>
        </w:tblCellMar>
      </w:tblPr>
      <w:tblGrid>
        <w:gridCol w:w="3736"/>
        <w:gridCol w:w="146"/>
        <w:gridCol w:w="267"/>
        <w:gridCol w:w="858"/>
        <w:gridCol w:w="146"/>
        <w:gridCol w:w="146"/>
        <w:gridCol w:w="357"/>
        <w:gridCol w:w="1143"/>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termination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Liabilities Related to the Sales of Future Royalties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2012 and 2020, we sold to RPI Finance Trust (RPI) and entities managed by Healthcare Royalty Management, LLC (HCR), respectively, our rights to receive royalties under our license and manufacturing agreements with certain pharmaceutical partners under the 2012 Purchase and Sale Agreement and the 2020 Purchase and Sale Agreement, respectively. We account for these transactions as debt and recognize non-cash royalty revenue and non-cash interest expense to amortize the proceeds over the lives of the respective arrangements. We periodically update our prospective non-cash interest rate based on our estimates of future royalties. As of June 30, 2026, our imputed interest rate for the arrangement with HCR was 46%.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reconciliation of the changes in our liabilities related to the sales of future royalties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4157"/>
        <w:gridCol w:w="146"/>
        <w:gridCol w:w="487"/>
        <w:gridCol w:w="1463"/>
        <w:gridCol w:w="166"/>
        <w:gridCol w:w="146"/>
        <w:gridCol w:w="438"/>
        <w:gridCol w:w="1530"/>
        <w:gridCol w:w="166"/>
        <w:gridCol w:w="146"/>
        <w:gridCol w:w="211"/>
        <w:gridCol w:w="736"/>
        <w:gridCol w:w="413"/>
      </w:tblGrid>
      <w:tr>
        <w:trPr/>
        <w:tc>
          <w:tcPr>
            <w:tcW w:w="4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2012 Purchase and Sale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Purchase and Sale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the sales of future royalties, net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the sales of future royalties, net –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4 — Equity Method Investment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December 2024, we completed the sale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ownership interest in Gannet BioChem is as follows:</w:t>
      </w:r>
    </w:p>
    <w:tbl>
      <w:tblPr>
        <w:tblW w:w="8992" w:type="dxa"/>
        <w:jc w:val="left"/>
        <w:tblInd w:w="0" w:type="dxa"/>
        <w:tblLayout w:type="fixed"/>
        <w:tblCellMar>
          <w:top w:w="28" w:type="dxa"/>
          <w:left w:w="28" w:type="dxa"/>
          <w:bottom w:w="28" w:type="dxa"/>
          <w:right w:w="28" w:type="dxa"/>
        </w:tblCellMar>
      </w:tblPr>
      <w:tblGrid>
        <w:gridCol w:w="5431"/>
        <w:gridCol w:w="146"/>
        <w:gridCol w:w="146"/>
        <w:gridCol w:w="1036"/>
        <w:gridCol w:w="271"/>
        <w:gridCol w:w="146"/>
        <w:gridCol w:w="185"/>
        <w:gridCol w:w="1315"/>
        <w:gridCol w:w="31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units owned by Nektar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ownership of common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ownership of common and preferred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investment in Gannet BioChem is considered a variable interest entity for which we are not the primary beneficiary. We have significant influence, but do not control, Gannet BioChem through our noncontrolling representation on Gannet BioChem’s board of directors and our equity interests in Gannet BioChem. Accordingly, we do not consolidate Gannet BioChem and account for our investment in Gannet BioChem using the equity method of accounting, under which we record our share of Gannet BioChem’s profits and losses as gain or loss from equity method investment in our Condensed Consolidated Statements of Operations. As a result of Ampersand’s liquidation preferences, we record our share of Gannet BioChem’s gains and losses under the hypothetical liquidation at book value method, which is a balance sheet approach that calculates the change in the hypothetical amount Ampersand and we would be entitled to receive if Gannet BioChem were liquidated at book value at the end of each period, adjusted for any contributions made and distributions received during the period, as well as basis differences between the initial fair value of our investment in Gannet BioChem and our claim on the net assets of Gannet BioChem. Our maximum exposure to loss in Gannet BioChem is limited to the carrying value of our investment.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loss from our investment in Gannet BioChem is as follows (in thousands): </w:t>
      </w:r>
    </w:p>
    <w:tbl>
      <w:tblPr>
        <w:tblW w:w="10205" w:type="dxa"/>
        <w:jc w:val="left"/>
        <w:tblInd w:w="0" w:type="dxa"/>
        <w:tblLayout w:type="fixed"/>
        <w:tblCellMar>
          <w:top w:w="28" w:type="dxa"/>
          <w:left w:w="28" w:type="dxa"/>
          <w:bottom w:w="28" w:type="dxa"/>
          <w:right w:w="28" w:type="dxa"/>
        </w:tblCellMar>
      </w:tblPr>
      <w:tblGrid>
        <w:gridCol w:w="5032"/>
        <w:gridCol w:w="146"/>
        <w:gridCol w:w="245"/>
        <w:gridCol w:w="665"/>
        <w:gridCol w:w="193"/>
        <w:gridCol w:w="169"/>
        <w:gridCol w:w="245"/>
        <w:gridCol w:w="735"/>
        <w:gridCol w:w="166"/>
        <w:gridCol w:w="146"/>
        <w:gridCol w:w="213"/>
        <w:gridCol w:w="639"/>
        <w:gridCol w:w="167"/>
        <w:gridCol w:w="147"/>
        <w:gridCol w:w="213"/>
        <w:gridCol w:w="684"/>
        <w:gridCol w:w="400"/>
      </w:tblGrid>
      <w:tr>
        <w:trPr/>
        <w:tc>
          <w:tcPr>
            <w:tcW w:w="5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5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 on net assets of Gannet BioChem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 on net assets of Gannet BioChem -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claim on net assets of Gannet BioChem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Gannet BioChem is considered a related party to Nektar. We have entered into agreements with Gannet BioChem for the supply of the polyethylene glycol reagents used in the manufacture of rezpegaldesleukin and certain other development services. We also provided certain accounting and information technology services to Gannet BioChem under a transition services agreement, which concluded during the three months ended June 30, 2026.</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5 — 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each reporting date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August 2023, we filed a complaint in the United States District Court for the Northern District of California (the Court) against Eli Lilly and Company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In September 2025, Lilly filed a motion to voluntarily dismiss its counterclaims with prejudice, which the Court granted in October 2025. Lilly filed a motion for summary judgment, which the Court denied in an order issued in March 2026. A Pretrial Conference was held on August 6, 2026. The Court has set a jury trial date for September 8,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After previously authorizing good and service tax (GST) refunds of approximately $3.3 million for the period of July 2017 to September 2019, the Indian GST authorities issued a show cause notice in October 2023 seeking to recover this refund, plus penalties and interest, for which we have subsequently received a demand in September 2025 seeking payment to Indian GST authorities. We have not paid the demand in view of an appeal we filed with the Indian authorities, and believe that we have meritorious defenses against the demand. We believe a loss is not probable and therefore have not accrued a liability as of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March 2026, a putative class action complaint was filed in the U.S. District Court for the Northern District of California against the Company, our CEO, our former CFO and our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2025 through December 2025, the defendants made misleading statements and/or failed to disclose material information regarding the REZOLVE-AA trial. The Company denies the claims, believes they are without merit, and intends to defend vigorously against this litigation. This case is in the early stages. We have not recorded a liability for this matter as of June 30,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recorded no liability for any litigation matters in our Condensed Consolidated Balance Sheets at either June 30, 2026 or December 31, 2025.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Commitments — Biolojic Design, Ltd. (Biolojic)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and license option agreement with Biolojic to discover and develop agonistic antibodies that activate a novel and previously un-drugged target for the treatment of autoimmune diseases. In 2023, we exercised an option to gain an exclusive license to specified agonistic antibodies and other materials that were developed pursuant to this arrangement in all fields of use (other than in the field of oncology), which we have used in our research program based on tumor necrosis factor (TNF) receptor type II (TNFR2) agonism, including NKTR-0165 and NKTR-0166. As a result of exercising this option, we may be required to pay up to $18.0 million based on the achievement of certain development milestones, including the first milestone of $3.0 million payable upon the acceptance of the first investigational new drug application, and up to $35.0 million based on the achievement of certain regulatory approval milestones. Each milestone is payable only once, regardless of the number of indications for which we develop the licensed product. We record a liability when a milestone payment becomes probable. As of June 30, 2026, no milestones have been achieved or are considered probable, and no liability has been recorded.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we entered into an agreement with a contract manufacturing organization for the production of our drug substance. The agreement includes a minimum purchase commitment for manufacturing services. As of June 30, 2026, the aggregate remaining minimum commitment under the agreement was $50.0 million, relating to the period from January 2028 through December 2031. As of June 30, 2026, no amounts have been recorded in the condensed consolidated financial statements related to this matter.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Indemnifications in Connection with Commercial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part of our collaboration agreements with our partners related to the license, development, manufacture and supply of our proprietary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 Stockholders’ Equity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Financing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filed a shelf registration statement on Form S-3 and a related prospectus (the April 2025 Shelf Registration Statement) that was declared effective by the Securities and Exchange Commission (the SEC) in April 2025. Pursuant to the April 2025 Shelf Registration Statement, we may offer and sell common stock, preferred stock, debt securities, warrants and or units having an aggregate public offering price of up to $300.0 million. In connection with the April 2025 Shelf Registration Statement, in April and November 2025, we also entered equity distribution agreements with Piper Sandler &amp; Co. and BTIG, LLC, relating to the sale of our common stock having an aggregate offering price of up to $75.0 million (the April 2025 ATM Sales Agreement) and $110.0 million (the November 2025 ATM Sales Agreement), respectively. The sales of the shares under these agreements could be made by any method permitted that is deemed to be an “at-the-market” (ATM) equity offering as defined in Rule 415(a)(4) promulgated under the Securities Act, including sales made directly on or through Nasdaq or on any other existing trading market for our common stock. We agreed to pay Piper Sandler &amp; Co. and BTIG, LLC a commission equal to 3.0% of the gross sales price of all common stock sold through them as sales agents. As a result of the transactions described below, no shares remain available for issuance under the April 2025 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we filed a new registration statement on Form S-3ASR and a related prospectus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securities sold and net proceeds received pursuant to these shelf registrations:</w:t>
      </w:r>
    </w:p>
    <w:tbl>
      <w:tblPr>
        <w:tblW w:w="10205" w:type="dxa"/>
        <w:jc w:val="left"/>
        <w:tblInd w:w="0" w:type="dxa"/>
        <w:tblLayout w:type="fixed"/>
        <w:tblCellMar>
          <w:top w:w="28" w:type="dxa"/>
          <w:left w:w="28" w:type="dxa"/>
          <w:bottom w:w="28" w:type="dxa"/>
          <w:right w:w="28" w:type="dxa"/>
        </w:tblCellMar>
      </w:tblPr>
      <w:tblGrid>
        <w:gridCol w:w="1612"/>
        <w:gridCol w:w="146"/>
        <w:gridCol w:w="1215"/>
        <w:gridCol w:w="146"/>
        <w:gridCol w:w="906"/>
        <w:gridCol w:w="146"/>
        <w:gridCol w:w="199"/>
        <w:gridCol w:w="1251"/>
        <w:gridCol w:w="146"/>
        <w:gridCol w:w="146"/>
        <w:gridCol w:w="227"/>
        <w:gridCol w:w="1083"/>
        <w:gridCol w:w="146"/>
        <w:gridCol w:w="146"/>
        <w:gridCol w:w="241"/>
        <w:gridCol w:w="630"/>
        <w:gridCol w:w="146"/>
        <w:gridCol w:w="225"/>
        <w:gridCol w:w="291"/>
        <w:gridCol w:w="961"/>
        <w:gridCol w:w="196"/>
      </w:tblGrid>
      <w:tr>
        <w:trPr/>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Registration Statement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Offering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 of Common Stock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Pre-Funded Warrants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Net Proceeds (in millions)</w:t>
            </w:r>
            <w:r>
              <w:rPr>
                <w:rFonts w:ascii="Times New Roman" w:hAnsi="Times New Roman"/>
                <w:color w:val="000000"/>
                <w:sz w:val="17"/>
              </w:rPr>
              <w:t xml:space="preserve">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April 2025 Shelf Registration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Underwritten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7/2/2025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4,893,618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April 2025 Shelf Registration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ATM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9/23/2025 to 10/16/2025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1,273,923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November 2025 Shelf Registration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Underwritten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2/13/2026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7,637,931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April 2025 Shelf Registration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ATM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2/20/2026 to 4/1/2026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November 2025 Shelf Registration </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Underwritten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4/23/2026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4,062,500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19,400,822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1,068.6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proceeds reflect gross proceeds, net of underwriting discounts, sales commissions and other offering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offering included 638,298 shares sold upon exercise in full by the underwriters of their option to purchase additional shares of common stock. Additionally, we re-issued all 552,307 shares previously held in 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shares remain available for issuance under the April 2025 ATM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offering included 1,034,482 shares sold upon exercise in full by the underwriters of their option to purchase additional shares of common stock. The shares were sold at $58.00 per share and the pre-funded warrants were sold at $57.9999 per pre-funded warrant. See below for additional information regarding the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shares remain available for issuance under the November 2025 ATM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offering included 529,891 shares sold upon exercise in full by the underwriters of their option to purchase additional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Weighted average price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May 2026, we entered into a new equity distribution agreement (the May 2026 ATM Sales Agreement) with Guggenheim Securities, LLC and H.C. Wainwright &amp; Co., LLC, relating to the sale of our common stock having an aggregate offering price of up to $150.0 million in an “at-the-market” offering under the November 2025 Shelf Registration. We agreed to pay Guggenheim Securities, LLC and H.C. Wainwright &amp; Co. LLC a commission equal to 3.0% of the gross sales price of all common stock sold under the May 2026 ATM Sales Agreement. As of June 30, 2026, no shares have been issued under the May 2026 ATM Sales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March 2024, we issued a pre-funded warrant to purchase an aggregate of 1,666,667 shares of our common stock to TCG Crossover Fund II, L.P. (TCG) at a price of $18.00 per share for gross proceeds of $30.0 million (the TCG Pre-funded Warrant). Transaction costs were immaterial. The TCG Pre-funded Warrant had an exercise price of $0.0015 per share and was exercisable at any time after the original issuance date. In July 2025, TCG exercised the TCG Pre-funded Warrant to purchase 1,666,667 shares of common stock. Exercise proceeds were immaterial. As a result of these exercises, no shares remain issuable under the TCG Pre-funded Warrant.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February 2026, as disclosed above, we completed the sale and issuance of 293,103 pre-funded warrants at a price of $57.9999 per share (the 2026 Pre-funded Warrants). Each pre-funded warrant has an exercise price of $0.0001 per share and is exercisable at any time after the original issuance date. In June 2026, the holders exercised the 2026 Pre-funded Warrants on a cashless basis, resulting in the issuance of 293,100 shares of common stock. As a result of these exercises, no shares remain issuable under the 2026 Pre-funded Warrants.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classified the pre-funded warrants as a component of permanent equity in our Condensed Consolidated Balance Sheets as they are freestanding financial instruments that are immediately exercisable, do not embody an obligation for the Company to repurchase its own shares and permit the holder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dates of the pre-funded warrants.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 License and Collaboration Agreements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We have entered into various collaboration agreements including license agreements and collaborative research, development and commercialization agreements with various pharmaceutical and biotechnology companies. Under these collaboration arrangements, we may be entitled to receive license fees, upfront payments, milestone and other contingent payments, royalties, sales milestone payments, and reimbursements for research and development activities. We generally include our costs of performing these services in research and development expense. We analyze our agreements to determine whether we should account for the agreements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and, if so, we analyze whether we should account for any elements under ASC 606 </w:t>
      </w:r>
      <w:r>
        <w:rPr>
          <w:rFonts w:ascii="Times New Roman" w:hAnsi="Times New Roman"/>
          <w:i/>
          <w:color w:val="000000"/>
          <w:sz w:val="20"/>
        </w:rPr>
        <w:t>Revenue from Contracts with Customers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a collaboration agreement with UCB for dapirolizumab pegol, under which we are entitled to a total of up to $40.0 million of regulatory approval milestones, as well as royalties in the low single digits based on net sales of commercialized products, if any. UCB is developing dapirolizumab pegol, a PEGylated antibody fragment, with Biogen, Inc. for the treatment of systemic lupus erythematosus. However, given the current phase of development of this product and the uncertainty in clinical development, we have excluded these milestones from the transaction price for this agreement.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Certain of our other collaboration agreements have resulted in commercialized products for our collaborations partners. Under these agreements, we are entitled to receive royalties based on net sales of these products as well as sales milestones. As discussed in Note 3, we have sold our rights to receive royalties from these other collaboration agreements. Our non-cash royalty revenue, which totaled $10.1 million and $21.0 million for the three and six months ended June 30, 2026, respectively, and $11.2 million and $21.6 million for the three and six months ended June 30, 2025, respectively, represents revenue for granting licenses, which we had satisfied in prior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8 — Restructuring and Impairment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connection with our prior restructuring plans, we have incurred significant contract termination costs. We continue to recognize expense until settlement. Because we continue to adjust the liability based on updates to our assumptions at each reporting date, our estimates may continue to change until settlement.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are reconciliations of accrued contract termination and other costs for the three and six months ended June 30, 2026 and 2025 (in thousands): </w:t>
      </w:r>
    </w:p>
    <w:tbl>
      <w:tblPr>
        <w:tblW w:w="10205" w:type="dxa"/>
        <w:jc w:val="left"/>
        <w:tblInd w:w="0" w:type="dxa"/>
        <w:tblLayout w:type="fixed"/>
        <w:tblCellMar>
          <w:top w:w="28" w:type="dxa"/>
          <w:left w:w="28" w:type="dxa"/>
          <w:bottom w:w="28" w:type="dxa"/>
          <w:right w:w="28" w:type="dxa"/>
        </w:tblCellMar>
      </w:tblPr>
      <w:tblGrid>
        <w:gridCol w:w="7089"/>
        <w:gridCol w:w="146"/>
        <w:gridCol w:w="266"/>
        <w:gridCol w:w="854"/>
        <w:gridCol w:w="209"/>
        <w:gridCol w:w="183"/>
        <w:gridCol w:w="266"/>
        <w:gridCol w:w="797"/>
        <w:gridCol w:w="395"/>
      </w:tblGrid>
      <w:tr>
        <w:trPr/>
        <w:tc>
          <w:tcPr>
            <w:tcW w:w="7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 as of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 as of March 31,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 as of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contract termination costs, as of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portion of contract termination costs, as of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report the current portion of accrued contract termination costs within accrued expenses and the long-term portion within other long-term liabilities on our Condensed Consolidated Balance Sheets.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9 —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our shareholders approved an amendment to the Amended and Restated 2017 Performance Incentive Plan to increase the aggregate number of shares of common stock authorized for issuance thereunder by 3,000,000 shares.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recognized total stock-based compensation expense in our Condensed Consolidated Statements of Operations as follows (in thousands):</w:t>
      </w:r>
    </w:p>
    <w:tbl>
      <w:tblPr>
        <w:tblW w:w="8107" w:type="dxa"/>
        <w:jc w:val="left"/>
        <w:tblInd w:w="0" w:type="dxa"/>
        <w:tblLayout w:type="fixed"/>
        <w:tblCellMar>
          <w:top w:w="28" w:type="dxa"/>
          <w:left w:w="28" w:type="dxa"/>
          <w:bottom w:w="28" w:type="dxa"/>
          <w:right w:w="28" w:type="dxa"/>
        </w:tblCellMar>
      </w:tblPr>
      <w:tblGrid>
        <w:gridCol w:w="2946"/>
        <w:gridCol w:w="146"/>
        <w:gridCol w:w="257"/>
        <w:gridCol w:w="697"/>
        <w:gridCol w:w="178"/>
        <w:gridCol w:w="178"/>
        <w:gridCol w:w="257"/>
        <w:gridCol w:w="697"/>
        <w:gridCol w:w="146"/>
        <w:gridCol w:w="146"/>
        <w:gridCol w:w="235"/>
        <w:gridCol w:w="637"/>
        <w:gridCol w:w="162"/>
        <w:gridCol w:w="162"/>
        <w:gridCol w:w="235"/>
        <w:gridCol w:w="637"/>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10 — Segment Reporting</w:t>
      </w:r>
    </w:p>
    <w:p>
      <w:pPr>
        <w:pStyle w:val="TextBody"/>
        <w:bidi w:val="0"/>
        <w:spacing w:before="180" w:after="200"/>
        <w:jc w:val="left"/>
        <w:rPr>
          <w:rFonts w:ascii="Times New Roman" w:hAnsi="Times New Roman"/>
          <w:color w:val="000000"/>
          <w:sz w:val="20"/>
        </w:rPr>
      </w:pPr>
      <w:r>
        <w:rPr>
          <w:rFonts w:ascii="Times New Roman" w:hAnsi="Times New Roman"/>
          <w:color w:val="000000"/>
          <w:sz w:val="20"/>
        </w:rPr>
        <w:t xml:space="preserve">We operate in one business segment which focuses on applying our expertise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 who is our chief operating decision maker (CODM).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CODM assesses the performance of the Company and decides how to allocate resources based upon net loss that is also reported within the Condensed Consolidated Statements of Operations. The measure of segment assets that is reviewed by the CODM is reported within the Condensed Consolidated Balance Sheet as total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summary of the significant expense categories and consolidated net loss details provided to the CODM (in thousands):</w:t>
      </w:r>
    </w:p>
    <w:tbl>
      <w:tblPr>
        <w:tblW w:w="10205" w:type="dxa"/>
        <w:jc w:val="left"/>
        <w:tblInd w:w="0" w:type="dxa"/>
        <w:tblLayout w:type="fixed"/>
        <w:tblCellMar>
          <w:top w:w="28" w:type="dxa"/>
          <w:left w:w="28" w:type="dxa"/>
          <w:bottom w:w="28" w:type="dxa"/>
          <w:right w:w="28" w:type="dxa"/>
        </w:tblCellMar>
      </w:tblPr>
      <w:tblGrid>
        <w:gridCol w:w="4720"/>
        <w:gridCol w:w="146"/>
        <w:gridCol w:w="213"/>
        <w:gridCol w:w="747"/>
        <w:gridCol w:w="168"/>
        <w:gridCol w:w="147"/>
        <w:gridCol w:w="213"/>
        <w:gridCol w:w="747"/>
        <w:gridCol w:w="166"/>
        <w:gridCol w:w="146"/>
        <w:gridCol w:w="211"/>
        <w:gridCol w:w="781"/>
        <w:gridCol w:w="166"/>
        <w:gridCol w:w="146"/>
        <w:gridCol w:w="211"/>
        <w:gridCol w:w="781"/>
        <w:gridCol w:w="496"/>
      </w:tblGrid>
      <w:tr>
        <w:trPr/>
        <w:tc>
          <w:tcPr>
            <w:tcW w:w="4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development, contract manufacturing and other third party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Rezpegaldesleukin (IL-2 receptor agonist/regulatory T cell agent)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Tumor necrosis factor receptor type II (TNFR2)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Discovery research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clinical development, contract manufacturing and other third party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37,021</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costs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costs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(80,765</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 and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(85,764</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(85,628</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segment expense items included within net loss include the following (in thousands):</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3301"/>
        <w:gridCol w:w="146"/>
        <w:gridCol w:w="257"/>
        <w:gridCol w:w="697"/>
        <w:gridCol w:w="178"/>
        <w:gridCol w:w="178"/>
        <w:gridCol w:w="257"/>
        <w:gridCol w:w="697"/>
        <w:gridCol w:w="146"/>
        <w:gridCol w:w="146"/>
        <w:gridCol w:w="235"/>
        <w:gridCol w:w="637"/>
        <w:gridCol w:w="162"/>
        <w:gridCol w:w="162"/>
        <w:gridCol w:w="235"/>
        <w:gridCol w:w="637"/>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compensation and benefits for our employees and costs for our contractors and temporary workers.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legal and patent expenses, information technology infrastructure and other costs, professional accounting, insurance, travel and entertainment and other third party services and expenses.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2" w:name="section20"/>
      <w:bookmarkEnd w:id="12"/>
      <w:r>
        <w:rPr>
          <w:rFonts w:ascii="Times New Roman" w:hAnsi="Times New Roman"/>
          <w:b/>
          <w:color w:val="000000"/>
          <w:sz w:val="20"/>
        </w:rPr>
        <w:t>Item 2. Management’s Discussion and A</w:t>
      </w:r>
      <w:bookmarkStart w:id="13" w:name="item_2_mda"/>
      <w:bookmarkEnd w:id="13"/>
      <w:r>
        <w:rPr>
          <w:rFonts w:ascii="Times New Roman" w:hAnsi="Times New Roman"/>
          <w:b/>
          <w:color w:val="000000"/>
          <w:sz w:val="20"/>
        </w:rPr>
        <w:t>nalysis of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 “Risk Factors.”</w:t>
      </w:r>
    </w:p>
    <w:p>
      <w:pPr>
        <w:pStyle w:val="TextBody"/>
        <w:bidi w:val="0"/>
        <w:spacing w:before="180" w:after="283"/>
        <w:jc w:val="left"/>
        <w:rPr>
          <w:rFonts w:ascii="Times New Roman" w:hAnsi="Times New Roman"/>
          <w:b/>
          <w:color w:val="000000"/>
          <w:sz w:val="20"/>
        </w:rPr>
      </w:pPr>
      <w:bookmarkStart w:id="14" w:name="section21"/>
      <w:bookmarkEnd w:id="14"/>
      <w:r>
        <w:rPr>
          <w:rFonts w:ascii="Times New Roman" w:hAnsi="Times New Roman"/>
          <w:b/>
          <w:color w:val="000000"/>
          <w:sz w:val="20"/>
        </w:rPr>
        <w:t>Overview</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Strategic Direction of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Nektar Therapeutics is a clinical stage, research-based drug discovery biopharmaceutical company focused on the development of novel immunology therapies.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such as rezpegaldesleukin, NKTR-0165, and NKTR-0166, targets the treatment of autoimmune diseases. We continue to make significant investments in advancing and building our pipeline of drug candidates as we believe that this is the best strategy to build long-term shareholder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disease-modifying therapeutic that may address this underlying immune system imbalance in people with many autoimmune disorders and inflammatory diseases. It is designed to target the interleukin-2 (IL-2) receptor complex in the body in order to stimulate proliferation of powerful inhibitory immune cells known as regulatory T cells (Treg cells). Describing the critical role of Treg cells in maintaining balance in the immune system earned Drs. Mary E. Brunkow, Fred Ramsdell and Shimon Sakaguchi, the Nobel Prize in medicine in October 2025. By activating these Treg cells, rezpegaldesleukin may act to bring the immune system back into balance. Rezpegaldesleukin is being developed as a self-administered injection for a number of autoimmune disorders and inflammatory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rezpegaldesleukin in moderate-to-severe atopic dermatitis, severe-to-very-severe alopecia areata and, in collaboration with TrialNet, in new-onset stage 3 Type 1 diabetes mellitus.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we announced the initiation of the first two global registrational trials (ZENITH AD-1 and ZENITH AD-2) in the Phase 3 ZENITH AD program for rezpegaldesleukin. The Phase 3 ZENITH AD program is evaluating rezpegaldesleukin in patients who are 12 years of age or older with moderate-to-severe atopic dermatitis. The program includes three global, randomized, double-blind, placebo-controlled trials: ZENITH AD-1 and ZENITH AD-2 will enroll biologic and systemic JAK inhibitor treatment-naive patients and ZENITH AD-3 will enroll patients with prior biologic and/or systemic JAK inhibitor treatment experience. We intend to initiate a global registrational trial (ZENITH-AA-1) in early 2027 to evaluate rezpegaldesleukin in patients who are 12 years of age or older with severe-to-very-severe alopecia areata. Our ZENITH AD and AA programs will also include long-term extension studies in both indications and other supportive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announced that the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July 2025, we announced that the FDA had granted Fast Track designation for rezpegaldesleukin for the treatment of severe-to-very severe alopecia areata in adult and pediatric patients 12 years of age and older who weigh at least 40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initiated a Phase 2b clinical study of rezpegaldesleukin in patients with moderate-to-severe atopic dermatitis (the Phase 2b RESOLVE-AD trial), which is ongoing. In March 2024, we initiated a Phase 2b clinical study in patients with severe-to-very severe alopecia areata (the Phase 2b RESOLVE-AA trial), which is also ongoing.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June 2025, we announced statistically significant data from the 16-week induction period of the Phase 2b REZOLVE-AD trial being conducted in 393 patients. In the trial, patients were randomized (3:3:3:2) to receive subcutaneous treatment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one of three doses of rezpegaldesleukin: a high dose of 24 µg/kg every two weeks (q2w), a middle dose of 18 µg/kg every two weeks (q2w), and a low dose of 24 µg/kg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continued to receive placebo q4w.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announced in June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≥75% reduction in EASI from baseline), EASI-50 (percent of patients who achieve ≥50%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 Dermatitis with ≥ 2-point reduction from baseline) and Itch NRS (percent of patients with baseline ≥ 4 who experienced a ≥ 4-point reduction in the Itch Numerical Rating Score from baseline). In addition, at week 16, the high dose of 24 µg/kg q2w achieved statistical significance on EASI-90 (percent of patients who achieve ≥ 90% reduction in EASI from baseline). When evaluating EASI-75 and EASI-90 by disease severity using baseline vIGA-AD score, similar responses were observed in severe patients (baseline vIGA-AD of 4) as in moderate patients (baseline vIGA-AD of 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September 2025, we presented new data from the Phase 2b REZOLVE-AD trial at the European Academy of Dermatology and Venereology (EADV) 2025 Congress. Building on previously presented data, these data demonstrated that high dose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February 2026, we announced data from the blinded 36-week maintenance period of the Phase 2b REZOLVE-AD trial. Rezpegaldesleukin demonstrated long-term durability and continued atopic dermatitis disease symptom improvement during the maintenance period. Q4w and q12w dosing regimens resulted in sustained disease control for EASI-75, EASI-90, vIGA-AD response, and Itch NRS response, with the 24 µg/kg q4w and q12w regimens showing the highest maintenance of response at week 52. 71% and 83% of patients maintained EASI-75 responses and 85% and 63% maintained vIGA-AD 0/1 responses with 24 µg/kg q4w and q12w dosing, respectively, at week 52. A meaningful proportion of patients achieved new EASI-75, EASI-90, Itch NRS and vIGA-AD 0/1 responses at week 52 of the study. A two to five fold increase in percentage of patients who achieved EASI-100 was observed in the 24 µg/kg q4w and q12w dosing regimens. Among 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safety profile of rezpegaldesleukin in maintenance was consistent with observations from the induction part of the study. Rezpegaldesleukin was well-tolerated with no new safety concerns identified during the maintenance and escape periods. The discontinuation rate due to adverse events was 3.5% for all aggregated patients. Overall rates of TEAEs were 72% for rezpegaldesleukin treated patients, 65% for placebo patients in maintenance, and 83% for all escape patients. The most frequent TEAE was ISRs, nearly all of which were mild (77%), and which occurred at a lower rate and frequency than observed in the initial induction part of the study (discontinuation rate due to injection site reactions was 0.7%). The Phase 2b REZOLVE-AD trial remains ongoing for a 52-week posttreatment follow-up period.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December 2025, we announced topline results from the 36-week induction treatment period of the Phase 2b REZOLVE-AA study being conducted in 92 patients with severe-to-very-severe alopecia areata. Patients were randomized (3:3:2) to receive one of two rezpegaldesleukin doses (24 µg/kg or 18 µg/kg) or placebo, administered as a subcutaneous injection twice monthly. The primary endpoint was the mean percentage reduction from baseline in the Severity of Alopecia Tool (SALT) score at week 36. Primary and secondary endpoints were assessed at the end of the 36-week induction treatment period.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Both rezpegaldesleukin dose arms more than doubled the SALT score reduction treatment effect observed with placebo, with the majority of patients experiencing hair growth at week 16 or later. A mean percent SALT reduction at week 36 of 28.2% for the 24 µg/kg rezpegaldesleukin arm, 30.3% for the 18 µg/kg rezpegaldesleukin arm, and 11.2% for placebo (p=0.186 and p=0.121, respectively) was observed. At all timepoints, the rezpegaldesleukin treatment arms separated from placebo in the study. Both rezpegaldesleukin treatment arms showed a dose dependent clinical treatment effect as compared to placebo on the key secondary endpoints of SALT ≤30, SALT≤20 and SALT≤10 and SALT30.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Four of 92 patients included in the modified intent-to-treat (mITT) analysis were found to have study eligibility violations that should have disqualified them for randomization into the trial. Both rezpegaldesleukin treatment arms met statistical significance on the primary endpoint when excluding the four patients with major study eligibility violations. At week 36, the mean percent SALT reduction was 29.6% for 24 µg/kg, 30.4% for 18 µg/kg, and 5.7% for placebo (p=0.049 and p=0.042, respectively). Importantly, the absolute treatment effect for the rezpegaldesleukin arms was similar with or without the exclusion of eligibility violations. One patient in the placebo arm with an eligibility violation accounted for the 5.5% difference in the performance of the placebo arm.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Consistent with prior studies, a favorable safety and tolerability profile was observed, with nearly all TEAEs mild-to-moderate in severity and self-resolving, even in patients receiving 52 weeks of treatment. The discontinuation rate due to adverse events was 1.4% in the combined rezpegaldesleukin treatment arms. No patients discontinued treatment due to an ISR. The placebo adjusted-ISR rate was consistent with prior studies, with 87.0% of ISRs reported as mild. There was no increased risk of major adverse cardiovascular events, thrombosis, infection, acne or oral herpes for REZPEG-exposed patients, compared to placebo.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April 2026, we announced 52-week topline results from the 16-week blinded treatment extension period of the REZOLVE-AA trial. Following completion of the induction phase, patients with a SALT Score greater than 20 at week 36 who also demonstrated hair growth were eligible to continue on rezpegaldesleukin at their induction dose level in a blinded 16-week exploratory treatment extension through week 52. From week 36 to week 52, 29% of patients at 18 µg/kg dose and 31% of patients at 24 µg/kg dose achieved new SALT Score ≤20 responses as compared to none in the placebo arm. Increasing proportions of patients achieved clinically meaningful hair growth thresholds across numerous SALT measurements with 94% of patients completing treatment extension. The Phase 2b REZOLVE-AA trial remains ongoing for a 24-week posttreatment follow-up period.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February 2025, we announced that we had entered into a collaboration agreement with TrialNet to evaluate rezpegaldesleukin in patients with new-onset stage 3 Type 1 diabetes mellitus in a Phase 2 study, which was initiated in May 2026.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continue to advance our most promising research drug candidates into preclinical development with the objective of advancing these early-stage research programs to human clinical studies over the next several years. Our lead research program is based on tumor necrosis factor (TNF) receptor type II (TNFR2) agonism, without modulation of the TNFR1 signaling, after we exercised an option in December 2023 to gain an exclusive license to specified agonistic antibodies and other materials that were developed pursuant to a research collaboration and license option agreement we entered into with Biolojic Design, Ltd. in 2021.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NKTR-0165 is currently in the Investigational New Drug (IND) enabling phase. We have also designed a unique bispecific antibody, NKTR-0166, that incorporates the TNFR2 agonist epitope and an antagonist epitope validated in the treatment of rheumatology diseases. As a dual agonist:antagonist of known pathways associated with key pathways linked to disease pathogenesis, this investigational antibody is being developed to address a number of rheumatic disorders.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derived substantially all of our revenue and significant amounts of research and development operating capital from our collaboration agreements. We have received upfront and milestone payments and cost-sharing reimbursements under a number of previous collaboration agreements, and certain of our collaboration partners have borne substantial costs of developing our drug candidates. We may continue our approach of entering into revenue-generating collaboration agreements to pay in whole or in part the development costs of our drug candidates, or we may finance the development of our drug candidates with our own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also includes NKTR-255, an investigational biologic in oncology that is designed to target the IL-15 pathway in order to activate the body’s innate and adaptive immunity. Through optimal engagement of the IL-15 receptor complex, NKTR-255 is designed to enhance functional NK cell populations and formation of long-term immunological memory, which may lead to sustained and durable anti-tumor immune response. We are seeking potential partnerships for this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Several of our historical collaboration agreements have resulted in approved drugs, for which we may be entitled to royalties for net sales of these approved drugs. However, we have sold our rights to receive royalties under these arrangements,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2012 Purchase and Sale Agreement: In 2012, we sold all of our rights to receive royalties from CIMZIA</w:t>
      </w:r>
      <w:r>
        <w:rPr>
          <w:rFonts w:ascii="Times New Roman" w:hAnsi="Times New Roman"/>
          <w:color w:val="000000"/>
          <w:sz w:val="13"/>
        </w:rPr>
        <w:t>®</w:t>
      </w:r>
      <w:r>
        <w:rPr>
          <w:color w:val="000000"/>
        </w:rPr>
        <w:t xml:space="preserve"> </w:t>
      </w:r>
      <w:r>
        <w:rPr>
          <w:rFonts w:ascii="Times New Roman" w:hAnsi="Times New Roman"/>
          <w:color w:val="000000"/>
          <w:sz w:val="20"/>
        </w:rPr>
        <w:t>(for the treatment of Crohn’s disease and other autoimmune indications) and MIRCERA</w:t>
      </w:r>
      <w:r>
        <w:rPr>
          <w:rFonts w:ascii="Times New Roman" w:hAnsi="Times New Roman"/>
          <w:color w:val="000000"/>
          <w:sz w:val="13"/>
        </w:rPr>
        <w:t>®</w:t>
      </w:r>
      <w:r>
        <w:rPr>
          <w:color w:val="000000"/>
        </w:rPr>
        <w:t xml:space="preserve"> </w:t>
      </w:r>
      <w:r>
        <w:rPr>
          <w:rFonts w:ascii="Times New Roman" w:hAnsi="Times New Roman"/>
          <w:color w:val="000000"/>
          <w:sz w:val="20"/>
        </w:rPr>
        <w:t>(for the treatment of anemia associated with chronic kidney disease) under our collaborations with UCB Pharma (UCB) and F. Hoffmann-La Roche Ltd, respectively, to RPI Finance Trust (RPI), an affiliate of Royalty Pharma for $124.0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2020 Purchase and Sale Agreement: In December 2020, we sold our rights, subject to a cap, to receive royalties from MOVANTIK</w:t>
      </w:r>
      <w:r>
        <w:rPr>
          <w:rFonts w:ascii="Times New Roman" w:hAnsi="Times New Roman"/>
          <w:color w:val="000000"/>
          <w:sz w:val="13"/>
        </w:rPr>
        <w:t>®</w:t>
      </w:r>
      <w:r>
        <w:rPr>
          <w:color w:val="000000"/>
        </w:rPr>
        <w:t xml:space="preserve"> </w:t>
      </w:r>
      <w:r>
        <w:rPr>
          <w:rFonts w:ascii="Times New Roman" w:hAnsi="Times New Roman"/>
          <w:color w:val="000000"/>
          <w:sz w:val="20"/>
        </w:rPr>
        <w:t>/ MOVENTIG</w:t>
      </w:r>
      <w:r>
        <w:rPr>
          <w:rFonts w:ascii="Times New Roman" w:hAnsi="Times New Roman"/>
          <w:color w:val="000000"/>
          <w:sz w:val="13"/>
        </w:rPr>
        <w:t>®</w:t>
      </w:r>
      <w:r>
        <w:rPr>
          <w:color w:val="000000"/>
        </w:rPr>
        <w:t xml:space="preserve"> </w:t>
      </w:r>
      <w:r>
        <w:rPr>
          <w:rFonts w:ascii="Times New Roman" w:hAnsi="Times New Roman"/>
          <w:color w:val="000000"/>
          <w:sz w:val="20"/>
        </w:rPr>
        <w:t>(for the treatment of opioid-induced constipation), ADYNOVATE</w:t>
      </w:r>
      <w:r>
        <w:rPr>
          <w:rFonts w:ascii="Times New Roman" w:hAnsi="Times New Roman"/>
          <w:color w:val="000000"/>
          <w:sz w:val="13"/>
        </w:rPr>
        <w:t>®</w:t>
      </w:r>
      <w:r>
        <w:rPr>
          <w:color w:val="000000"/>
        </w:rPr>
        <w:t xml:space="preserve"> </w:t>
      </w:r>
      <w:r>
        <w:rPr>
          <w:rFonts w:ascii="Times New Roman" w:hAnsi="Times New Roman"/>
          <w:color w:val="000000"/>
          <w:sz w:val="20"/>
        </w:rPr>
        <w:t>/ ADYNOVI</w:t>
      </w:r>
      <w:r>
        <w:rPr>
          <w:rFonts w:ascii="Times New Roman" w:hAnsi="Times New Roman"/>
          <w:color w:val="000000"/>
          <w:sz w:val="13"/>
        </w:rPr>
        <w:t>®</w:t>
      </w:r>
      <w:r>
        <w:rPr>
          <w:color w:val="000000"/>
        </w:rPr>
        <w:t xml:space="preserve"> </w:t>
      </w:r>
      <w:r>
        <w:rPr>
          <w:rFonts w:ascii="Times New Roman" w:hAnsi="Times New Roman"/>
          <w:color w:val="000000"/>
          <w:sz w:val="20"/>
        </w:rPr>
        <w:t>(a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LLC (HCR). In March 2024, Nektar and HCR amended the 2020 Purchase and Sale Agreement to remove the cap on the royalties in exchange for $15.0 million. See Note 3 to our Condensed Consolidated Financial Statements for additional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continued to manufacture the polymer reagents used in the production of some of the drug products until the sale of our manufacturing facility in Huntsville, Alabama (the Facility) in December 2024. See Note 4 to our Condensed Consolidated Financial Statements for additional information. The sale of the Facility does not alter the royalties or other milestones payable under these agreements or our collaboration agreement with UCB for dapirolizumab pegol as further disclosed in Note 7 to our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significant risks, including the risks inherent in our development efforts, the results of our clinical trials, our dependence on marketing efforts by our collaboration partners, uncertainties associated with obtaining and enforcing patents, the lengthy and expensive regulatory approval process and competition from other products. Drug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financing our near-term business needs, as set forth below in “Liquidity and Capital Resources”, we estimate we have working capital to fund our current business plans through at least the next twelve months. At June 30, 2026, we had approximately $1,023.4 million in cash and investments in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July 2025 to April 2026, we completed a number of equity-based financing transactions, under which we have sold 19,400,822 shares of our common stock and 293,103 pre-funded warrants, resulting in net proceeds of $1,068.6 million. See Note 6 to our Condensed Consolidated Financial Statements for additional information.</w:t>
      </w:r>
    </w:p>
    <w:p>
      <w:pPr>
        <w:pStyle w:val="TextBody"/>
        <w:bidi w:val="0"/>
        <w:spacing w:before="180" w:after="283"/>
        <w:jc w:val="left"/>
        <w:rPr>
          <w:rFonts w:ascii="Times New Roman" w:hAnsi="Times New Roman"/>
          <w:b/>
          <w:i/>
          <w:color w:val="000000"/>
          <w:sz w:val="20"/>
        </w:rPr>
      </w:pPr>
      <w:bookmarkStart w:id="15" w:name="section22"/>
      <w:bookmarkEnd w:id="15"/>
      <w:r>
        <w:rPr>
          <w:rFonts w:ascii="Times New Roman" w:hAnsi="Times New Roman"/>
          <w:b/>
          <w:i/>
          <w:color w:val="000000"/>
          <w:sz w:val="20"/>
        </w:rPr>
        <w:t>Results of Operations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following sets forth our Condensed Consolidated Statements of Operations data for each of the periods indicated </w:t>
      </w:r>
      <w:r>
        <w:rPr>
          <w:rFonts w:ascii="Times New Roman" w:hAnsi="Times New Roman"/>
          <w:i/>
          <w:color w:val="000000"/>
          <w:sz w:val="20"/>
        </w:rPr>
        <w:t>(in thousands, except percentages).</w:t>
      </w:r>
    </w:p>
    <w:tbl>
      <w:tblPr>
        <w:tblW w:w="10205" w:type="dxa"/>
        <w:jc w:val="left"/>
        <w:tblInd w:w="0" w:type="dxa"/>
        <w:tblLayout w:type="fixed"/>
        <w:tblCellMar>
          <w:top w:w="28" w:type="dxa"/>
          <w:left w:w="28" w:type="dxa"/>
          <w:bottom w:w="28" w:type="dxa"/>
          <w:right w:w="28" w:type="dxa"/>
        </w:tblCellMar>
      </w:tblPr>
      <w:tblGrid>
        <w:gridCol w:w="4612"/>
        <w:gridCol w:w="146"/>
        <w:gridCol w:w="214"/>
        <w:gridCol w:w="748"/>
        <w:gridCol w:w="168"/>
        <w:gridCol w:w="147"/>
        <w:gridCol w:w="214"/>
        <w:gridCol w:w="748"/>
        <w:gridCol w:w="166"/>
        <w:gridCol w:w="146"/>
        <w:gridCol w:w="252"/>
        <w:gridCol w:w="755"/>
        <w:gridCol w:w="166"/>
        <w:gridCol w:w="146"/>
        <w:gridCol w:w="236"/>
        <w:gridCol w:w="783"/>
        <w:gridCol w:w="558"/>
      </w:tblGrid>
      <w:tr>
        <w:trPr/>
        <w:tc>
          <w:tcPr>
            <w:tcW w:w="4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2026 vs. 2025</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525"/>
        <w:gridCol w:w="146"/>
        <w:gridCol w:w="211"/>
        <w:gridCol w:w="781"/>
        <w:gridCol w:w="166"/>
        <w:gridCol w:w="146"/>
        <w:gridCol w:w="211"/>
        <w:gridCol w:w="781"/>
        <w:gridCol w:w="166"/>
        <w:gridCol w:w="146"/>
        <w:gridCol w:w="232"/>
        <w:gridCol w:w="812"/>
        <w:gridCol w:w="166"/>
        <w:gridCol w:w="146"/>
        <w:gridCol w:w="235"/>
        <w:gridCol w:w="780"/>
        <w:gridCol w:w="555"/>
      </w:tblGrid>
      <w:tr>
        <w:trPr/>
        <w:tc>
          <w:tcPr>
            <w:tcW w:w="4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2026 vs. 2025</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royalty revenue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 and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revenue has historically been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 </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Non-cash royalty revenue and Non-cash interest expense</w:t>
      </w:r>
      <w:r>
        <w:rPr>
          <w:rFonts w:ascii="Times New Roman" w:hAnsi="Times New Roman"/>
          <w:color w:val="000000"/>
          <w:sz w:val="20"/>
        </w:rPr>
        <w:t>: We recognize non-cash royalty revenue and non-cash interest expense resulting from royalties on several products for which we had previously sold our rights to receive royalties under the 2012 and 2020 Purchase and Sale Agreements. See Note 3 to our Condensed Consolidated Financial Statements for additional information regarding these agreements. These non-cash revenues and expenses have no effect on our cash flows, and we do not consider them material to our operations. We expect non-cash royalty revenue to decrease for 2026 as compared to 2025 due to the end of the royalty terms for several products, and we expect non-cash interest expense to increase slightly as a result of a higher effective interest rate.</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License, collaboration and other revenue: </w:t>
      </w:r>
      <w:r>
        <w:rPr>
          <w:rFonts w:ascii="Times New Roman" w:hAnsi="Times New Roman"/>
          <w:color w:val="000000"/>
          <w:sz w:val="20"/>
        </w:rPr>
        <w:t>License, collaboration and other revenue includes the recognition of upfront payments, milestone and other contingent payments received in connection with our license and collaboration agreements. The amount of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License, collaboration and other revenue was not material for the periods presented or for the full year 2025, and unless we enter into a new collaboration agreement with upfront payments, we do not expect to recognize significant revenue in 2026.</w:t>
      </w:r>
    </w:p>
    <w:p>
      <w:pPr>
        <w:pStyle w:val="TextBody"/>
        <w:bidi w:val="0"/>
        <w:spacing w:before="18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Research and development expense consists primarily of clinical study costs, contract manufacturing costs, direct costs of outside research, materials, supplies, licenses and fees as well as personnel costs (including salaries, benefits, contractor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temporary workers, and non-cash stock-based compensation). Research and development expense also includes certain overhead allocations of support costs.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Research and development expense increased for the three and six months ended June 30, 2026 as compared to the three and six months ended June 30, 2025, respectively, as reported in the following table, which presents expenses incurred for direct third-party costs, including clinical and regulatory services, contract manufacturing, clinical supplies, and preclinical study support for each of our drug candidates. The table also presents personnel, overhead and other indirect costs as we utilize our employee, contractor and infrastructure resources across multiple research and development programs (in thousands):</w:t>
      </w:r>
    </w:p>
    <w:tbl>
      <w:tblPr>
        <w:tblW w:w="10205" w:type="dxa"/>
        <w:jc w:val="left"/>
        <w:tblInd w:w="0" w:type="dxa"/>
        <w:tblLayout w:type="fixed"/>
        <w:tblCellMar>
          <w:top w:w="28" w:type="dxa"/>
          <w:left w:w="28" w:type="dxa"/>
          <w:bottom w:w="28" w:type="dxa"/>
          <w:right w:w="28" w:type="dxa"/>
        </w:tblCellMar>
      </w:tblPr>
      <w:tblGrid>
        <w:gridCol w:w="2967"/>
        <w:gridCol w:w="146"/>
        <w:gridCol w:w="209"/>
        <w:gridCol w:w="643"/>
        <w:gridCol w:w="156"/>
        <w:gridCol w:w="156"/>
        <w:gridCol w:w="209"/>
        <w:gridCol w:w="643"/>
        <w:gridCol w:w="146"/>
        <w:gridCol w:w="146"/>
        <w:gridCol w:w="231"/>
        <w:gridCol w:w="675"/>
        <w:gridCol w:w="166"/>
        <w:gridCol w:w="146"/>
        <w:gridCol w:w="202"/>
        <w:gridCol w:w="621"/>
        <w:gridCol w:w="150"/>
        <w:gridCol w:w="150"/>
        <w:gridCol w:w="202"/>
        <w:gridCol w:w="621"/>
        <w:gridCol w:w="146"/>
        <w:gridCol w:w="146"/>
        <w:gridCol w:w="223"/>
        <w:gridCol w:w="684"/>
        <w:gridCol w:w="421"/>
      </w:tblGrid>
      <w:tr>
        <w:trPr/>
        <w:tc>
          <w:tcPr>
            <w:tcW w:w="2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2026 vs. 2025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Rezpegaldesleukin (IL-2 receptor agonist/regulatory T cell agent)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43,125</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Tumor necrosis factor receptor type II (TNFR2)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Discovery research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clinical development, contract manufacturing and other third party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7,969</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overhead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3,617</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39,129</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74,809</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14,443</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for rezpegaldesleukin increased for the three and six months ended June 30, 2026 as compared to the three and six months ended June 30, 2025, as we commenced activities to support the Phase 3 ZENITH AD program in atopic dermatitis, including clinical trial start-up activities with our contract research organizations, and manufacturing activities associated with rezpegaldesleukin. This increase was partially offset by lower costs from our Phase 2b studies in atopic dermatitis and alopecia areata, as patients have completed the induction phase and moved into the maintenance or off-treatment follow up phases of these studies. We expect the costs of development of rezpegaldesleukin for full year 2026 to significantly increase as we continue the development of rezpegaldesleukin, including the Phase 3 ZENITH AD program in atopic dermatitis, the Phase 3 ZENITH AA program in alopecia areata, and manufacturing activities associated with rezpegaldesleukin. We expect research and development expense to increase significantly in future periods as patients are enrolled in our Phase 3 ZENITH AD and ZENITH AA programs and our contract manufacturing organizations produce clinical drug supply to support these studies and complete other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for our TNFR2 program decreased for the three and six months ended June 30, 2026 as compared to the three and six months ended June 30, 2025, as we have completed a significant portion of our IND enabling activities for NKTR-0165. We expect the costs of development of TNFR2 program to decrease for full year 2026 as compared to 2025 for the same reason. We may owe additional milestone payments to Biolojic, as further disclosed in Note 5 to our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overhead and other costs increased for the three and six months ended June 30, 2026 as compared to the three and six months ended June 30, 2025, due to increased personnel to support our Phase 3 rezpegaldesleukin program. We expect personnel, overhead and other costs for full year 2026 to increase compared to full year 2025 to support our development of rezpegaldesleukin.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total research and development expense to increase significantly for full year 2026 compared to 2025 to support our development of rezpegaldesleukin, including the Phase 3 ZENITH AD program in atopic dermatitis, the Phase 3 ZENITH AA program in alopecia areata, and manufacturing activities associated with rezpegaldesleukin.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drug candidates that we plan to evaluate in clinical development during 2026 and beyond, we believe it is vitally important to continue our investment in a pipeline of new drug candidates to continue to build the value of our drug candidate pipeline and our business. We continue our interest in identifying new drug candidates across a wide range of molecule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early-stage research programs to human clinical studies over the next several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a given clinical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clinical study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sites included in the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study designs required by the health authorities (i.e. primary and secondary endpoints as well as the size of the study population needed to demonstrate efficacy and safety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changing standards of care for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competition for patient recruitment from competitive drug candidates being studied in the same clinical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producing supplies of the drug candidates needed for clinical trials and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profile of the drug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clinical research organizations to assist with the management of the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and the ability to secure, approvals from government health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strategy includes the potential of entering into collaborations with third parties to participate in the development and commercialization of some of our drug candidates,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pStyle w:val="TextBody"/>
        <w:bidi w:val="0"/>
        <w:spacing w:before="180" w:after="283"/>
        <w:jc w:val="left"/>
        <w:rPr>
          <w:rFonts w:ascii="Times New Roman" w:hAnsi="Times New Roman"/>
          <w:sz w:val="20"/>
        </w:rPr>
      </w:pPr>
      <w:r>
        <w:rPr>
          <w:rFonts w:ascii="Times New Roman" w:hAnsi="Times New Roman"/>
          <w:b/>
          <w:i/>
          <w:color w:val="000000"/>
          <w:sz w:val="20"/>
        </w:rPr>
        <w:t>General and Administrative Expense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 and administrative expense includes the cost of administrative staffing, finance and legal activities, including certain overhead support allocations. Additionally, general and administrative expense includes our lease and other facilities expenses, net of sublease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 and administrative expense decreased for the three and six months ended June 30, 2026 as compared to the three and six months ended June 30, 2025, mainly due to a decrease in legal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expect general and administrative expenses to increase in the second half of 2026 due to increases in legal expenses and employee costs. However, we expect general and administrative expense for full year 2026 to decrease slightly as compared to full year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Restructuring and Impairment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discussed in Note 8 to our Condensed Consolidated Financial Statements, we have incurred significant contract termination costs as a result of our prior restructuring plans. which we report as restructuring and impairment expense. We recognized $4.9 million in contract termination costs for the full year 2025. We continue to recognize expense until settlement. Because we continue to adjust the liability based on updates to our assumptions at each reporting date, our estimates may continue to change until settlement.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During full year 2025, we recognized $4.4 million in non-cash impairment charges related to our lease spaces.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income increased for the three and six months ended June 30, 2026 as compared to the three and six months ended June 30, 2025, respectively, due to higher investment balances as a result of our equity-based financings as further disclosed in Note 6 to our Condensed Consolidated Financial Statements. We expect interest income to increase for full year 2026 compared to full year 2025 for the same reason.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Loss from Equity Method Investment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discussed in Note 4 to our Condensed Consolidated Financial Statements, we determine our gain or loss on our equity method investment in Gannet BioChem using the hypothetical liquidation at book value (HLBV) due to Ampersand’s priority liquidation preference and right to receive a cumulative preferred dividend. The HLBV method is a balance sheet approach that calculates the change in the hypothetical amount we and Ampersand would be entitled to receive if Gannet BioChem were liquidated at book value at the end of each period, subject to certain adjustments for any contributions, distributions and basis differences. We report our gain or loss from our equity method investment in Gannet BioChem on a three-month lag. Therefore, our loss recorded for the three months ended June 30, 2026 and 2025 reflects Gannet BioChem’s activities for the three months ended March 31, 2026 and 2025, respectively. Our loss recorded for the six months ended June 30, 2026 and 2025, reflects Gannet BioChem’s activities for six months ended March 31, 2026 and from closing on December 2, 2024 through March 31, 2025, respectively. Our losses for these periods reflect Ampersand’s cumulative preferred dividend earned for such periods and Gannet BioChem’s net losses for such periods. Our loss of $6.8 million for the six months ended June 30, 2025 includes $2.5 million of Ampersand’s closing transaction costs deducted from Ampersand’s cash investment in Gannet BioChem.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do not expect a significant gain or loss from equity method investment in 2026. </w:t>
      </w:r>
    </w:p>
    <w:p>
      <w:pPr>
        <w:pStyle w:val="TextBody"/>
        <w:bidi w:val="0"/>
        <w:spacing w:before="180" w:after="283"/>
        <w:jc w:val="left"/>
        <w:rPr>
          <w:rFonts w:ascii="Times New Roman" w:hAnsi="Times New Roman"/>
          <w:b/>
          <w:color w:val="000000"/>
          <w:sz w:val="20"/>
        </w:rPr>
      </w:pPr>
      <w:bookmarkStart w:id="16" w:name="section23"/>
      <w:bookmarkEnd w:id="16"/>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operations primarily through public and private placements of debt and equity securities, royalties and product sales, as well as, revenue from upfront and milestone payments under our strategic collaboration agreements. As of June 30, 2026, we had approximately $1,023.4 million in cash and investments in marketable securities. We estimate that we have working capital to fund our current business plans for at least the next twelve months from the date of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July 2025 to April 2026, we completed a number of equity-based financing transactions, under which we sold 19,400,822 shares of our common stock and 293,103 pre-funded warrants, resulting in net proceeds of $1,068.6 million. We have an active shelf registration statement that we filed on Form S-3ASR and a related prospectus in November 2025,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May 2026, we entered into a new equity distribution agreement (the May 2026 ATM Sales Agreement) with Guggenheim Securities, LLC and H.C. Wainwright &amp; Co., LLC, relating to the sale of our common stock having an aggregate offering price of up to $150.0 million in an “at-the-market” offering under the November 2025 Shelf Registration. We agreed to pay Guggenheim Securities, LLC and H.C. Wainwright &amp; Co. LLC a commission equal to 3.0% of the gross sales price of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common stock sold under the May 2026 ATM Sales Agreement. As of June 30, 2026, no shares have been issued under the May 2026 ATM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6 to our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clinical development of our drug candidates, including rezpegaldesleukin and our TNFR2 program, including NKTR-0165 and NKTR-0166 will continue to require significant investment to continue to advance in clinical development with the objective of obtaining regulatory approval or entering into one or more collaboration partnerships. In particular, we will require substantial amounts of capital to complete our Phase 3 ZENITH AD and AA programs and related manufacturing activities and to file for potential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have received a number of significant payments from collaboration agreements and other significant transactions. Additionally, certain of our collaboration partners have borne substantial costs of developing our drug candidates. We may continue our approach of entering into revenue-generating collaboration agreements to pay in whole or in part the development costs of our drug candidates, or we may finance the development of our drug candidates with our own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business is subject to significant uncertainties and risks as a result of, among other factors, clinical and regulatory outcomes for rezpegaldesleukin, and our TNFR2 program, including NKTR-0165 and NKTR-0166; the sales levels for those products, if and when they are approved; whether, when and on what terms we are able to enter into new collaboration transactions; expenses being higher or timelines being longer than anticipated, unplanned expenses and the need to satisfy contingent liabilities, including litigation matters and indemnification obligations; and cash receipts, including interest and sublease income, being lower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prior restructuring plans, we are seeking to sublease all of our leased facilities in San Francisco, California, including our laboratory and office space on Mission Bay Blvd. South (the Mission Bay Facility) and our office space on Third St. (the Third. St. Facility), and we have current subleases for a portion of the Mission Bay Facility. The San Francisco Bay Area office lease market has been negatively impacted by economic uncertainties, particularly impacting the technology industry, and the change in work habits, as employees continue to work remotely. Accordingly, for the Third St. Facility and the unleased portions of the Mission Bay Facility, there is significant uncertainty as to whether or when we will be able to enter into a sublease as well as the economic terms of such subleases, if any. Meanwhile, the San Francisco Bay Area life sciences lease market continues to be weak as a significant amount of leasable space remains available in the San Francisco Bay Area. Accordingly, there is uncertainty as to whether or when we will be able to enter into a sublease as well as the economic terms of such subleases, if any. If we enter into additional sublease arrangements, we will be subject to the credit risks of the sublessees. If a sublessee fails to satisfy its payment obligations, we remain responsible for our obligations under the underlying lease and may incur losses, additional impairment charges, or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flows used in operating activities for the six months ended June 30, 2026 and 2025 totaled $120.1 million and $94.8 million, respectively. The increase in cash flows used in operating activities for the six months ended June 30, 2026, reflects activities to support our Phase 3 ZENITH AD program in atopic dermatitis and manufacturing activities associated with rezpegaldesleukin, as well as increases in employee costs to support our Phase 3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cash flows used in operating activities, excluding upfront, milestone and other contingent payments received, if any, will increase significantly for 2026 as compared to 2025 to support our development of rezpegaldesleukin primarily focusing on the Phase 3 ZENITH AD program in atopic dermatitis, the Phase 3 ZENITH AA program in alopecia areata and manufacturing activities related to rezpegaldesleukin.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2026, we purchased $749.8 million investments in marketable securities, net of maturities, as we have invested the proceeds from our equity financings, offset by funding our operations. During the six months ended June 30, 2025, the maturities of our investments in marketable securities, net of purchases, totaled $94.0 million, which we used to fund our operations. Our other investing activities were not significant for the periods presented.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than the financing activities described above and further disclosed in Note 6 to our Condensed Consolidated Financial Statements, we also received proceeds of $4.9 million from issuance of common stock related to our employee option and stock purchase plans during the six months ended June 30, 2026.</w:t>
      </w:r>
    </w:p>
    <w:p>
      <w:pPr>
        <w:pStyle w:val="TextBody"/>
        <w:bidi w:val="0"/>
        <w:spacing w:before="180" w:after="283"/>
        <w:jc w:val="left"/>
        <w:rPr>
          <w:rFonts w:ascii="Times New Roman" w:hAnsi="Times New Roman"/>
          <w:b/>
          <w:color w:val="000000"/>
          <w:sz w:val="20"/>
        </w:rPr>
      </w:pPr>
      <w:bookmarkStart w:id="17" w:name="section24"/>
      <w:bookmarkEnd w:id="17"/>
      <w:r>
        <w:rPr>
          <w:rFonts w:ascii="Times New Roman" w:hAnsi="Times New Roman"/>
          <w:b/>
          <w:color w:val="000000"/>
          <w:sz w:val="20"/>
        </w:rPr>
        <w:t>Critical Accounting Policies and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sz w:val="20"/>
        </w:rPr>
      </w:pPr>
      <w:bookmarkStart w:id="18" w:name="item_3"/>
      <w:bookmarkEnd w:id="18"/>
      <w:r>
        <w:rPr>
          <w:rFonts w:ascii="Times New Roman" w:hAnsi="Times New Roman"/>
          <w:b/>
          <w:color w:val="000000"/>
          <w:sz w:val="20"/>
        </w:rPr>
        <w:t>Item 3. Quantitative and</w:t>
      </w:r>
      <w:r>
        <w:rPr>
          <w:rFonts w:ascii="Times New Roman" w:hAnsi="Times New Roman"/>
          <w:color w:val="000000"/>
          <w:sz w:val="20"/>
        </w:rPr>
        <w:t xml:space="preserve"> </w:t>
      </w:r>
      <w:r>
        <w:rPr>
          <w:rFonts w:ascii="Times New Roman" w:hAnsi="Times New Roman"/>
          <w:b/>
          <w:color w:val="000000"/>
          <w:sz w:val="20"/>
        </w:rPr>
        <w:t>Qualitative Disclosures about Market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market risks at June 30, 2026 have not changed materially from those discussed in Item 7A of our Annual Report on Form 10-K for the year ended December 31, 2025 on file with the SEC.</w:t>
      </w:r>
    </w:p>
    <w:p>
      <w:pPr>
        <w:pStyle w:val="TextBody"/>
        <w:bidi w:val="0"/>
        <w:spacing w:before="180" w:after="283"/>
        <w:jc w:val="left"/>
        <w:rPr>
          <w:rFonts w:ascii="Times New Roman" w:hAnsi="Times New Roman"/>
          <w:sz w:val="20"/>
        </w:rPr>
      </w:pPr>
      <w:bookmarkStart w:id="19" w:name="item_4"/>
      <w:bookmarkEnd w:id="19"/>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continuously seek to improve the efficiency and effectiveness of our internal controls. This results in refinements to processes throughout the Company. There was no change in our internal control over financial reporting that occurred in the three months ended June 30, 2026 that has materially affected, or is reasonably likely to materially affect, our internal control over financial reporting.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Inherent Limitations on the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0" w:name="part_ii"/>
      <w:bookmarkEnd w:id="20"/>
      <w:r>
        <w:rPr>
          <w:rFonts w:ascii="Times New Roman" w:hAnsi="Times New Roman"/>
          <w:b/>
          <w:color w:val="000000"/>
          <w:sz w:val="20"/>
        </w:rPr>
        <w:t>PART II: OTHER INFORMATION</w:t>
      </w:r>
    </w:p>
    <w:p>
      <w:pPr>
        <w:pStyle w:val="TextBody"/>
        <w:bidi w:val="0"/>
        <w:spacing w:before="180" w:after="283"/>
        <w:jc w:val="left"/>
        <w:rPr>
          <w:rFonts w:ascii="Times New Roman" w:hAnsi="Times New Roman"/>
          <w:b/>
          <w:color w:val="000000"/>
          <w:sz w:val="20"/>
        </w:rPr>
      </w:pPr>
      <w:bookmarkStart w:id="21" w:name="item_1_legal_proceedings"/>
      <w:bookmarkEnd w:id="21"/>
      <w:r>
        <w:rPr>
          <w:rFonts w:ascii="Times New Roman" w:hAnsi="Times New Roman"/>
          <w:b/>
          <w:color w:val="000000"/>
          <w:sz w:val="20"/>
        </w:rPr>
        <w:t>Item 1. Legal Proceedings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Reference is hereby made to our disclosures in “Legal Matters” under Note 5 to our Condensed Consolidated Financial Statements in this Quarterly Report on Form 10-Q and the information under the heading “Legal Matters” is incorporated by reference herein.</w:t>
      </w:r>
    </w:p>
    <w:p>
      <w:pPr>
        <w:pStyle w:val="TextBody"/>
        <w:bidi w:val="0"/>
        <w:spacing w:before="180" w:after="283"/>
        <w:jc w:val="left"/>
        <w:rPr>
          <w:rFonts w:ascii="Times New Roman" w:hAnsi="Times New Roman"/>
          <w:sz w:val="20"/>
        </w:rPr>
      </w:pPr>
      <w:bookmarkStart w:id="22" w:name="item_1a_risk_factors"/>
      <w:bookmarkEnd w:id="22"/>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 This description includes any material changes to and supersedes the description of the risk factors associated with our business previously disclosed in Item 1A of our Annual Report on Form 10-K for the year ended December 31, 2025.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highly dependent on the success of drug candidates, particularly rezpegaldesleukin (previously referred to as NKTR-358). If these drug candidates fail in clinical development or do not obtain regulatory approval, our business will be significantly harmed.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future success is highly dependent on the clinical success of our drug candidates, particularly rezpegaldesleukin. In general, most investigational drugs, including drug candidates designed to treat patients suffering from autoimmune disorders, such as rezpegaldesleukin, do not become approved drugs. Accordingly, there is a very meaningful risk that our drug candidates will not succeed in one or more clinical trials sufficient to support one or more regulatory approvals.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previously relied on Lilly (through the Lilly Agreement) to initiate, properly conduct, and prioritize clinical trials and other development-related activities for rezpegaldesleukin. In February 2023, we announced that the Phase 2 Lupus Study of rezpegaldesleukin in systemic lupus erythematosus (SLE) conducted by Lilly did not meet the study’s primary endpoint and that Lilly did not intend to advance rezpegaldesleukin to Phase 3 development in SLE. In April 2023, we announced that we would be regaining the full rights to rezpegaldesleukin from Lilly, and the Lilly Agreement subsequently terminated. Following the return of our rights to develop rezpegaldesleukin, we bear all costs of development. We initiated two Phase 2b rezpegaldesleukin studies: one in patients with moderate-to-severe atopic dermatitis in October 2023, and another in patients with severe-to-very severe alopecia areata in March 2024, which remain ongoing. In July 2026, we announced the initiation of the first two global registrational trials (ZENITH AD-1 and ZENITH AD-2) in the Phase 3 ZENITH AD program for rezpegaldesleukin. The ZENITH AD program is evaluating rezpegaldesleukin in patients who are 12 years of age or older with moderate-to-severe atopic dermatitis. The program includes three global, randomized, double-blind, placebo-controlled trials: ZENITH AD-1 and ZENITH AD-2 will enroll biologic and systemic JAK inhibitor treatment-naive patients and ZENITH AD-3 will enroll patients with prior systemic biologic and/or JAK inhibitor treatment experience. We intend to initiate a global registrational trial (ZENITH-AA-1) in early 2027 to evaluate rezpegaldesleukin in patients who are 12 years of age or older with severe-to-very-severe alopecia areata. Our ZENITH AD and AA programs will also include long-term extension studies in both indications and other supportive trials.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also collaborating with TrialNet to conduct a Phase 2 study of rezpegaldesleukin in patients with new onset stage 3 Type 1 diabetes mellitus. We will also explore other autoimmune indications for the development of rezpegaldesleukin. While we believe we currently have the documents, records, and data that are necessary for us to continue clinical development of rezpegaldesleukin, we may need or benefit from additional documents, records and data that Lilly generated as part of the early development of rezpegaldesleukin under the Lilly Agreement and for which Lilly has not yet transferred to us. In the event Lilly fails to promptly and completely transfer to us any additional needed materials or we are not able to independently source these documents, records and data (e.g., from vendors or third parties who may also have these materials), the continued clinical development of rezpegaldesleukin and our business may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to fully address the harm. If continued development of rezpegaldesleukin is not ultimately successful, our market valuation, prospects, financial condition and results of operations would be materially harmed.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promising results from earlier trials may not predict similarly favorable outcomes in subsequent trials. For example, our drug candidates (such as in connection with the placebo crossover patients in the Phase 2b REZOLVE-AD study) have been tested in clinical trials or parts of clinical trials that utilize an “open-label” approach. An “open-label” approach occurs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 Also, results from “double blinded” studies where both the patient and investigator do not know whether the patient is receiving the investigational drug candidate may not be predictive of future clinical trial results. One or more clinical failures of our drug candidates would jeopardize and could materially harm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Delays in clinical studies are common and have many causes, and any significant delay in clinical studies being conducted by us or our partners could result in delay in regulatory approvals and jeopardize the ability to proceed to commercialization.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obtaining regulatory authorization to commence a clinical study;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reaching agreement with applicable regulatory authorities on a clinical study design;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drug candidates currently or previously partnered with other companies, delays caused by our partner;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caused by future health epidemics;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imposition of a clinical hold by the FDA or other health authorities, which may occur at any time including after any inspection of clinical trial operations or trial sites;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suspension or termination of a clinical study by us, our partners, the FDA or foreign regulatory authorities due to adverse side effects of a drug on subjects in the trial;</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recruiting suitable patients to participate in a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clinical sites dropping out of a trial due to the detriment of enrollment rates;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in manufacturing and delivery of sufficient supply of clinical trial materials;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changes in regulatory authorities policies or guidance applicable to our drug candidates;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caused by changing standards of care or new treatment options;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associated with third parties, such as a past collaboration partner, failing to provide us with all the necessary documents, data and materials necessary to conduct clinical trials;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delays resulting from a shutdown, or uncertainty surrounding the potential for future shutdowns, of the U.S. government, including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currently rely on academic and private non-academic institutions to conduct investigator-sponsored clinical studies or trials of our drug candidates. Any failure by the investigator-sponsor to meet its obligations with respect to the clinical development of our drug candidates may delay or impair our ability to obtain regulatory approval or commercialize our drug candidates.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currently rely on academic and private non-academic institutions to conduct and sponsor clinical studies or trials relating to our drug candidates. For example, we have entered a collaboration agreement with TrialNet to evaluate rezpegaldesleukin in patients with new-onset stage 3 Type 1 diabetes mellitus in a Phase 2 study, which was initiated in May 2026. TrialNet is conducting the study with funding from the National Institutes of Health, primarily through the Special Statutory Funding Program for Type 1 Diabetes through the National Institute of Diabetes and Digestive and Kidney Diseases.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 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outcomes from the clinical trials of drug candidates from others, and the discovery and development of new potential therapies in immunology, could have a material and adverse impact on the value of the drug candidates in our research and development pipeline.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research and development of immunomodulatory agents is a very competitive global segment in the biopharmaceutical industry attracting tens of billions of dollars of investment each year. Our clinical trial plans for rezpegaldesleukin and other drug candidates face substantial competition from other regimens already approved, and many more that are either ahead of or in parallel development in patient populations where we are studying our drug candidates. As immunotherapy represents a relatively new approach to treatment of autoimmune disorders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risk of clinical failure for any drug candidate remains high prior to regulatory approval and there can be no assurance that our drug candidates will obtain regulatory approval for any particular indications.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competition could render our partnered and proprietary drugs and drug candidates obsolete or noncompetitive, which would negatively impact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partnered and proprietary products and drug candidates may compete with the drug products and candidates of other pharmaceutical and biotechnology companies. For rezpegaldesleukin, there are a number of competitors with approved therapies or investigational therapies in mid to late stage development in the indications that we are pursuing for rezpegaldesleukin. These companies include, among others, AbbVie, Apogee Therapeutics, AstraZeneca, Eli Lilly and Company, Galderma, Johnson &amp; Johnson Innovative Medicine (formerly Janssen Pharmaceuticals), Kymera Therapeutics, Pfizer, Sanofi, and UCB Pharma. For our TNFR2 program, including NKTR-0165 and NKTR-0166, we believe companies targeting the TNFR2 pathway for the treatment of patients with autoimmune disease include TRexBio, Inc. and Odyssey Therapeutics,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results of operations and financial condition depend significantly on the ability of our collaboration partners to successfully develop and market drugs and they may fail to do so.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our collaboration agreements with various pharmaceutical or biotechnology companies, our collaboration partner is generally solely responsible for: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designing and conducting large scale clinical studies;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preparing and filing documents necessary to obtain government approvals to sell a given drug candidate; and/or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marketing and selling the drugs when and if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collaboration partners poses a number of significant risks to our business, including risks that: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even when the applicable contract mandates otherwise, collaboration partners with commercial rights may choose to devote fewer resources to the development or marketing of our partnered drugs than they devote to their own drugs or other drugs that they have in-licensed;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very little control over the timing and amount of resources our partners devote to development programs in one or more major markets;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disagreements with partners could lead to delays in, or termination of, the research, development or commercialization of drug candidates or to litigation or arbitration proceedings;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disputes may arise or escalate in the future with respect to the ownership of rights to technology or intellectual property developed with partners;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do not have the ability to unilaterally terminate agreements (or partners may have extension or renewal rights) that we believe are not on commercially reasonable terms or consistent with our current business strategy;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partners may be unable to pay us as expected;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partners may terminate their agreements with us unilaterally for any or no reason, in some cases with the payment of a termination fee penalty and in other cases with no termination fee penalty;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partners may respond to natural disasters or health epidemics by ceasing all or some of their development responsibilities (including the responsibility to clinical develop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risks, the success of our current and future collaboration partnerships is highly unpredictable and can have a substantial negative impact on our business. If the approved drugs fail to achieve commercial success or the drug candidates in development fail to have positive late stage clinical outcomes sufficient to support regulatory approval in major markets, it could significantly impair our access to capital necessary to fund our research and development efforts. If we are unable to obtain sufficient capital resources to advance our drug candidate pipeline, it would negatively impact the value of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substantial future capital requirements and there is a risk that we may not have access to sufficient capital to meet our current business plan. If we are unable to raise additional capital in one or more financing transactions, execute new high value collaborations or other arrangements, or do not receive substantial milestone or royalty payments from our existing collaboration agreements, we would be unable to continue our current level of investment in research and development.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we had cash and investments in marketable securities valued at approximately $1,023.4 million. While we believe that our cash position will be sufficient to meet our liquidity requirements through at least the next 12 months, our future capital requirements will depend upon numerous unpredictable factors,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cost, timing and outcomes of clinical studies and regulatory reviews of our drug candidates, particularly rezpegaldesleukin;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and when we receive potential milestone payments and royalties from our existing collaborations if the drug candidates subject to those collaborations achieve clinical, regulatory or commercial success;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progress, timing, cost and results of our clinical development programs, including the costs of increasing our manufacturing activities related to rezpegaldesleukin;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number of patients, enrollment criteria, primary and secondary endpoints, and the number of clinical studies required by the regulatory authorities in order to consider for approval our drug candidates and those of our collaboration partners;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general and administrative expenses, capital expenditures and other uses of cash;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continue to advance our drug candidates through later stage research and development towards potential regulatory approval and commercialization,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or biosimilar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the United States and markets in other countries, patients generally rely on third 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 party payers, such as government programs, including Medicare and Medicaid in the U.S.,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 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 section in our Annual Report on Form 10-K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third party payers are requiring that drug companies provide them with predetermined discounts from list prices and are challenging the prices charged for medical products. We cannot be sure that reimbursement will be available for any of our drug candidates that are commercialized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 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targets for spending cuts. New government legislation or regulations related to pricing or other fundamental changes to the healthcare delivery system as well as a government or third party payer decision not to approve pricing for, or provide adequate coverage or reimbursement of, our products hold the potential to severely limit market opportunities of such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drug candidates. Historically, products launched in the European Union do not follow price structures of the U.S. and generally prices tend to be significantly lower.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are unable to establish and maintain collaboration partnerships on attractive commercial terms, our business, results of operations and financial condition could suffer.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revenue has historically been exclusively derived from our collaboration agreements, which can result in significant fluctuation in our revenue from period to period, and our past revenue is therefore not necessarily indicative of our future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revenue has historically been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expect to continue to incur substantial losses and negative cash flow from operations and may not achieve or sustain profitability in the future.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six months ended June 30, 2026, we reported a net loss of $85.5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drug candidates and the regulatory approval and market success of our drug candidates. We may not be able to achieve and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will affect whether we achieve and sustain profitability include our ability, alone or together with our partners, to:</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develop drugs utilizing our technologies, either independently or in collaboration with other pharmaceutical or biotechnology companies;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effectively estimate and manage clinical development costs, particularly the cost of the clinical studies for rezpegaldesleukin;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receive necessary regulatory and marketing approvals;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maintain or expand manufacturing at necessary levels;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achieve market acceptance of our partnered products;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receive revenue or royalties on products that have been approved, marketed or submitted for marketing approval with regulatory authorities;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maintain sufficient funds to finance our activities.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Additional cost-savings measures may be necessary following implementation of our strategic reorganization plan and cost restructuring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2022 and 2023 Restructuring Plans prioritized key research and development efforts that will continue to impact the Company’s future business activities, including activities involving rezpegaldesleukin, NKTR-0165, NKTR-0166 and several core research programs. There is no guarantee that these Restructuring Plans and their associated cost restructuring measures will achieve their intended benefits or that our post-restructuring focus will be sufficient for us to achieve success. Consequently, we may need to undertake additional restructuring and cost-saving activities to further prioritize our key research and development efforts and these additional restructuring and cost-saving activities may not be successful, which could have a material adverse effect on our business,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Supply and Manufacturing</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our contract manufacturers are not able to manufacture biologic substance or substances in sufficient quantities that meet applicable quality standards, it could delay clinical studies or constitute a breach of our contractual obligations, any of which could significantly harm our business, financial condition and results of operations.</w:t>
      </w:r>
    </w:p>
    <w:p>
      <w:pPr>
        <w:pStyle w:val="TextBody"/>
        <w:bidi w:val="0"/>
        <w:spacing w:before="180" w:after="283"/>
        <w:jc w:val="left"/>
        <w:rPr>
          <w:rFonts w:ascii="Times New Roman" w:hAnsi="Times New Roman"/>
          <w:sz w:val="20"/>
        </w:rPr>
      </w:pPr>
      <w:r>
        <w:rPr>
          <w:rFonts w:ascii="Times New Roman" w:hAnsi="Times New Roman"/>
          <w:color w:val="000000"/>
          <w:sz w:val="20"/>
        </w:rPr>
        <w:t>If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As a result, we could incur substantial costs and any royalty revenue or product sale that we would otherwise be entitled to receive could be reduced, delayed or eliminated. In most cases, we rely on CMOs to manufacture and supply drug product for our clinical studies and those of our collaboration partners. As a result of the sale of the Facility, we are currently dependent on Gannet BioChem for the supply of the PEG reagents used in the manufacture of our PEG-conjugate drug candidates, including rezpegaldesleukin.</w:t>
      </w:r>
      <w:r>
        <w:rPr>
          <w:rFonts w:ascii="Times New Roman" w:hAnsi="Times New Roman"/>
          <w:color w:val="000000"/>
          <w:sz w:val="20"/>
          <w:u w:val="single"/>
        </w:rPr>
        <w:t xml:space="preserve"> </w:t>
      </w:r>
      <w:r>
        <w:rPr>
          <w:rFonts w:ascii="Times New Roman" w:hAnsi="Times New Roman"/>
          <w:color w:val="000000"/>
          <w:sz w:val="20"/>
        </w:rPr>
        <w:t>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CMO with whom we contract fails to perform its obligations, we may be forced to enter into an agreement with a different CMO, which we may not be able to do on reasonable terms, if at all, and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or if our CMOs change manufacturing facility sites,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drug candidate according to the specifications previously submitted to or approved by the FDA or another regulatory authority. The delays associated with the verification of a new CMO or a facility and additional costs, including potential tariffs associated with international sites,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 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or drug delivery method, which may cause significant delays in clinical development, or increased costs. There continues to be substantial and unpredictable risk and uncertainty related to manufacturing and supply until such time as the commercial supply chain is validated and proven.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CMOs purchase some of the starting material for biologics and biologic candidates from a single source or a limited number of suppliers, and we are dependent on Gannet BioChem for the supply of PEG reagents, and the partial or complete loss of one of these suppliers could cause production delays, and clinical trial delays.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often face very limited supply of a critical raw material that can only be obtained from a single, or a limited number of, suppliers, which could cause production delays or clinical trial delays. For example, there are only a limited number of qualified suppliers, and in some cases single source suppliers, for the raw materials included in our PEGylation and advanced polymer conjugate drug formulations. As a result of the sale of the Facility, we are also dependent on Gannet BioChem for PEG reagents used in the manufacture of rezpegaldesleukin. Any interruption in supply, diminution in quality of raw materials supplied to our CMOs or failure to procure such raw materials on commercially feasible terms or in the supply of PEG reagents could harm our business by delaying our clinical trials, impeding potential commercialization of drugs or increasing our costs.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The manufacturing operations of our contract manufacturers are subject to laws and other governmental regulatory requirements, which, if not met, would have a material adverse effect on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the manufacturing facilities of our CMOs for compliance with applicable regulatory requirements. Any failure of our CMOs to follow and document adherence to such cGMP and other laws and governmental regulations or satisfy other manufacturing and product release regulatory requirements may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our CMOs pending resolution of regulatory deficiencies or suspensions could have a material adverse effect on our business, results of operations and financial condition.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Business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depend on third parties to conduct the preclinical studies and clinical trials for our drug candidates and any failure of those parties to fulfill their obligations according to protocol standards could harm our development plans and adversely affect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depend on our collaboration partners, independent clinical investigators, contract research organizations and other third-party service providers to conduct preclinical studies and clinical trials for our drug candidates, including to monitor, record, manage and analyze data generated from these studies. We rely heavily on these parties for the successful execution of our preclinical studies and clinical trials. Though we are ultimately responsible for the results of their activities, many aspects of their activities are beyond our control, such as the timing, conduct and management of data developed through these studies and trials.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such as good laboratory practice or good clinical practice, or our stated protocols or eligibility criteria and enrollment standards and any subsequent data generated may be deemed unacceptable. We rely on our collaboration partners and other third parties to manage, analyze and transmit clinical data, and those partners and third parties may not carry out the performance of their duties with the required degree of care or skill to ensure valid and scientifically reliable work products. The early termination of any of our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arrangements, the failure of third parties to comply with the regulations and requirements governing clinical trials, the failure of third parties to properly conduct our clinical trials, or erroneously reported data could hinder or delay the development, approval and commercialization of our product candidates and would adversely affect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future depends on the proper management of our current and future business operations and their associated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business strategy requires us to manage our business to provide for the continued development of our proprietary drug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Because competition for highly qualified technical personnel is intense, we may not be able to attract and retain the personnel we need to support our operations and growth.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dependent on our management team and key technical personnel, and the loss of any key manager or employee may impair our ability to develop our products effectively and may harm our business, operating results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Inflation has increased our operating costs and could negatively impact our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Increased price levels resulting from inflation have resulted in increased operating costs. In addition, the United States Federal Reserve has held interest rates at higher levels than in the past decade in response to concerns about inflation and the timing and extent of future reductions remain uncertain. Increases in or elevated interest rates, especially if coupled with reduced government spending and volatility in financial markets, may further increase economic uncertainty and heighten these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be adversely affected by the effects of future health epidemics.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business could be adversely affected, directly or indirectly, by health epidemics in regions where we have concentrations of clinical trial sites or other business operations, including the manufacturing operations of third parties upon whom we rely. Health epidemics can negatively affect our clinical trials and those run by our collaborators or other third parties through delays in investigator recruitment, clinical site initiation, patient screening, or patient enrollment. In addition, health epidemics may cause disruptions in our supply chain or shortages in raw materials and equipment, which would affect our ability to supply drug candidates for clinical trials.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the health epidemic is sufficiently severe and widespread, it may require us to change the way in which can conduct our business, which may negatively result in unexpected expenses, decreased employee productivity and availability and employee work culture. Further, a severe and widespread epidemic may have a broad impact on global financial markets and could reduce our ability to access capital, which could in the future negatively affect our liquidity. In addition, a recession or market correction resulting from a health epidemic could materially affect our business and the value of our 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ultimate effects of health epidemics are uncertain and subject to change and these effects could have a negative impact on our clinical trial timelines, operations, financial condition and prospects.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Intellectual Property, Litigation and Regulatory Concerns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drug candidates could cause us or regulatory authorities to interrupt, delay or halt clinical trials and could result in a more restricted label or the delay or denial of regulatory approval by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may seek orphan drug status or Breakthrough Therapy or Fast Track designations or other designation for one or more of our drug candidates, but even if any such designation or status is granted, it may not lead to a faster development process or regulatory review and may not increase the likelihood that our drug candidates will receive marketing approval, and we may be unable to maintain any benefits associated with such designations or status, including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awarded Fast Track designations for rezpegaldesleukin for two different treatments: one for the treatment of adult and pediatric patients 12 years of age and older with moderate-to-severe atopic dermatitis whose disease is not adequately controlled with topical prescription therapies or when those therapies are not advisable; and another for the treatment of severe alopecia areata in adult and pediatric patients 12 years of age and older who weigh at least 40 kg. We may continue to seek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Breakthrough Therapy and Fast Track designations for our current or future drug candidates. Receipt of a designation to facilitate drug candidate development is within the discretion of the FDA. Accordingly, even if we believe one of our drug candidates meets the criteria for a designation, the FDA may disagree. In any event, the receipt of such a designation for our drug candidates may not result in a faster development process, review, or approval compared to drug candidates considered for approval under conventional FDA procedures and does not ensure ultimate marketing approval by the FDA. In addition, the FDA may later decide that the product candidates no longer meet the designation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Europe, may designate drugs for relatively small patient populations as orphan drugs. We may not be able to obtain orphan drug designation for any indications for our drug candidates, and we may not be able to maintain such designations if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drug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approved use or indications for seven years. Even if we are able to obtain orphan drug designation or orphan drug exclusivity, that exclusivity may not effectively protect the product from competition because different drugs can be approved for the same approved use or condition. Even after an orphan drug is approved, the FDA can subsequently approve the same drug for the same approved use or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drug candidates, there is no guarantee that we will enjoy the benefits of such designations or exclusivity periods. </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drug candidates, including adverse events of unanticipated severity or frequency, or with our third party manufacturers or manufacturing processes, or failure to comply with regulatory requirements, may result in, among other things: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drug candidates, withdrawal of the product from the market or voluntary or mandatory product recalls;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manufacturing delays and supply disruptions where regulatory inspections identify observations of noncompliance requiring remediation;</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revisions to the labeling, including limitation on approved uses or the addition of additional warnings, contraindications or other safety information, including boxed warnings;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approvals;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drug candidates; and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Further, 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drug candidates, if approved, we could become subject to significant liability, which would materially adversely affect our business and financial condition.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derived, and expect to derive in the foreseeable future, substantially all of our revenue from collaboration agreements with biotechnology and pharmaceutical companies. These collaboration agreements contain complex commercial terms, including: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clinical development and commercialization obligations that are based on certain commercial reasonableness performance standards that can often be difficult to enforce if disputes arise as to adequacy of our partner’s performance;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research and development performance and reimbursement obligations for our personnel and other resources allocated to partnered biologic candidate development programs;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clinical and commercial manufacturing agreements, some of which are priced on an actual cost basis for products supplied by us to our partners with complicated cost allocation formulas and methodologies;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intellectual property ownership allocation between us and our partners for improvements and new inventions developed during the course of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royalties on drug sales based on a number of complex variables, including net sales calculations, geography, scope of patent claim coverage, patent life, generic competitors, bundled pricing and other factors;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indemnity obligations for intellectual property infringement, product liability and certain other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 party license agreements that may ultimately result in costly litigation and unfavorable interpretation of contract terms, which would have a material adverse effect on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may not be able to obtain intellectual property licenses related to the development of our drug candidates on a commercially reasonable basis, if at all.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any of our pending patent applications do not issue, or are deemed invalid following issuance, we may lose valuable intellectual property protection.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patent positions of pharmaceutical and biotechnology companies, such as ours, are uncertain and involve complex legal and factual issues. We own more than 140 U.S. and 650 foreign patents and have a number of pending patent applications that cover various aspects of our technologies. There can be no assurance that patents that have been issued will be held valid and enforceable in a court of law. Even for patents that are held valid and enforceable, the legal process associated with obtaining such a judgment is time consuming and costly. Additionally, issued patents can be subject to opposition, inter partes review, re-examinations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inter partes review and re-examinations, before the U.S. Patent and Trademark Office (or equivalent proceedings in other jurisdictions), which could result in a loss of the patent and/or substantial cost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patent applications covering our drug candidates, and plan to file additional patent applications as we deem appropriate. There can be no assurance that the patent applications for which we apply will actually issue as patents, or do so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rely on trade secret protection and other unpatented proprietary rights for important proprietary technologies, and any loss of such rights could harm our business, results of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or current or future collaborators or service providers fail to comply with healthcare laws and regulations, we or they could be subject to enforcement actions and civil or criminal penalties.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Although we do not currently have any products on the market, once we begin commercializing our drug candidates, if approved, we will be subject to additional healthcare statutory and regulatory requirements and enforcement by the federal and state governments of the jurisdictions in which we conduct our business. Healthcare providers, physicians and third party payers play a primary role in the recommendation and prescription of any drug candidates for which we obtain marketing approval. Our current and future arrangements with third 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before="180" w:after="283"/>
        <w:jc w:val="left"/>
        <w:rPr>
          <w:rFonts w:ascii="Times New Roman" w:hAnsi="Times New Roman"/>
          <w:sz w:val="20"/>
        </w:rPr>
      </w:pPr>
      <w:r>
        <w:rPr>
          <w:rFonts w:ascii="Times New Roman" w:hAnsi="Times New Roman"/>
          <w:b/>
          <w:i/>
          <w:color w:val="000000"/>
          <w:sz w:val="20"/>
        </w:rPr>
        <w:t>Healthcare legislative or regulatory reform measures may have a negative impact on our business and results of operations</w:t>
      </w:r>
      <w:r>
        <w:rPr>
          <w:rFonts w:ascii="Times New Roman" w:hAnsi="Times New Roman"/>
          <w:color w:val="000000"/>
          <w:sz w:val="2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“Business – Government Regulation – Legislative and Regulatory Landscape” section in our Annual Report on Form 10-K for the year ended December 31, 2025.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 party payors or other restrictions could harm our business, financial condition, results of operations and prospects. Recent CMS proposals, including the GLOBE, GUARD, and GENEROUS, could also materially impact our revenue.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180" w:after="283"/>
        <w:jc w:val="left"/>
        <w:rPr>
          <w:rFonts w:ascii="Times New Roman" w:hAnsi="Times New Roman"/>
          <w:sz w:val="20"/>
        </w:rPr>
      </w:pPr>
      <w:r>
        <w:rPr>
          <w:rFonts w:ascii="Times New Roman" w:hAnsi="Times New Roman"/>
          <w:b/>
          <w:i/>
          <w:color w:val="000000"/>
          <w:sz w:val="20"/>
        </w:rPr>
        <w:t>Disruptions to the normal functioning of the FDA and other government agencies could hinder their ability to perform and carry out important roles and activities on which the operation of our business relies, which could negatively impact our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leadership and policy changes. Average review times at the agency have fluctuated in recent years as a result. For example, in 2025, changes and cuts in FDA staffing have been reported as resulting in delays in the FDA’s responsiveness or in its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review IND submissions or marketing applications. In addition, government funding of other agencies on which our operations may rely is subject to the political process, which is inherently fluid and unpredictable.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Over the last several years, the U.S. government has shut down several times, including from October 2025 through November 2025, and from January 2025 through February 2026. Government shutdowns, if prolonged, could significantly impact the ability of government agencies upon which we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involved in legal proceedings and may incur substantial litigation costs and liabilities that will adversely affect our business, financial condition and results of operations.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the technology we use or our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Times New Roman" w:hAnsi="Times New Roman"/>
          <w:i/>
          <w:color w:val="000000"/>
          <w:sz w:val="20"/>
        </w:rPr>
        <w:t>inter partes</w:t>
      </w:r>
      <w:r>
        <w:rPr>
          <w:rFonts w:ascii="Times New Roman" w:hAnsi="Times New Roman"/>
          <w:color w:val="000000"/>
          <w:sz w:val="20"/>
        </w:rPr>
        <w:t xml:space="preserve"> review and re-examination proceedings at the U.S. Patent and Trademark Office where third parties seek to invalidate or limit the scope of our allowed patent applications or issued patents covering (among other things) our drug candidates and technologies.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From time to time, we may also be involved in legal proceedings other than those related to intellectual property, including securities actions or derivative actions or other complaints.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August 2023, we filed a complaint in the United States District Court for the Northern District of California (the Court) against Eli Lilly and Company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In September 2025, Lilly filed a motion to voluntarily dismiss its counterclaims with prejudice, which the Court granted in October 2025. Lilly filed a motion for summary judgment, which the Court denied in an order issued in March 2026. A Pretrial Conference was held on August 6, 2026. The Court has set a new jury trial date for September 8,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After previously authorizing good and service tax (GST) refunds of approximately $3.3 million for the period of July 2017 to September 2019, the Indian GST authorities issued a show cause notice in October 2023 seeking to recover this refund, plus penalties and interest, for which we have subsequently received a demand in September 2025 seeking payment to Indian GST authorities. We have not paid the demand in view of an appeal we filed with the Indian authorities, and believe that we have meritorious defenses against the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March 2026, a putative class action complaint was filed in the U.S. District Court for the Northern District of California against the Company, our CEO, former CFO and our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2025 through December 2025, the defendants made misleading statements and/or failed to disclose material information regarding the REZOLVE-AA trial. The Company denies the claims, believes they are without merit, and intends to defend vigorously against this litigation. This case is in the early stages.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 monetary damages. We have recorded no liability for any litigation matters in our Condensed Consolidated Balance Sheet at June 30, 2026.</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Any actual or alleged failure to comply with privacy and data protection laws, could subject us to fines, penalties, increased regulatory scrutiny, or suspension or exclusion from participation in government healthcare programs. Any of these outcomes could adversely affect our business,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business is subject to many federal, state and foreign privacy and data protection laws and regulations governing the collection, use, disclosure and security of personal information, including information we collect from individuals participating in our clinical trials and our employees, among others. In the U.S., in addition to federal laws such as the HIPAA (as amended by HITECH) and Section 5 of the FTC Act, that may apply to our business, numerous states have passed comprehensive privacy laws relating to the privacy and security of personal information, including health information. Legal requirements often vary across jurisdictions in significant ways, complicating compliance efforts. The global data protection landscape continues to rapidly evolve, and implementation standards and enforcement practices are likely to remain uncertain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California Consumer Privacy Act (CCPA) grants California consumers expanded rights regarding their personal information, including the right to access, correct, delete, and limit the sharing, use and disclosure of personal information, and receive detailed information about how their personal information is used. The CCPA provides for civil penalties for violations, as well as a private right of action for certain data breaches that may increase the risk of data breach litigation and compliance costs. Similarly comprehensive state privacy laws have become effective in more than a dozen other U.S. states. In addition, certain states have passed laws specifically regulating consumer health information. For example, Washington’s My Health My Data Act (MHMDA) requires regulated entities to obtain consent to collect health information, grants consumers certain rights, including to request deletion, and provides for robust enforcement mechanisms, including a private right of action for consumer claims. At the federal level, the FTC has used its authority over “unfair or deceptive acts or practices” to impose stringent requirements on the collection and disclosure of sensitive categories of personal information, including health information, which may increase our potential liability and compliance costs and adversely affect our business. Moreover, the FTC’s expanded interpretation of a “breach” under its Health Breach Notification Rule could impose new disclosure obligations that would apply in the event of a qualifying breach.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European Regulation 2016/679, known as the General Data Protection Regulation (EU GDPR), the implementing legislation of EU Member States, which became effective in May 2018, and the EU GDPR as incorporated into the laws of the United Kingdom (UK GDPR) (together with the EU GDPR, the GDPR) apply to the collection and processing of personal data, including health-related information, by companies located in the EU and UK, or in certain circumstances, by companies located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the EU or UK and processing personal information of individuals located in the EU or UK. The GDPR is wide-ranging in scope and imposes strict obligations on the ability to process personal data, including health-related information, in particular in relation to their collection, use, disclosure and transfer. These include several requirements relating to, for example, (i) ensuring a legal basis or condition applies to the processing of personal data and, in some situations where required, obtaining the consent of the individuals to whom the personal data relates, (ii) the information provided to the individuals about how their personal information is used, (iii) responding to data subject requests, (iv) 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 party processors. The GDPR prohibits the transfer of personal data to countries outside of the European Economic Area (EEA) and UK, such as the United States, which are not considered by the European Commission to provide an adequate level of data protection. The GDPR also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24, prohibits transfers of data, including health data, genetic data, and biospecimens, to countries of concern, including China. The rule also prohibits covered businesses from granting access to certain investment agreements, employment agreements and vendor agreements involving such data to countries of concern, absent specified cybersecurity controls. Actual or alleged violations of these regulations may be punishable by criminal and/or civil sanctions, may result in exclusion from participation in federal and state programs and may restrict our ability to use certain vendors, sites, investigators, or service providers in global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data protection laws, including with respect to information relating to our employees and/or clinical patients, could result in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Like many companies, we may use artificial intelligence (AI) technologies, including generative AI, which presents risks and challenges that can impact our business, including by posing cybersecurity risks to our confidential information, proprietary information, and personal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AI technologies, including generative AI and commercially available tools, in the operation of our business. The use of new and evolving technologies, such as AI, may present risks and challenges that can adversely impact our business and reputation, including cybersecurity, data privacy, information technology, confidentiality, regulatory, legal, operational, competitive, intellectual property, and other risks. Specifically, risks related to accuracy, bias, AI hallucinations, discrimination, harmful content, misinformation, fraud, scams, targeted attacks (including model poisoning or data poisoning), surveillance, data leakage, bias and inequality, environmental and other harms may flow from our development or use of AI technologies.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and supranational regulation related to AI is evolving as new laws and regulations are implemented globally and could significantly increase the burden and operational cost of compliance in this area, including through requirements related to transparency, accountability, risk management, human oversight, and data governance. We expect to see increasing regulation related to AI governance, use and ethics, which may also increase the burden and cost of research, development and compliance. For example, the EU’s Artificial Intelligence Act (AI Act) entered into force in August 2024, with important sections scheduled to come into effect in August 2026. As currently enacted, the AI Act imposes significant obligations on providers and deployers of high-risk AI systems and general purpose AI models, and encourages providers and deployers of AI systems to account for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ethical principles when developing and using AI technology. If we develop or deploy AI systems that are governed by the AI Act, we may be required to adopt higher standards of data quality, transparency and human oversight, and adhere to specific and potentially burdensome and costly ethical, accountability and administrative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the regulatory environment for AI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AI, and legal norms and market standards regarding AI continue to evolve. The FDA, for example, issued draft guidance on the use of AI in regulatory decision-making for drug and biological products that centers on the context of use while establishing a credibility assessment framework for establishing and evaluating artificial intelligence model outputs intended to support regulatory decision-making. If we develop or use AI systems governed by such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research-based biopharmaceutical company with significant research and development operations, we are subject to extensive environmental, health, and safety laws and regulations, including those governing the use of hazardous materials. Our research and development activities and those who conduct these activities on our behalf involve the controlled use of chemicals, radioactive compounds, and other hazardous materials. The cost of compliance with environmental, health, and safety regulations (including, but not limited to, the handling and disposal of both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 Related to Investment and Securities</w:t>
      </w:r>
    </w:p>
    <w:p>
      <w:pPr>
        <w:pStyle w:val="TextBody"/>
        <w:bidi w:val="0"/>
        <w:spacing w:before="180" w:after="283"/>
        <w:jc w:val="left"/>
        <w:rPr>
          <w:rFonts w:ascii="Times New Roman" w:hAnsi="Times New Roman"/>
          <w:sz w:val="20"/>
        </w:rPr>
      </w:pPr>
      <w:r>
        <w:rPr>
          <w:rFonts w:ascii="Times New Roman" w:hAnsi="Times New Roman"/>
          <w:b/>
          <w:i/>
          <w:color w:val="000000"/>
          <w:sz w:val="20"/>
        </w:rPr>
        <w:t>The price of our common stock has, and may continue to fluctuate significantly, which could result in substantial losses for investors and securities class action and shareholder derivative litigation.</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stock price is volatile. During the three months ended June 30, 2026, based on closing prices on the NASDAQ Capital Market, the closing price of our common stock ranged from $56.23 to $100.35 per share.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and rezpegaldesleukin have had a significant impact on our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timing of outcomes from our clinical trials which can be difficult to predict particularly for clinical studies that have event-driven end points such as progression-free survival and overall survival;</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by collaboration partners as to their plans or expectations related to drug candidates and approved biologics in which we have a substantial economic interest;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regarding terminations or disputes under our collaboration agreements;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fluctuations in our results of operations;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developments in patent or other proprietary rights, including intellectual property litigation or entering into intellectual property license agreements and the costs associated with those arrangements;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of technological innovations or new therapeutic products that may compete with our approved partnered products or products under development;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announcements of changes in governmental regulation affecting us or our competitors;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litigation brought against us or third parties to whom we have indemnification obligations;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public concern as to the safety of drug formulations developed by us or others;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financing needs and activities;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the impacts of rising inflation and interest rates and global geopolitical tensions.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times, our stock price has been volatile even in the absence of significant news or developments. The stock prices of biotechnology companies and securities markets generally have been subject to dramatic price swings in recent years.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implemented certain anti-takeover measures, which make it more difficult to acquire us, even though such acquisitions may be beneficial to our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establishment of a classified board of directors such that not all members of the board may be elected at one time;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lack of a provision for cumulative voting in the election of directors, which would otherwise allow less than a majority of stockholders to elect director candidates;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ability of our board to authorize the issuance of “blank check” preferred stock to increase the number of outstanding shares and thwart a takeover attempt;</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prohibition on stockholder action by written consent, thereby requiring all stockholder actions to be taken at a meeting of stockholders;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establishment of advance notice requirements for nominations for election to the board of directors or for proposing matters that can be acted upon by stockholders at stockholder meetings;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limitations on who may call a special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provisions of Delaware law relating to business combinations with interested stockholders may discourage, delay or prevent a third party from acquiring us. These provisions may also discourage, delay or prevent a third party from acquiring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significantly rely on information technology systems and infrastructure, and any failure, inadequacy, damage, interruption, compromise, incident or breach, or security lapse of that technology within our internal computer systems and infrastructure, or those of our partners, vendors, CROs, CMOs or other contractors or consultants, may result in a material disruption of our development programs and our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part of our business, we collect, store and transmit large amounts of confidential information, proprietary or other sensitive information, including intellectual property and personal data. Despite the implementation of security measures, our internal computer systems and infrastructure or those of our partners, vendors, contract research organizations (CROs), contract manufacturing organizations (CMOs) and other contractors and consultants are vulnerable to loss, damage, compromise, interruption, denial-of-service, unauthorized access, or misappropriation.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Like other companies in our industry, we, and our third party vendors, have experienced threats and cybersecurity incidents relating to our information technology systems and infrastructure. Cybersecurity incidents and data breaches have been increasing in frequency, levels of persistence, sophistication and intensity, and can include unauthorized activity by our employees, contractors and other third parties, as well as by third parties who use cyberattack techniques involving malware, ransomware, hacking and social engineering fraud (including phishing attacks) and business email compromises, among others. Additionally, the risk of data breaches, cybersecurity incidents, cyber-attacks or other security events may be heightened as a result of new technologies, including artificial intelligence, and an increase in the number of employees who adopted a remote working environment, which may be less secure and more susceptible to hacking attacks or other security compromises or breaches. Our information technology systems and infrastructure, and those of our partners, vendors, CROs, CMOs or other contractors or consultants are also vulnerable to intentional or inadvertent wrongful conduct by employees and vendors, natural disasters, terrorism, war, telecommunication and electrical failures and the types of interruption, compromise and damage described above. Any such compromise or disruption, no matter the origin, may cause an interruption of our operations. For instance, the loss or misappropriation of preclinical data or data from any clinical trial involving our drug candidates could result in delays in our development and regulatory filing efforts and significantly increase our costs. In addition, the loss, corruption or unauthorized disclosure or misuse of our trade secrets, personal data or other confidential and/or proprietary or sensitive information could compromise the commercial viability of one or more of our programs, which would negatively affect our business. Also, the costs to us to investigate, mitigate and remediate cybersecurity incidents or compromises and comply with applicable legal obligations, including breach notification obligations to individuals, regulators, partners and others, could be significant and our reputation could be materially damaged. We could also be exposed to litigation or regulatory investigations or actions by state and federal governmental authorities and non-U.S. authorities, including fines, penalties, and other legal and financial exposure and liabilities.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Global economic and political conditions may negatively affect us and may magnify certain risks that affect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operations and performance may be affected by global economic and political conditions. The global economy has recently experienced volatility and disruptions. Adverse macroeconomic conditions, including inflation, economic recession, volatility in the financial markets, supply chain shortages, changes to fiscal and monetary policy or government budget dynamics, promulgations of new executive orders under the Trump administration, and other challenges in the global economy may adversely affect our business and those of our partners. Our operations and performance (or the operations and performance of our partners and service providers) may be negatively affected by war, political or civil unrest or military action, terrorist activity, and unstable governments and legal systems. Sanctions imposed by the U.S., EU and other countries in response to the conflict between Russia and Ukraine and the potential response to such sanctions may have an adverse impact on our business, including our clinical trials, the financial markets and the global economy. Conflicts in Israel, Gaza, Iran and the Middle East may lead to further sanctions, retaliatory attacks, market volatility and uncertainty, any of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global economic and political conditions, some third 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with rising international trade tensions or sanctions, our business may be adversely affected following new or increased tariffs. For example, in April 2025, the United States announced a 10% tariff on all foreign goods and individualized higher reciprocal tariffs on goods imported from certain countries. On April 9, 2025, the Trump administration announced a pause on the individualized reciprocal tariffs on all countries, except for China, for 90 days. On July 7, 2025, two days before the expiration of the announced pause, the President signed an executive order that certain tariff rates would expire on August 1, 2025. Tariffs could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business could be negatively impacted by corporate citizenship and sustainability matters.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natural disasters or other catastrophic events strike, our business may be harmed.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corporate headquarters, where the majority of our operations are based, are located in the San Francisco Bay Area, a region known for seismic activity and a potential terrorist target. In the event of an earthquake or other natural disaster, catastrophic event caused by climate change, political instability, civil unrest, or terrorist event in the region, our business operations would be significantly disrupted and our financial condition would be harmed. Our collaboration partners and important vendors and suppliers to us or our collaboration partners may also be subject to catastrophic events, such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earthquakes, floods, wild fires,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sz w:val="20"/>
        </w:rPr>
      </w:pPr>
      <w:bookmarkStart w:id="23" w:name="item_2_unregistered_sales_of_equity"/>
      <w:bookmarkEnd w:id="23"/>
      <w:r>
        <w:rPr>
          <w:rFonts w:ascii="Times New Roman" w:hAnsi="Times New Roman"/>
          <w:b/>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None, including no purchases of any class of our equity securities by us or any affiliate pursuant to any publicly announced repurchase plan in the three months ended June 30, 2026. </w:t>
      </w:r>
    </w:p>
    <w:p>
      <w:pPr>
        <w:pStyle w:val="TextBody"/>
        <w:bidi w:val="0"/>
        <w:spacing w:before="180" w:after="283"/>
        <w:jc w:val="left"/>
        <w:rPr>
          <w:rFonts w:ascii="Times New Roman" w:hAnsi="Times New Roman"/>
          <w:b/>
          <w:color w:val="000000"/>
          <w:sz w:val="20"/>
        </w:rPr>
      </w:pPr>
      <w:bookmarkStart w:id="24" w:name="item_3_defaults_upon_senior_securities"/>
      <w:bookmarkEnd w:id="24"/>
      <w:r>
        <w:rPr>
          <w:rFonts w:ascii="Times New Roman" w:hAnsi="Times New Roman"/>
          <w:b/>
          <w:color w:val="000000"/>
          <w:sz w:val="20"/>
        </w:rPr>
        <w:t>Item 3. Defaults Upon Senior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sz w:val="20"/>
        </w:rPr>
      </w:pPr>
      <w:bookmarkStart w:id="25" w:name="item_4_mine_safety_disclosures"/>
      <w:bookmarkEnd w:id="25"/>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left"/>
        <w:rPr>
          <w:rFonts w:ascii="Times New Roman" w:hAnsi="Times New Roman"/>
          <w:b/>
          <w:color w:val="000000"/>
          <w:sz w:val="20"/>
        </w:rPr>
      </w:pPr>
      <w:bookmarkStart w:id="26" w:name="item_5_other_information"/>
      <w:bookmarkEnd w:id="26"/>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 Director and Section 16 Officer Trading Arrangements and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Howard W. Robin, our President and Chief Executive Officer, previously entered into a pre-arranged stock trading plan intended to satisfy the affirmative defense of Rule10b5-1(c) under the Exchange Act on March 13, 2026, which provided for the sale of up to an aggregate 20,000 shares of the Company’s common stock (comprised of previously vested restricted stock). The plan terminated on June 17, 2026 upon completion of all transactions thereunder.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Jonathan Zalevsky, Ph.D., our Chief Research and Development Officer, previously entered into a pre-arranged stock trading plan intended to satisfy the affirmative defense of Rule10b5-1(c) under the Exchange Act on March 13, 2026, which provided for the sale of up to an aggregate 11,219 shares of the Company’s common stock (comprised of previously vested restricted stock units). The plan terminated on June 30, 2026, upon completion of all transactions thereunder.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the fiscal quarter ended June 30, 2026, no other directors or Section 16 officers of the Company adopted, modified, or terminated a “Rule 10b5-1 trading arrangement” or a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7" w:name="item_6_exhibits"/>
      <w:bookmarkEnd w:id="2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as so indicated in Exhibit 32.1, 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8"/>
        <w:gridCol w:w="146"/>
        <w:gridCol w:w="8673"/>
        <w:gridCol w:w="146"/>
        <w:gridCol w:w="192"/>
      </w:tblGrid>
      <w:tr>
        <w:trPr/>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4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73"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Description of Documents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2">
              <w:r>
                <w:rPr>
                  <w:rStyle w:val="InternetLink"/>
                  <w:rFonts w:ascii="Times New Roman" w:hAnsi="Times New Roman"/>
                  <w:color w:val="0000FF"/>
                  <w:sz w:val="20"/>
                  <w:u w:val="single"/>
                </w:rPr>
                <w:t>Certificate of Incorporation of Inhale Therapeutic Systems (Delaware),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3">
              <w:r>
                <w:rPr>
                  <w:rStyle w:val="InternetLink"/>
                  <w:rFonts w:ascii="Times New Roman" w:hAnsi="Times New Roman"/>
                  <w:color w:val="0000FF"/>
                  <w:sz w:val="20"/>
                  <w:u w:val="single"/>
                </w:rPr>
                <w:t>Certificate of Amendment of the Amended Certificate of Incorporation of Inhale Therapeutic Systems,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4">
              <w:r>
                <w:rPr>
                  <w:rStyle w:val="InternetLink"/>
                  <w:rFonts w:ascii="Times New Roman" w:hAnsi="Times New Roman"/>
                  <w:color w:val="0000FF"/>
                  <w:sz w:val="20"/>
                  <w:u w:val="single"/>
                </w:rPr>
                <w:t>Certificate of Ownership and Merger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5">
              <w:r>
                <w:rPr>
                  <w:rStyle w:val="InternetLink"/>
                  <w:rFonts w:ascii="Times New Roman" w:hAnsi="Times New Roman"/>
                  <w:color w:val="0000FF"/>
                  <w:sz w:val="20"/>
                  <w:u w:val="single"/>
                </w:rPr>
                <w:t>Certificate of Ownership and Merger of Nektar Therapeutics AL, Corporation with and into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6">
              <w:r>
                <w:rPr>
                  <w:rStyle w:val="InternetLink"/>
                  <w:rFonts w:ascii="Times New Roman" w:hAnsi="Times New Roman"/>
                  <w:color w:val="0000FF"/>
                  <w:sz w:val="20"/>
                  <w:u w:val="single"/>
                </w:rPr>
                <w:t>Certificate of Amendment to the Amended Certificate of Incorporation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 xml:space="preserve">3.6(6)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7">
              <w:r>
                <w:rPr>
                  <w:rStyle w:val="InternetLink"/>
                  <w:rFonts w:ascii="Times New Roman" w:hAnsi="Times New Roman"/>
                  <w:color w:val="0000FF"/>
                  <w:sz w:val="20"/>
                  <w:u w:val="single"/>
                </w:rPr>
                <w:t>Certificate of Amendment to the Amended Certificate of Incorporation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8">
              <w:r>
                <w:rPr>
                  <w:rStyle w:val="InternetLink"/>
                  <w:rFonts w:ascii="Times New Roman" w:hAnsi="Times New Roman"/>
                  <w:color w:val="0000FF"/>
                  <w:sz w:val="20"/>
                  <w:u w:val="single"/>
                </w:rPr>
                <w:t>Amended and Restated Bylaws of Nektar Therapeutics.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10_1.htm">
              <w:r>
                <w:rPr>
                  <w:rStyle w:val="InternetLink"/>
                  <w:rFonts w:ascii="Times New Roman" w:hAnsi="Times New Roman"/>
                  <w:color w:val="0000FF"/>
                  <w:sz w:val="20"/>
                  <w:u w:val="single"/>
                </w:rPr>
                <w:t>Nektar Therapeutics Amended and Restated 2017 Performance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 xml:space="preserve">10.2(8)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10_2.htm">
              <w:r>
                <w:rPr>
                  <w:rStyle w:val="InternetLink"/>
                  <w:rFonts w:ascii="Times New Roman" w:hAnsi="Times New Roman"/>
                  <w:color w:val="0000FF"/>
                  <w:sz w:val="20"/>
                  <w:u w:val="single"/>
                </w:rPr>
                <w:t>First Amendment, dated May 7, 2026, to the Consulting Agreement between Nektar Therapeutics and FLG Partners,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r:id="rId9">
              <w:r>
                <w:rPr>
                  <w:rStyle w:val="InternetLink"/>
                  <w:rFonts w:ascii="Times New Roman" w:hAnsi="Times New Roman"/>
                  <w:color w:val="0000FF"/>
                  <w:sz w:val="20"/>
                  <w:u w:val="single"/>
                </w:rPr>
                <w:t>Equity Distribution Agreement, dated May 8, 2026, by and among Nektar Therapeutics, Guggenheim Securities, LLC and H.C. Wainwright &amp; Co.,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31.1(8)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31_1.htm">
              <w:r>
                <w:rPr>
                  <w:rStyle w:val="InternetLink"/>
                  <w:rFonts w:ascii="Times New Roman" w:hAnsi="Times New Roman"/>
                  <w:color w:val="0000FF"/>
                  <w:sz w:val="20"/>
                  <w:u w:val="single"/>
                </w:rPr>
                <w:t>Certification of Nektar Therapeutics’ principal executive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31.2(8)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31_2.htm">
              <w:r>
                <w:rPr>
                  <w:rStyle w:val="InternetLink"/>
                  <w:rFonts w:ascii="Times New Roman" w:hAnsi="Times New Roman"/>
                  <w:color w:val="0000FF"/>
                  <w:sz w:val="20"/>
                  <w:u w:val="single"/>
                </w:rPr>
                <w:t>Certification of Nektar Therapeutics’ principal financial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pPr>
            <w:hyperlink w:anchor="nktr-ex32_1.htm">
              <w:r>
                <w:rPr>
                  <w:rStyle w:val="InternetLink"/>
                  <w:rFonts w:ascii="Times New Roman" w:hAnsi="Times New Roman"/>
                  <w:color w:val="0000FF"/>
                  <w:sz w:val="20"/>
                  <w:u w:val="single"/>
                </w:rPr>
                <w:t>Section 1350 Certifications.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101.SCH(8)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101.INS(8)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8"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104(8)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Incorporated by reference to Exhibit 3.1 to Nektar Therapeutics’ Quarterly Report on Form 10-Q, for the quarter ended June 30, 1998.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3.3 to Nektar Therapeutics’ Quarterly Report on Form 10-Q, for the quarter ended June 30, 2000.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 to Nektar Therapeutics’ Current Report on Form 8-K, filed with the SEC on January 23, 2003.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3.6 to Nektar Therapeutics’ Annual Report on Form 10-K, for the year ended December 31, 2009.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 to Nektar Therapeutics’ Current Report on Form 8-K, filed with the SEC on June 6,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3.12 to Nektar Therapeutics’ Current Report on Form 8-K, filed with the SEC on June 6,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Incorporated by reference to Exhibit 3.1 to Nektar Therapeutics’ Current Report on Form 8-K, filed with the SEC on December 21, 2020.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herewith.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Incorporated by reference to Exhibit 1.1 to Nektar Therapeutics’ Current Report on Form 8-K, filed with the SEC on May 8,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358" w:type="dxa"/>
        <w:jc w:val="left"/>
        <w:tblInd w:w="0" w:type="dxa"/>
        <w:tblLayout w:type="fixed"/>
        <w:tblCellMar>
          <w:top w:w="28" w:type="dxa"/>
          <w:left w:w="28" w:type="dxa"/>
          <w:bottom w:w="28" w:type="dxa"/>
          <w:right w:w="28" w:type="dxa"/>
        </w:tblCellMar>
      </w:tblPr>
      <w:tblGrid>
        <w:gridCol w:w="161"/>
        <w:gridCol w:w="406"/>
        <w:gridCol w:w="27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9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LINDA RUBINSTEIN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Linda Rubinstein</w:t>
            </w:r>
          </w:p>
          <w:p>
            <w:pPr>
              <w:pStyle w:val="TableContents"/>
              <w:bidi w:val="0"/>
              <w:jc w:val="left"/>
              <w:rPr>
                <w:rFonts w:ascii="Times New Roman" w:hAnsi="Times New Roman"/>
                <w:b/>
                <w:color w:val="000000"/>
                <w:sz w:val="20"/>
              </w:rPr>
            </w:pPr>
            <w:r>
              <w:rPr>
                <w:rFonts w:ascii="Times New Roman" w:hAnsi="Times New Roman"/>
                <w:b/>
                <w:color w:val="000000"/>
                <w:sz w:val="20"/>
              </w:rPr>
              <w:t>Interim 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bookmarkStart w:id="29" w:name="nktr-ex10_1.htm"/>
      <w:bookmarkStart w:id="30" w:name="ksnktrex10_1"/>
      <w:bookmarkEnd w:id="29"/>
      <w:bookmarkEnd w:id="30"/>
      <w:r>
        <w:rPr>
          <w:rFonts w:ascii="Times New Roman" w:hAnsi="Times New Roman"/>
          <w:b/>
          <w:color w:val="000000"/>
          <w:sz w:val="20"/>
        </w:rPr>
        <w:t>NEKTAR THERAPEUTICS</w:t>
      </w:r>
      <w:r>
        <w:br w:type="page"/>
      </w:r>
    </w:p>
    <w:p>
      <w:pPr>
        <w:pStyle w:val="TextBody"/>
        <w:bidi w:val="0"/>
        <w:spacing w:before="180" w:after="283"/>
        <w:jc w:val="center"/>
        <w:rPr>
          <w:rFonts w:ascii="Times New Roman" w:hAnsi="Times New Roman"/>
          <w:sz w:val="20"/>
        </w:rPr>
      </w:pPr>
      <w:r>
        <w:rPr>
          <w:rFonts w:ascii="Times New Roman" w:hAnsi="Times New Roman"/>
          <w:b/>
          <w:color w:val="000000"/>
          <w:sz w:val="20"/>
        </w:rPr>
        <w:t>AMENDED AND RESTATED 2017 PERFORMANCE INCENTIVE PLAN</w:t>
      </w:r>
      <w:r>
        <w:rPr>
          <w:rFonts w:ascii="Times New Roman" w:hAnsi="Times New Roman"/>
          <w:b/>
          <w:color w:val="000000"/>
          <w:sz w:val="13"/>
        </w:rPr>
        <w:t>1</w:t>
      </w:r>
    </w:p>
    <w:p>
      <w:pPr>
        <w:pStyle w:val="TextBody"/>
        <w:bidi w:val="0"/>
        <w:spacing w:before="180" w:after="283"/>
        <w:jc w:val="center"/>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jc w:val="both"/>
        <w:rPr>
          <w:rFonts w:ascii="Times New Roman" w:hAnsi="Times New Roman"/>
          <w:b/>
          <w:color w:val="000000"/>
          <w:sz w:val="20"/>
        </w:rPr>
      </w:pPr>
      <w:r>
        <w:rPr>
          <w:rFonts w:ascii="Times New Roman" w:hAnsi="Times New Roman"/>
          <w:b/>
          <w:color w:val="000000"/>
          <w:sz w:val="20"/>
        </w:rPr>
        <w:t>PURPOSE OF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purpose of this Nektar Therapeutics Amended and Restated 2017 Performance Incentive Plan (this “</w:t>
      </w:r>
      <w:r>
        <w:rPr>
          <w:rFonts w:ascii="Times New Roman" w:hAnsi="Times New Roman"/>
          <w:b/>
          <w:color w:val="000000"/>
          <w:sz w:val="20"/>
        </w:rPr>
        <w:t>Plan</w:t>
      </w:r>
      <w:r>
        <w:rPr>
          <w:rFonts w:ascii="Times New Roman" w:hAnsi="Times New Roman"/>
          <w:color w:val="000000"/>
          <w:sz w:val="20"/>
        </w:rPr>
        <w:t>”) of Nektar Therapeutics, a Delaware corporation (the “</w:t>
      </w:r>
      <w:r>
        <w:rPr>
          <w:rFonts w:ascii="Times New Roman" w:hAnsi="Times New Roman"/>
          <w:b/>
          <w:color w:val="000000"/>
          <w:sz w:val="20"/>
        </w:rPr>
        <w:t>Corporation</w:t>
      </w:r>
      <w:r>
        <w:rPr>
          <w:rFonts w:ascii="Times New Roman" w:hAnsi="Times New Roman"/>
          <w:color w:val="000000"/>
          <w:sz w:val="20"/>
        </w:rPr>
        <w:t xml:space="preserve">”), is to promote the success of the Corporation and to increase stockholder value by providing an additional means through the grant of awards to attract, motivate, retain and reward selected employees and other eligible persons.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jc w:val="both"/>
        <w:rPr>
          <w:rFonts w:ascii="Times New Roman" w:hAnsi="Times New Roman"/>
          <w:b/>
          <w:color w:val="000000"/>
          <w:sz w:val="20"/>
        </w:rPr>
      </w:pPr>
      <w:r>
        <w:rPr>
          <w:rFonts w:ascii="Times New Roman" w:hAnsi="Times New Roman"/>
          <w:b/>
          <w:color w:val="000000"/>
          <w:sz w:val="20"/>
        </w:rPr>
        <w:t>ELIGIBILITY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Administrator (as such term is defined in Section 3.1) may grant awards under this Plan only to those persons that the Administrator determines to be Eligible Persons. An “</w:t>
      </w:r>
      <w:r>
        <w:rPr>
          <w:rFonts w:ascii="Times New Roman" w:hAnsi="Times New Roman"/>
          <w:b/>
          <w:color w:val="000000"/>
          <w:sz w:val="20"/>
        </w:rPr>
        <w:t>Eligible Person</w:t>
      </w:r>
      <w:r>
        <w:rPr>
          <w:rFonts w:ascii="Times New Roman" w:hAnsi="Times New Roman"/>
          <w:color w:val="000000"/>
          <w:sz w:val="20"/>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hAnsi="Times New Roman"/>
          <w:b/>
          <w:color w:val="000000"/>
          <w:sz w:val="20"/>
        </w:rPr>
        <w:t>Securities Act</w:t>
      </w:r>
      <w:r>
        <w:rPr>
          <w:rFonts w:ascii="Times New Roman" w:hAnsi="Times New Roman"/>
          <w:color w:val="000000"/>
          <w:sz w:val="20"/>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Times New Roman" w:hAnsi="Times New Roman"/>
          <w:b/>
          <w:color w:val="000000"/>
          <w:sz w:val="20"/>
        </w:rPr>
        <w:t>Subsidiary</w:t>
      </w:r>
      <w:r>
        <w:rPr>
          <w:rFonts w:ascii="Times New Roman" w:hAnsi="Times New Roman"/>
          <w:color w:val="000000"/>
          <w:sz w:val="20"/>
        </w:rPr>
        <w:t>” means any corporation or other entity a majority of whose outstanding voting stock or voting power is beneficially owned directly or indirectly by the Corporation; and “</w:t>
      </w:r>
      <w:r>
        <w:rPr>
          <w:rFonts w:ascii="Times New Roman" w:hAnsi="Times New Roman"/>
          <w:b/>
          <w:color w:val="000000"/>
          <w:sz w:val="20"/>
        </w:rPr>
        <w:t>Board</w:t>
      </w:r>
      <w:r>
        <w:rPr>
          <w:rFonts w:ascii="Times New Roman" w:hAnsi="Times New Roman"/>
          <w:color w:val="000000"/>
          <w:sz w:val="20"/>
        </w:rPr>
        <w:t xml:space="preserve">” means the Board of Directors of the Corporation.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w:t>
      </w:r>
    </w:p>
    <w:p>
      <w:pPr>
        <w:pStyle w:val="TextBody"/>
        <w:bidi w:val="0"/>
        <w:jc w:val="both"/>
        <w:rPr>
          <w:rFonts w:ascii="Times New Roman" w:hAnsi="Times New Roman"/>
          <w:b/>
          <w:color w:val="000000"/>
          <w:sz w:val="20"/>
        </w:rPr>
      </w:pPr>
      <w:r>
        <w:rPr>
          <w:rFonts w:ascii="Times New Roman" w:hAnsi="Times New Roman"/>
          <w:b/>
          <w:color w:val="000000"/>
          <w:sz w:val="20"/>
        </w:rPr>
        <w:t>PLAN ADMINISTRATION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3.1.</w:t>
      </w:r>
    </w:p>
    <w:p>
      <w:pPr>
        <w:pStyle w:val="TextBody"/>
        <w:bidi w:val="0"/>
        <w:jc w:val="both"/>
        <w:rPr/>
      </w:pPr>
      <w:r>
        <w:rPr>
          <w:rFonts w:ascii="Times New Roman" w:hAnsi="Times New Roman"/>
          <w:b/>
          <w:i/>
          <w:color w:val="000000"/>
          <w:sz w:val="20"/>
        </w:rPr>
        <w:t>The Administrator</w:t>
      </w:r>
      <w:r>
        <w:rPr>
          <w:rFonts w:ascii="Times New Roman" w:hAnsi="Times New Roman"/>
          <w:b/>
          <w:color w:val="000000"/>
          <w:sz w:val="20"/>
        </w:rPr>
        <w:t>.</w:t>
      </w:r>
      <w:r>
        <w:rPr>
          <w:color w:val="000000"/>
        </w:rPr>
        <w:t xml:space="preserve"> </w:t>
      </w:r>
      <w:r>
        <w:rPr>
          <w:rFonts w:ascii="Times New Roman" w:hAnsi="Times New Roman"/>
          <w:color w:val="000000"/>
          <w:sz w:val="20"/>
        </w:rPr>
        <w:t>This Plan shall be administered by and all awards under this Plan shall be authorized by the Administrator. The “Administrator” means the Board or one 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Section 157(c) of the Delaware General Corporation Law and any other applicable law, to one or more officers of the Corporation, its powers under this Plan (a) to designate the officers and employees of the Corporation and its Subsidiaries who will receive grants of awards under this Plan, and (b) to determine the number of shares subject to, and the other terms and conditions of, such awards. The Board may delegate different levels of authority to different committees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With respect to awards previously intended to satisfy the requirements for performance-based compensation under Section 162(m) of the Internal Revenue Code of 1986, as amended (the “</w:t>
      </w:r>
      <w:r>
        <w:rPr>
          <w:rFonts w:ascii="Times New Roman" w:hAnsi="Times New Roman"/>
          <w:b/>
          <w:color w:val="000000"/>
          <w:sz w:val="20"/>
        </w:rPr>
        <w:t>Code</w:t>
      </w:r>
      <w:r>
        <w:rPr>
          <w:rFonts w:ascii="Times New Roman" w:hAnsi="Times New Roman"/>
          <w:color w:val="000000"/>
          <w:sz w:val="20"/>
        </w:rPr>
        <w:t xml:space="preserve">”), this Plan shall be administered by a committee consisting solely of two or more outside directors (as this requirement is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The share numbers and limits set forth in the Plan reflect the 1:15 reverse stock split of the Corporation’s Common Stock effective June 8, 2025, adjusted pursuant to Section 7.1 of the Plan.</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applied under Section 162(m) of the Code); provided, however, that the failure to satisfy such requirement shall not affect the validity of the action of any committee otherwise duly authorized and acting in the matter. Award grants, and transactions in or involving awards, intended to be exempt under Rule 16b-3 under the Securities Exchange Act of 1934, as amended (the “</w:t>
      </w:r>
      <w:r>
        <w:rPr>
          <w:rFonts w:ascii="Times New Roman" w:hAnsi="Times New Roman"/>
          <w:b/>
          <w:color w:val="000000"/>
          <w:sz w:val="20"/>
        </w:rPr>
        <w:t>Exchange Act</w:t>
      </w:r>
      <w:r>
        <w:rPr>
          <w:rFonts w:ascii="Times New Roman" w:hAnsi="Times New Roman"/>
          <w:color w:val="000000"/>
          <w:sz w:val="20"/>
        </w:rPr>
        <w:t xml:space="preserve">”), must be duly and timely authorized by the Board or a committee consisting solely of two or more non-employee directors (as this requirement is applied under Rule 16b-3 promulgated under the Exchange Act). To the extent required by any applicable listing agency, this Plan shall be administered by a committee composed entirely of independent directors (within the meaning of the applicable listing agency).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3.2.</w:t>
      </w:r>
    </w:p>
    <w:p>
      <w:pPr>
        <w:pStyle w:val="TextBody"/>
        <w:bidi w:val="0"/>
        <w:jc w:val="both"/>
        <w:rPr/>
      </w:pPr>
      <w:r>
        <w:rPr>
          <w:rFonts w:ascii="Times New Roman" w:hAnsi="Times New Roman"/>
          <w:b/>
          <w:i/>
          <w:color w:val="000000"/>
          <w:sz w:val="20"/>
        </w:rPr>
        <w:t>Powers of the Administrator</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Subject to the express provisions of this Plan, the Administrator is authorized and empowered to do all things necessary or desirable in connection with the authorization of awards and the administration of this Plan (in the case of a committee or delegation to one or more officers, within the authority delegated to that committee or person(s)), including, without limitation, the authority 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determine eligibility and, from among those persons determined to be eligible, the particular Eligible Persons who will receive an award under this Plan;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grant awards to Eligible Persons, determine the price at which securities will be offered or awarded and the number of securities to be offered or awarded to any of such persons,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 targets, and establish the events of termination or reversion of such awards;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approve the forms of award agreements (which need not be identical either as to type of award or among participants);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 xml:space="preserve">construe and interpret this Plan and any agreements defining the rights and obligations of the Corporation, its Subsidiaries, and participants under this Plan, further define the terms used in this Plan, and prescribe, amend and rescind rules and regulations relating to the administration of this Plan or the awards granted under this Plan;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cancel, modify, or waive the Corporation’s rights with respect to, or modify, discontinue, suspend, or terminate any or all outstanding awards, subject to any required consent under Section 8.6.5;</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rFonts w:ascii="Times New Roman" w:hAnsi="Times New Roman"/>
          <w:color w:val="000000"/>
          <w:sz w:val="20"/>
        </w:rPr>
      </w:pPr>
      <w:r>
        <w:rPr>
          <w:rFonts w:ascii="Times New Roman" w:hAnsi="Times New Roman"/>
          <w:color w:val="000000"/>
          <w:sz w:val="20"/>
        </w:rPr>
        <w:t xml:space="preserve">accelerate or extend the vesting or exercisability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 xml:space="preserve">adjust the number of shares of Common Stock subject to any award, adjust the price of any or all outstanding awards or otherwise change previously imposed terms and conditions, in such circumstances as the Administrator may deem appropriate, in each case subject to Sections 4 and 8.6 (and subject to the no repricing provision below);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determine whether, and the extent to which, adjustments are required pursuant to Section 7 hereof and authorize the termination, conversion, substitution or succession of awards upon the occurrence of an event of the type described in Section 7;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jc w:val="both"/>
        <w:rPr>
          <w:rFonts w:ascii="Times New Roman" w:hAnsi="Times New Roman"/>
          <w:color w:val="000000"/>
          <w:sz w:val="20"/>
        </w:rPr>
      </w:pPr>
      <w:r>
        <w:rPr>
          <w:rFonts w:ascii="Times New Roman" w:hAnsi="Times New Roman"/>
          <w:color w:val="000000"/>
          <w:sz w:val="20"/>
        </w:rPr>
        <w:t xml:space="preserve">acquire or settle (subject to Sections 7 and 8.6) rights under awards in cash, stock of equivalent value, or other consideration (subject to the no repricing provision below);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determine the fair market value of the Common Stock or awards under this Plan from time to time and/or the manner in which such value will be determined.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foregoing and except for an adjustment pursuant to Section 7.1 or a repricing approved by stockholders, in no case may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3.3.</w:t>
      </w:r>
    </w:p>
    <w:p>
      <w:pPr>
        <w:pStyle w:val="TextBody"/>
        <w:bidi w:val="0"/>
        <w:jc w:val="both"/>
        <w:rPr/>
      </w:pPr>
      <w:r>
        <w:rPr>
          <w:rFonts w:ascii="Times New Roman" w:hAnsi="Times New Roman"/>
          <w:b/>
          <w:i/>
          <w:color w:val="000000"/>
          <w:sz w:val="20"/>
        </w:rPr>
        <w:t>Binding Determinations</w:t>
      </w:r>
      <w:r>
        <w:rPr>
          <w:rFonts w:ascii="Times New Roman" w:hAnsi="Times New Roman"/>
          <w:b/>
          <w:color w:val="000000"/>
          <w:sz w:val="20"/>
        </w:rPr>
        <w:t>.</w:t>
      </w:r>
      <w:r>
        <w:rPr>
          <w:color w:val="000000"/>
        </w:rPr>
        <w:t xml:space="preserve"> </w:t>
      </w:r>
      <w:r>
        <w:rPr>
          <w:rFonts w:ascii="Times New Roman" w:hAnsi="Times New Roman"/>
          <w:color w:val="000000"/>
          <w:sz w:val="20"/>
        </w:rPr>
        <w:t>Any action taken by, or inaction of, the Corporation, any Subsidiary, or the Administrator relating or pursuant to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3.4.</w:t>
      </w:r>
    </w:p>
    <w:p>
      <w:pPr>
        <w:pStyle w:val="TextBody"/>
        <w:bidi w:val="0"/>
        <w:jc w:val="both"/>
        <w:rPr/>
      </w:pPr>
      <w:r>
        <w:rPr>
          <w:rFonts w:ascii="Times New Roman" w:hAnsi="Times New Roman"/>
          <w:b/>
          <w:i/>
          <w:color w:val="000000"/>
          <w:sz w:val="20"/>
        </w:rPr>
        <w:t>Reliance on Experts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In making any determination or in taking or not taking any action under this Plan, the Administrator may obtain and may rely upon the advice of experts, including employees and professional advisors to the Corporation. No director, officer or agent of the Corporation or any of its Subsidiaries shall be liable for any such action or determination taken or made or omitted in good faith.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3.5.</w:t>
      </w:r>
    </w:p>
    <w:p>
      <w:pPr>
        <w:pStyle w:val="TextBody"/>
        <w:bidi w:val="0"/>
        <w:jc w:val="both"/>
        <w:rPr/>
      </w:pPr>
      <w:r>
        <w:rPr>
          <w:rFonts w:ascii="Times New Roman" w:hAnsi="Times New Roman"/>
          <w:b/>
          <w:i/>
          <w:color w:val="000000"/>
          <w:sz w:val="20"/>
        </w:rPr>
        <w:t>Delegation</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Administrator may delegate ministerial, non-discretionary functions to individuals who are officers or employees of the Corporation or any of its Subsidiaries or to third parties.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rFonts w:ascii="Times New Roman" w:hAnsi="Times New Roman"/>
          <w:b/>
          <w:color w:val="000000"/>
          <w:sz w:val="20"/>
        </w:rPr>
      </w:pPr>
      <w:r>
        <w:rPr>
          <w:rFonts w:ascii="Times New Roman" w:hAnsi="Times New Roman"/>
          <w:b/>
          <w:color w:val="000000"/>
          <w:sz w:val="20"/>
        </w:rPr>
        <w:t xml:space="preserve">SHARES OF COMMON STOCK SUBJECT TO THE PLAN; SHARE LIMITS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4.1.</w:t>
      </w:r>
    </w:p>
    <w:p>
      <w:pPr>
        <w:pStyle w:val="TextBody"/>
        <w:bidi w:val="0"/>
        <w:jc w:val="both"/>
        <w:rPr/>
      </w:pPr>
      <w:r>
        <w:rPr>
          <w:rFonts w:ascii="Times New Roman" w:hAnsi="Times New Roman"/>
          <w:b/>
          <w:i/>
          <w:color w:val="000000"/>
          <w:sz w:val="20"/>
        </w:rPr>
        <w:t>Shares Available</w:t>
      </w:r>
      <w:r>
        <w:rPr>
          <w:rFonts w:ascii="Times New Roman" w:hAnsi="Times New Roman"/>
          <w:b/>
          <w:color w:val="000000"/>
          <w:sz w:val="20"/>
        </w:rPr>
        <w:t>.</w:t>
      </w:r>
      <w:r>
        <w:rPr>
          <w:color w:val="000000"/>
        </w:rPr>
        <w:t xml:space="preserve"> </w:t>
      </w:r>
      <w:r>
        <w:rPr>
          <w:rFonts w:ascii="Times New Roman" w:hAnsi="Times New Roman"/>
          <w:color w:val="000000"/>
          <w:sz w:val="20"/>
        </w:rPr>
        <w:t>Subject to the provisions of Section 7.1, the capital stock that may be delivered under this Plan shall be shares of the Corporation’s authorized but unissued Common Stock and any shares of its Common Stock held as treasury shares. For purposes of this Plan, “</w:t>
      </w:r>
      <w:r>
        <w:rPr>
          <w:rFonts w:ascii="Times New Roman" w:hAnsi="Times New Roman"/>
          <w:b/>
          <w:color w:val="000000"/>
          <w:sz w:val="20"/>
        </w:rPr>
        <w:t>Common Stock</w:t>
      </w:r>
      <w:r>
        <w:rPr>
          <w:color w:val="000000"/>
        </w:rPr>
        <w:t xml:space="preserve">” </w:t>
      </w:r>
      <w:r>
        <w:rPr>
          <w:rFonts w:ascii="Times New Roman" w:hAnsi="Times New Roman"/>
          <w:color w:val="000000"/>
          <w:sz w:val="20"/>
        </w:rPr>
        <w:t xml:space="preserve">shall mean the common stock of the Corporation and such other securities or property as may become the subject of awards under this Plan, or may become subject to such awards, pursuant to an adjustment made under Section 7.1.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4.2.</w:t>
      </w:r>
    </w:p>
    <w:p>
      <w:pPr>
        <w:pStyle w:val="TextBody"/>
        <w:bidi w:val="0"/>
        <w:jc w:val="both"/>
        <w:rPr/>
      </w:pPr>
      <w:r>
        <w:rPr>
          <w:rFonts w:ascii="Times New Roman" w:hAnsi="Times New Roman"/>
          <w:b/>
          <w:i/>
          <w:color w:val="000000"/>
          <w:sz w:val="20"/>
        </w:rPr>
        <w:t>Share Limits</w:t>
      </w:r>
      <w:r>
        <w:rPr>
          <w:rFonts w:ascii="Times New Roman" w:hAnsi="Times New Roman"/>
          <w:b/>
          <w:color w:val="000000"/>
          <w:sz w:val="20"/>
        </w:rPr>
        <w:t>.</w:t>
      </w:r>
      <w:r>
        <w:rPr>
          <w:color w:val="000000"/>
        </w:rPr>
        <w:t xml:space="preserve"> </w:t>
      </w:r>
      <w:r>
        <w:rPr>
          <w:rFonts w:ascii="Times New Roman" w:hAnsi="Times New Roman"/>
          <w:color w:val="000000"/>
          <w:sz w:val="20"/>
        </w:rPr>
        <w:t>Subject to Section 7.1, the maximum number of shares of Common Stock that may be delivered pursuant to awards granted to Eligible Persons under this Plan (the “</w:t>
      </w:r>
      <w:r>
        <w:rPr>
          <w:rFonts w:ascii="Times New Roman" w:hAnsi="Times New Roman"/>
          <w:b/>
          <w:color w:val="000000"/>
          <w:sz w:val="20"/>
        </w:rPr>
        <w:t>Share Limit</w:t>
      </w:r>
      <w:r>
        <w:rPr>
          <w:color w:val="000000"/>
        </w:rPr>
        <w:t>”</w:t>
      </w:r>
      <w:r>
        <w:rPr>
          <w:rFonts w:ascii="Times New Roman" w:hAnsi="Times New Roman"/>
          <w:color w:val="000000"/>
          <w:sz w:val="20"/>
        </w:rPr>
        <w:t xml:space="preserve">) is equal 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7,346,666 shares of Common Stock, less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The number of any shares subject to awards granted under the Corporation’s 2012 Performance Incentive Plan (the “</w:t>
      </w:r>
      <w:r>
        <w:rPr>
          <w:rFonts w:ascii="Times New Roman" w:hAnsi="Times New Roman"/>
          <w:b/>
          <w:color w:val="000000"/>
          <w:sz w:val="20"/>
        </w:rPr>
        <w:t>2012 Plan</w:t>
      </w:r>
      <w:r>
        <w:rPr>
          <w:color w:val="000000"/>
        </w:rPr>
        <w:t>”</w:t>
      </w:r>
      <w:r>
        <w:rPr>
          <w:rFonts w:ascii="Times New Roman" w:hAnsi="Times New Roman"/>
          <w:color w:val="000000"/>
          <w:sz w:val="20"/>
        </w:rPr>
        <w:t xml:space="preserve">) on or after March 31, 2017.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Shares issued in respect of any “Full-Value Award” granted under this Plan shall be counted against the foregoing Share Limit as 1.5 shares for every one share issued in connection with such award (the “</w:t>
      </w:r>
      <w:r>
        <w:rPr>
          <w:rFonts w:ascii="Times New Roman" w:hAnsi="Times New Roman"/>
          <w:b/>
          <w:color w:val="000000"/>
          <w:sz w:val="20"/>
        </w:rPr>
        <w:t>Full-Value Award Ratio</w:t>
      </w:r>
      <w:r>
        <w:rPr>
          <w:rFonts w:ascii="Times New Roman" w:hAnsi="Times New Roman"/>
          <w:color w:val="000000"/>
          <w:sz w:val="20"/>
        </w:rPr>
        <w:t xml:space="preserve">”). (For example, if a stock bonus of 100 shares of Common Stock is granted under this Plan, 150 shares shall be charged against the Share Limit in connection with that award.) For this purpose, a “Full-Value Award” means any award under this Plan that is not a stock option grant or a stock appreciation right grant.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limits also apply with respect to awards granted under this Plan: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The maximum number of shares of Common Stock that may be delivered pursuant to options qualified as incentive stock options granted under this Plan is 7,346,666 shares.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The maximum number of shares of Common Stock subject to options and stock appreciation rights that are granted during any calendar year to any individual under this Plan is 200,000 shares.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Additional limits with respect to performance-based awards are set forth in Section 5.2.2.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 xml:space="preserve">The aggregate value of cash compensation and the grant date fair value (computed in accordance with generally accepted accounting principles) of shares of Common Stock that may be paid or granted during any calendar year to any non-employee director shall not exceed $1,200,000 for existing non-employee directors and $2,200,000 for new non-employee directors.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Each of the foregoing numerical limits is subject to adjustment as contemplated by Section 4.3, Section 7.1, and Section 8.10. </w:t>
      </w:r>
    </w:p>
    <w:p>
      <w:pPr>
        <w:pStyle w:val="TextBody"/>
        <w:bidi w:val="0"/>
        <w:spacing w:before="180" w:after="283"/>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4.3.</w:t>
      </w:r>
    </w:p>
    <w:p>
      <w:pPr>
        <w:pStyle w:val="TextBody"/>
        <w:bidi w:val="0"/>
        <w:jc w:val="both"/>
        <w:rPr/>
      </w:pPr>
      <w:r>
        <w:rPr>
          <w:rFonts w:ascii="Times New Roman" w:hAnsi="Times New Roman"/>
          <w:b/>
          <w:i/>
          <w:color w:val="000000"/>
          <w:sz w:val="20"/>
        </w:rPr>
        <w:t>Awards Settled in Cash, Reissue of Awards and Shares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Except as provided in the next sentence, shares that are subject to or underlie awards granted under this Plan or the 2012 Plan, the Corporation’s 2008 Equity Incentive Plan, the Corporation’s 2000 Non-Officer Equity Incentive Plan, or the Corporation’s 2000 Equity Incentive Plan (collectively, the </w:t>
      </w:r>
      <w:r>
        <w:rPr>
          <w:color w:val="000000"/>
        </w:rPr>
        <w:t>“</w:t>
      </w:r>
      <w:r>
        <w:rPr>
          <w:rFonts w:ascii="Times New Roman" w:hAnsi="Times New Roman"/>
          <w:b/>
          <w:color w:val="000000"/>
          <w:sz w:val="20"/>
        </w:rPr>
        <w:t>Prior Plans</w:t>
      </w:r>
      <w:r>
        <w:rPr>
          <w:color w:val="000000"/>
        </w:rPr>
        <w:t>”</w:t>
      </w:r>
      <w:r>
        <w:rPr>
          <w:rFonts w:ascii="Times New Roman" w:hAnsi="Times New Roman"/>
          <w:color w:val="000000"/>
          <w:sz w:val="20"/>
        </w:rPr>
        <w:t>), which expire or for any reason are cancelled or terminated, are forfeited, fail to vest, or for any other reason are not paid or delivered under this Plan or a Prior Plan shall again be available for subsequent awards under this Plan (with any such shares increasing the Share Limit based on the Full-Value Award Ratio specified in Section 4.2 or, with respect to awards granted under a Prior Plan, the Full-Value Award Ratio as specified in such Prior Plan). Shares that are exchanged by a participant or withheld by the Corporation as full or partial payment in connection with any award under this Plan, as well as any shares exchanged by a participant or withheld by the Corporation or one of its Subsidiaries to satisfy the tax withholding obligations related to any award, shall not be available for subsequent awards under this Plan. To the extent that an award granted under this Plan or a Prior Plan is settled in cash or a form other than shares of Common Stock, the shares that would have been delivered had there been no such cash or other settlement shall again be available for subsequent awards under this Plan (with any such shares increasing the Share Limit based on the Full-Value Award Ratio specified in Section 4.2 or, with respect to awards granted under a Prior Plan, the Full-Value Award Ratio as specified in such Prior Plan). In the event that shares of Common Stock are delivered in respect of a dividend equivalent right granted under this Plan, the number of shares delivered with respect to the award shall be counted against the share limits of this Plan (including, for purposes of clarity, the limits of Section 4.2 of this Plan). (For purposes of clarity, if 1,000 dividend equivalent rights are granted and outstanding when the Corporation pays a dividend, and 50 shares are delivered in payment of those rights with respect to that dividend, 75 shares (after giving effect to the Full-Value Award premium counting rules) shall be counted against the share limits of this Plan). To the extent that shares of Common Stock are delivered pursuant to the exercise of a stock appreciation right or stock option granted under this Plan, the number of underlying shares as to which the exercise related shall be counted against the applicable share limits under Section 4.2, as opposed to only counting the shares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 Refer to Section 8.10 for application of the foregoing share limits with respect to assumed awards.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4.4.</w:t>
      </w:r>
    </w:p>
    <w:p>
      <w:pPr>
        <w:pStyle w:val="TextBody"/>
        <w:bidi w:val="0"/>
        <w:spacing w:before="0" w:after="0"/>
        <w:jc w:val="both"/>
        <w:rPr/>
      </w:pPr>
      <w:r>
        <w:rPr>
          <w:rFonts w:ascii="Times New Roman" w:hAnsi="Times New Roman"/>
          <w:b/>
          <w:i/>
          <w:color w:val="000000"/>
          <w:sz w:val="20"/>
        </w:rPr>
        <w:t>Reservation of Shares; No Fractional Shares; Minimum Issue</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Corporation shall at all times reserve a number of shares of Common Stock sufficient to cover the Corporation’s obligations and contingent obligations to deliver shares with respect to awards then outstanding under this Plan (exclusive of any dividend equivalent obligations to the extent the Corporation has the right to settle such rights in cash). No fractional shares shall be delivered 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awards granted under this Plan unless (as to any particular award) the total number purchased or exercised is the total number at the time available for purchase or exercise under the award.</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w:t>
      </w:r>
    </w:p>
    <w:p>
      <w:pPr>
        <w:pStyle w:val="TextBody"/>
        <w:bidi w:val="0"/>
        <w:jc w:val="both"/>
        <w:rPr>
          <w:rFonts w:ascii="Times New Roman" w:hAnsi="Times New Roman"/>
          <w:b/>
          <w:color w:val="000000"/>
          <w:sz w:val="20"/>
        </w:rPr>
      </w:pPr>
      <w:r>
        <w:rPr>
          <w:rFonts w:ascii="Times New Roman" w:hAnsi="Times New Roman"/>
          <w:b/>
          <w:color w:val="000000"/>
          <w:sz w:val="20"/>
        </w:rPr>
        <w:t>AWARDS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5.1.</w:t>
      </w:r>
    </w:p>
    <w:p>
      <w:pPr>
        <w:pStyle w:val="TextBody"/>
        <w:bidi w:val="0"/>
        <w:jc w:val="both"/>
        <w:rPr/>
      </w:pPr>
      <w:r>
        <w:rPr>
          <w:rFonts w:ascii="Times New Roman" w:hAnsi="Times New Roman"/>
          <w:b/>
          <w:i/>
          <w:color w:val="000000"/>
          <w:sz w:val="20"/>
        </w:rPr>
        <w:t>Type and Form of Awards</w:t>
      </w:r>
      <w:r>
        <w:rPr>
          <w:rFonts w:ascii="Times New Roman" w:hAnsi="Times New Roman"/>
          <w:b/>
          <w:color w:val="000000"/>
          <w:sz w:val="20"/>
        </w:rPr>
        <w:t>.</w:t>
      </w:r>
      <w:r>
        <w:rPr>
          <w:color w:val="000000"/>
        </w:rPr>
        <w:t xml:space="preserve"> </w:t>
      </w:r>
      <w:r>
        <w:rPr>
          <w:rFonts w:ascii="Times New Roman" w:hAnsi="Times New Roman"/>
          <w:color w:val="000000"/>
          <w:sz w:val="20"/>
        </w:rPr>
        <w:t>The Administrator shall determine the type or types of award(s) to be made to each selected Eligible Person. 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 (subject, in each case, to the no repricing provisions of Section 3.2):</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5.1.1.</w:t>
      </w:r>
    </w:p>
    <w:p>
      <w:pPr>
        <w:pStyle w:val="TextBody"/>
        <w:bidi w:val="0"/>
        <w:jc w:val="both"/>
        <w:rPr/>
      </w:pPr>
      <w:r>
        <w:rPr>
          <w:rFonts w:ascii="Times New Roman" w:hAnsi="Times New Roman"/>
          <w:b/>
          <w:i/>
          <w:color w:val="000000"/>
          <w:sz w:val="20"/>
        </w:rPr>
        <w:t>Stock Options</w:t>
      </w:r>
      <w:r>
        <w:rPr>
          <w:rFonts w:ascii="Times New Roman" w:hAnsi="Times New Roman"/>
          <w:b/>
          <w:color w:val="000000"/>
          <w:sz w:val="20"/>
        </w:rPr>
        <w:t>.</w:t>
      </w:r>
      <w:r>
        <w:rPr>
          <w:color w:val="000000"/>
        </w:rPr>
        <w:t xml:space="preserve"> </w:t>
      </w:r>
      <w:r>
        <w:rPr>
          <w:rFonts w:ascii="Times New Roman" w:hAnsi="Times New Roman"/>
          <w:color w:val="000000"/>
          <w:sz w:val="20"/>
        </w:rPr>
        <w:t>A stock option is the grant of a right to purchase a specified number of shares of Common Stock during a specified period as determined by the Administrator. An option may be intended as an incentive stock option within the meaning of Section 422 of the Code (an “</w:t>
      </w:r>
      <w:r>
        <w:rPr>
          <w:rFonts w:ascii="Times New Roman" w:hAnsi="Times New Roman"/>
          <w:b/>
          <w:color w:val="000000"/>
          <w:sz w:val="20"/>
        </w:rPr>
        <w:t>ISO</w:t>
      </w:r>
      <w:r>
        <w:rPr>
          <w:color w:val="000000"/>
        </w:rPr>
        <w:t>”</w:t>
      </w:r>
      <w:r>
        <w:rPr>
          <w:rFonts w:ascii="Times New Roman" w:hAnsi="Times New Roman"/>
          <w:color w:val="000000"/>
          <w:sz w:val="20"/>
        </w:rPr>
        <w:t xml:space="preserve">) or a nonqualified stock option (an option not intended to be an ISO). The award agreement for an option will indicate if the option is intended as an ISO. Each option, or portion thereof, that is not an ISO, shall be a nonqualified stock option. The maximum term of each option (ISO or nonqualified) shall be eight (8)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5.1.2.</w:t>
      </w:r>
    </w:p>
    <w:p>
      <w:pPr>
        <w:pStyle w:val="TextBody"/>
        <w:bidi w:val="0"/>
        <w:jc w:val="both"/>
        <w:rPr/>
      </w:pPr>
      <w:r>
        <w:rPr>
          <w:rFonts w:ascii="Times New Roman" w:hAnsi="Times New Roman"/>
          <w:b/>
          <w:i/>
          <w:color w:val="000000"/>
          <w:sz w:val="20"/>
        </w:rPr>
        <w:t>Additional Rules Applicable to ISOs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To the extent that the aggregate fair market value (determined at the time of grant of the 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There shall be imposed in any award agreement relating to ISOs such other terms and conditions as from time to time are required in order that the option be an “incentive stock option” as that term is defined in Section 422 of the Code.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5.1.3.</w:t>
      </w:r>
    </w:p>
    <w:p>
      <w:pPr>
        <w:pStyle w:val="TextBody"/>
        <w:bidi w:val="0"/>
        <w:jc w:val="both"/>
        <w:rPr/>
      </w:pPr>
      <w:r>
        <w:rPr>
          <w:rFonts w:ascii="Times New Roman" w:hAnsi="Times New Roman"/>
          <w:b/>
          <w:i/>
          <w:color w:val="000000"/>
          <w:sz w:val="20"/>
        </w:rPr>
        <w:t>Stock Appreciation Rights</w:t>
      </w:r>
      <w:r>
        <w:rPr>
          <w:rFonts w:ascii="Times New Roman" w:hAnsi="Times New Roman"/>
          <w:b/>
          <w:color w:val="000000"/>
          <w:sz w:val="20"/>
        </w:rPr>
        <w:t>.</w:t>
      </w:r>
      <w:r>
        <w:rPr>
          <w:color w:val="000000"/>
        </w:rPr>
        <w:t xml:space="preserve"> </w:t>
      </w:r>
      <w:r>
        <w:rPr>
          <w:rFonts w:ascii="Times New Roman" w:hAnsi="Times New Roman"/>
          <w:color w:val="000000"/>
          <w:sz w:val="20"/>
        </w:rPr>
        <w:t>A stock appreciation right or “</w:t>
      </w:r>
      <w:r>
        <w:rPr>
          <w:rFonts w:ascii="Times New Roman" w:hAnsi="Times New Roman"/>
          <w:b/>
          <w:color w:val="000000"/>
          <w:sz w:val="20"/>
        </w:rPr>
        <w:t>SAR</w:t>
      </w:r>
      <w:r>
        <w:rPr>
          <w:color w:val="000000"/>
        </w:rPr>
        <w:t xml:space="preserve">” </w:t>
      </w:r>
      <w:r>
        <w:rPr>
          <w:rFonts w:ascii="Times New Roman" w:hAnsi="Times New Roman"/>
          <w:color w:val="000000"/>
          <w:sz w:val="20"/>
        </w:rPr>
        <w:t>is a right to receive a payment, in cash and/or Common Stock (as specified in the applicable award agreement), equal to the excess of the fair market value of a specified number of shares of Common Stock on the date the SAR is exercised over the “</w:t>
      </w:r>
      <w:r>
        <w:rPr>
          <w:rFonts w:ascii="Times New Roman" w:hAnsi="Times New Roman"/>
          <w:b/>
          <w:color w:val="000000"/>
          <w:sz w:val="20"/>
        </w:rPr>
        <w:t>base price</w:t>
      </w:r>
      <w:r>
        <w:rPr>
          <w:color w:val="000000"/>
        </w:rPr>
        <w:t xml:space="preserve">” </w:t>
      </w:r>
      <w:r>
        <w:rPr>
          <w:rFonts w:ascii="Times New Roman" w:hAnsi="Times New Roman"/>
          <w:color w:val="000000"/>
          <w:sz w:val="20"/>
        </w:rPr>
        <w:t xml:space="preserve">of the award, which base price shall be set forth in the applicable award agreement and shall be not less than 100% of the fair market value of a share of Common Stock on the date of grant of the SAR. The maximum term of a SAR shall be eight (8) years. </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5.1.4.</w:t>
      </w:r>
    </w:p>
    <w:p>
      <w:pPr>
        <w:pStyle w:val="TextBody"/>
        <w:bidi w:val="0"/>
        <w:jc w:val="both"/>
        <w:rPr/>
      </w:pPr>
      <w:r>
        <w:rPr>
          <w:rFonts w:ascii="Times New Roman" w:hAnsi="Times New Roman"/>
          <w:b/>
          <w:i/>
          <w:color w:val="000000"/>
          <w:sz w:val="20"/>
        </w:rPr>
        <w:t>Other Awards; Dividend Equivalent Rights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other types of awards that may be granted under this Plan include: (a) stock bonuses, restricted stock, performance stock, stock units, phantom stock or similar rights to purchase or acquire shares, whether at a fixed or variable price or ratio related to the Common Stock, upon the passage of time, the occurrence of one or more events, or the satisfaction of performance criteria or other conditions, or any combination thereof; (b) any similar securities with a value derived from the value of or related to the Common Stock and/or returns thereon; or (c) cash awards. Dividend equivalent rights may be granted as a separate award or in connection with another award under this Plan; provided, however, that dividend equivalent rights may not be granted in connection with a stock option or SAR granted under this Plan. Notwithstanding anything in the Plan or an award agreement to the contrary, any dividends and/or dividend equivalents as to the unvested portion of an award (including, without limitation, a restricted stock award) will be subject to termination and forfeiture to the same extent as the corresponding portion of the award to which they relate.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5.2.</w:t>
      </w:r>
    </w:p>
    <w:p>
      <w:pPr>
        <w:pStyle w:val="TextBody"/>
        <w:bidi w:val="0"/>
        <w:jc w:val="both"/>
        <w:rPr/>
      </w:pPr>
      <w:r>
        <w:rPr>
          <w:rFonts w:ascii="Times New Roman" w:hAnsi="Times New Roman"/>
          <w:b/>
          <w:i/>
          <w:color w:val="000000"/>
          <w:sz w:val="20"/>
        </w:rPr>
        <w:t>Performance-Based Awards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grant, vesting, exercisability or payment of performance-based awards shall depend on the degree of achievement of one or more performance goals relative to a pre-established targeted level or levels using one or more of the Business Criteria set forth below (on an absolute or relative (including, without limitation, relative to the performance of other companies or upon comparisons of any of the indicators of performance relative to other companies) basis) for the Corporation on a consolidated basis or for one or more of the Corporation’s subsidiaries, segments, divisions or business units, or any combination of the foregoing.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5.2.1.</w:t>
      </w:r>
    </w:p>
    <w:p>
      <w:pPr>
        <w:pStyle w:val="TextBody"/>
        <w:bidi w:val="0"/>
        <w:jc w:val="both"/>
        <w:rPr/>
      </w:pPr>
      <w:r>
        <w:rPr>
          <w:rFonts w:ascii="Times New Roman" w:hAnsi="Times New Roman"/>
          <w:b/>
          <w:i/>
          <w:color w:val="000000"/>
          <w:sz w:val="20"/>
        </w:rPr>
        <w:t>Performance Goals</w:t>
      </w:r>
      <w:r>
        <w:rPr>
          <w:rFonts w:ascii="Times New Roman" w:hAnsi="Times New Roman"/>
          <w:b/>
          <w:color w:val="000000"/>
          <w:sz w:val="20"/>
        </w:rPr>
        <w:t xml:space="preserve">. </w:t>
      </w:r>
      <w:r>
        <w:rPr>
          <w:rFonts w:ascii="Times New Roman" w:hAnsi="Times New Roman"/>
          <w:color w:val="000000"/>
          <w:sz w:val="20"/>
        </w:rPr>
        <w:t>The specific performance goals for performance-based awards may be, on an absolute or relative basis, established based on one or more of the following business criteria (“</w:t>
      </w:r>
      <w:r>
        <w:rPr>
          <w:rFonts w:ascii="Times New Roman" w:hAnsi="Times New Roman"/>
          <w:b/>
          <w:color w:val="000000"/>
          <w:sz w:val="20"/>
        </w:rPr>
        <w:t>Business Criteria</w:t>
      </w:r>
      <w:r>
        <w:rPr>
          <w:color w:val="000000"/>
        </w:rPr>
        <w:t>”</w:t>
      </w:r>
      <w:r>
        <w:rPr>
          <w:rFonts w:ascii="Times New Roman" w:hAnsi="Times New Roman"/>
          <w:color w:val="000000"/>
          <w:sz w:val="20"/>
        </w:rPr>
        <w:t>) as selected by the Administrator in its sole discretion: earnings per share; cash flow (which means cash and cash equivalents derived from either net cash flow from operations or net cash flow from operations, financing and investing activities); working capital; stock price; total stockholder return; revenue; gross profit; operating income; net earnings (before or after interest, taxes, depreciation and/or amortization); gross margin; operating margin; net margin; return on equity or on assets or on net investment; cost containment or reduction; regulatory submissions or approvals; manufacturing production; completion of strategic partnerships; research milestones; any other measure selected by the Administrator or any combination thereof. As applicable, these terms are used as applied under generally accepted accounting principles or in the financial reporting of the Corporation or of its Subsidiaries. The applicable performance goals may be applied on a pre- or post-tax basis and may be adjusted to include or exclude determinable components of any performance goal,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Corporation or its financial statements or changes in law or accounting principles (</w:t>
      </w:r>
      <w:r>
        <w:rPr>
          <w:color w:val="000000"/>
        </w:rPr>
        <w:t>“</w:t>
      </w:r>
      <w:r>
        <w:rPr>
          <w:rFonts w:ascii="Times New Roman" w:hAnsi="Times New Roman"/>
          <w:i/>
          <w:color w:val="000000"/>
          <w:sz w:val="20"/>
        </w:rPr>
        <w:t>Adjustment Events”</w:t>
      </w:r>
      <w:r>
        <w:rPr>
          <w:rFonts w:ascii="Times New Roman" w:hAnsi="Times New Roman"/>
          <w:color w:val="000000"/>
          <w:sz w:val="20"/>
        </w:rPr>
        <w:t xml:space="preserve">). The applicable performance measurement period may not be less than three months nor more than 10 years.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5.2.2.</w:t>
      </w:r>
    </w:p>
    <w:p>
      <w:pPr>
        <w:pStyle w:val="TextBody"/>
        <w:bidi w:val="0"/>
        <w:spacing w:before="0" w:after="0"/>
        <w:jc w:val="both"/>
        <w:rPr/>
      </w:pPr>
      <w:r>
        <w:rPr>
          <w:rFonts w:ascii="Times New Roman" w:hAnsi="Times New Roman"/>
          <w:b/>
          <w:i/>
          <w:color w:val="000000"/>
          <w:sz w:val="20"/>
        </w:rPr>
        <w:t>Form of Payment; Maximum Performance-Based Award</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Grants or awards under this Section 5.2 may be paid in cash or shares of Common Stock or any combination thereof. The maximum number of shares of Common Stock which may be subject to performance-based awards (including performance-based awards payable in shares of Common Stock and performance-based awards payable in cash where the amount of cash payable upon or following vesting of the award is determined with reference to the fair market value of a share of Common Stock at such time) that are granted to any one participant in any one calendar year shall not exceed 200,000 shares, either individually or in the aggregate, subject to adjustment as provided in Section 7.1; provided that this limit shall not apply to Options and SARs (which are covered by the limit of Section 4.2(b)). The aggregate amount of compensation to be paid to any one participant in respect of all performance-based awards payable only in cash (excluding cash awards covered by the preceding sentence where the cash payment is determined with reference to the fair market value of a share of Common Stock upon or following the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vesting of the award) and granted to that participant in any one calendar year shall not exceed $5,000,000.</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5.2.3.</w:t>
      </w:r>
    </w:p>
    <w:p>
      <w:pPr>
        <w:pStyle w:val="TextBody"/>
        <w:bidi w:val="0"/>
        <w:jc w:val="both"/>
        <w:rPr/>
      </w:pPr>
      <w:r>
        <w:rPr>
          <w:rFonts w:ascii="Times New Roman" w:hAnsi="Times New Roman"/>
          <w:b/>
          <w:i/>
          <w:color w:val="000000"/>
          <w:sz w:val="20"/>
        </w:rPr>
        <w:t>Certification of Payment</w:t>
      </w:r>
      <w:r>
        <w:rPr>
          <w:rFonts w:ascii="Times New Roman" w:hAnsi="Times New Roman"/>
          <w:b/>
          <w:color w:val="000000"/>
          <w:sz w:val="20"/>
        </w:rPr>
        <w:t xml:space="preserve">. </w:t>
      </w:r>
      <w:r>
        <w:rPr>
          <w:rFonts w:ascii="Times New Roman" w:hAnsi="Times New Roman"/>
          <w:color w:val="000000"/>
          <w:sz w:val="20"/>
        </w:rPr>
        <w:t xml:space="preserve">Before any performance-based award is paid under this Section 5.2, the Administrator must certify in writing that the performance target(s) and any other material terms of the Performance-Based Award were in fact timely satisfied.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5.2.4.</w:t>
      </w:r>
    </w:p>
    <w:p>
      <w:pPr>
        <w:pStyle w:val="TextBody"/>
        <w:bidi w:val="0"/>
        <w:jc w:val="both"/>
        <w:rPr/>
      </w:pPr>
      <w:r>
        <w:rPr>
          <w:rFonts w:ascii="Times New Roman" w:hAnsi="Times New Roman"/>
          <w:b/>
          <w:i/>
          <w:color w:val="000000"/>
          <w:sz w:val="20"/>
        </w:rPr>
        <w:t>Reservation of Discretion</w:t>
      </w:r>
      <w:r>
        <w:rPr>
          <w:rFonts w:ascii="Times New Roman" w:hAnsi="Times New Roman"/>
          <w:b/>
          <w:color w:val="000000"/>
          <w:sz w:val="20"/>
        </w:rPr>
        <w:t xml:space="preserve">. </w:t>
      </w:r>
      <w:r>
        <w:rPr>
          <w:rFonts w:ascii="Times New Roman" w:hAnsi="Times New Roman"/>
          <w:color w:val="000000"/>
          <w:sz w:val="20"/>
        </w:rPr>
        <w:t xml:space="preserve">The Administrator will have the discretion to determine the restrictions or other limitations of the individual awards granted under this Section 5.2 including the authority to reduce awards, payouts or vesting or to pay no awards, in its sole discretion, if the Administrator preserves such authority at the time of grant by language to this effect in its authorizing resolutions or otherwise.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5.3.</w:t>
      </w:r>
    </w:p>
    <w:p>
      <w:pPr>
        <w:pStyle w:val="TextBody"/>
        <w:bidi w:val="0"/>
        <w:jc w:val="both"/>
        <w:rPr/>
      </w:pPr>
      <w:r>
        <w:rPr>
          <w:rFonts w:ascii="Times New Roman" w:hAnsi="Times New Roman"/>
          <w:b/>
          <w:i/>
          <w:color w:val="000000"/>
          <w:sz w:val="20"/>
        </w:rPr>
        <w:t>Award Agreements</w:t>
      </w:r>
      <w:r>
        <w:rPr>
          <w:rFonts w:ascii="Times New Roman" w:hAnsi="Times New Roman"/>
          <w:b/>
          <w:color w:val="000000"/>
          <w:sz w:val="20"/>
        </w:rPr>
        <w:t>.</w:t>
      </w:r>
      <w:r>
        <w:rPr>
          <w:color w:val="000000"/>
        </w:rPr>
        <w:t xml:space="preserve"> </w:t>
      </w:r>
      <w:r>
        <w:rPr>
          <w:rFonts w:ascii="Times New Roman" w:hAnsi="Times New Roman"/>
          <w:color w:val="000000"/>
          <w:sz w:val="20"/>
        </w:rPr>
        <w:t>Each award shall be evidenced by either (1) a written award agreement in a form approved by the Administrator and executed by the Corporation by an officer duly authorized to act on its behalf, or (2) an electronic notice of award grant 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 Notwithstanding anything contained herein to the contrary, the Administrator may approve an award agreement that, upon the termination of a participant’s employment or service, provides that, or may, in its sole discretion based on a review of all relevant facts and circumstances, otherwise take action regarding an award agreement such that (i) any or all outstanding stock options and SARs shall become exercisable in part or in full, (ii) all or a portion of the restriction or vesting period applicable to any outstanding award shall lapse, (iii) all or a portion of the performance measurement period applicable to any outstanding award shall lapse and (iv) the performance goals applicable to any outstanding award (if any) shall be deemed to be satisfied at the target, maximum or any other interim level.</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5.4.</w:t>
      </w:r>
    </w:p>
    <w:p>
      <w:pPr>
        <w:pStyle w:val="TextBody"/>
        <w:bidi w:val="0"/>
        <w:jc w:val="both"/>
        <w:rPr/>
      </w:pPr>
      <w:r>
        <w:rPr>
          <w:rFonts w:ascii="Times New Roman" w:hAnsi="Times New Roman"/>
          <w:b/>
          <w:i/>
          <w:color w:val="000000"/>
          <w:sz w:val="20"/>
        </w:rPr>
        <w:t>Deferrals and Settlements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Payment of awards may be in the form of cash, Common Stock, other awards or combinations thereof as the Administrator shall determine, and with such restrictions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5.5.</w:t>
      </w:r>
    </w:p>
    <w:p>
      <w:pPr>
        <w:pStyle w:val="TextBody"/>
        <w:bidi w:val="0"/>
        <w:jc w:val="both"/>
        <w:rPr/>
      </w:pPr>
      <w:r>
        <w:rPr>
          <w:rFonts w:ascii="Times New Roman" w:hAnsi="Times New Roman"/>
          <w:b/>
          <w:i/>
          <w:color w:val="000000"/>
          <w:sz w:val="20"/>
        </w:rPr>
        <w:t>Consideration for Common Stock or Awards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purchase price for any award granted under this Plan or the Common Stock to be delivered pursuant to an award, as applicable, may be paid by means of any lawful consideration as determined by the Administrator, including, without limitation, one or a combination of the following methods: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services rendered by the recipient of such award;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check payable to the order of the Corporation, or electronic funds transfer;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notice and third party payment in such manner as may be authorized by the Administrator;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delivery of previously owned shares of Common Stock;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by a reduction in the number of shares otherwise deliverable pursuant to the award; or </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such procedures as the Administrator may adopt, pursuant to a “cashless exercise” with a third party who provides financing for the purposes of (or who otherwise facilitates) the purchase or exercise of awards. </w:t>
      </w:r>
    </w:p>
    <w:p>
      <w:pPr>
        <w:pStyle w:val="TextBody"/>
        <w:bidi w:val="0"/>
        <w:jc w:val="both"/>
        <w:rPr>
          <w:rFonts w:ascii="Times New Roman" w:hAnsi="Times New Roman"/>
          <w:color w:val="000000"/>
          <w:sz w:val="20"/>
        </w:rPr>
      </w:pPr>
      <w:r>
        <w:rPr>
          <w:rFonts w:ascii="Times New Roman" w:hAnsi="Times New Roman"/>
          <w:color w:val="000000"/>
          <w:sz w:val="20"/>
        </w:rPr>
        <w:t xml:space="preserve">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on the date of exercise. The Corporation will not be obligated to deliver any shares unless and until it receives full payment of the exercise or purchase price therefor and any related withholding obligations under Section 8.5 and any other conditions to exercise or purchase have been satisfied.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5.6.</w:t>
      </w:r>
    </w:p>
    <w:p>
      <w:pPr>
        <w:pStyle w:val="TextBody"/>
        <w:bidi w:val="0"/>
        <w:jc w:val="both"/>
        <w:rPr/>
      </w:pPr>
      <w:r>
        <w:rPr>
          <w:rFonts w:ascii="Times New Roman" w:hAnsi="Times New Roman"/>
          <w:b/>
          <w:i/>
          <w:color w:val="000000"/>
          <w:sz w:val="20"/>
        </w:rPr>
        <w:t>Definition of Fair Market Value.</w:t>
      </w:r>
      <w:r>
        <w:rPr>
          <w:color w:val="000000"/>
        </w:rPr>
        <w:t xml:space="preserve"> </w:t>
      </w:r>
      <w:r>
        <w:rPr>
          <w:rFonts w:ascii="Times New Roman" w:hAnsi="Times New Roman"/>
          <w:color w:val="000000"/>
          <w:sz w:val="20"/>
        </w:rPr>
        <w:t>For purposes of this Plan, “fair market value” shall mean the closing price (in regular trading) for a share of Common Stock on the NASDAQ Stock Market (the “</w:t>
      </w:r>
      <w:r>
        <w:rPr>
          <w:rFonts w:ascii="Times New Roman" w:hAnsi="Times New Roman"/>
          <w:b/>
          <w:color w:val="000000"/>
          <w:sz w:val="20"/>
        </w:rPr>
        <w:t>Market</w:t>
      </w:r>
      <w:r>
        <w:rPr>
          <w:color w:val="000000"/>
        </w:rPr>
        <w:t>”</w:t>
      </w:r>
      <w:r>
        <w:rPr>
          <w:rFonts w:ascii="Times New Roman" w:hAnsi="Times New Roman"/>
          <w:color w:val="000000"/>
          <w:sz w:val="20"/>
        </w:rPr>
        <w:t xml:space="preserve">) for the date in question or, if no sales of Common Stock were reported on the Market on that date, the closing price (in regular trading) for a share of Common Stock on the Market for the next preceding day on which sales of Common Stock were reported on the Market. The Administrator may, however, provide with respect to one or </w:t>
      </w:r>
      <w:r>
        <w:rPr>
          <w:rFonts w:ascii="Times New Roman" w:hAnsi="Times New Roman"/>
          <w:b/>
          <w:i/>
          <w:color w:val="000000"/>
          <w:sz w:val="20"/>
        </w:rPr>
        <w:t>more</w:t>
      </w:r>
      <w:r>
        <w:rPr>
          <w:color w:val="000000"/>
        </w:rPr>
        <w:t xml:space="preserve"> </w:t>
      </w:r>
      <w:r>
        <w:rPr>
          <w:rFonts w:ascii="Times New Roman" w:hAnsi="Times New Roman"/>
          <w:color w:val="000000"/>
          <w:sz w:val="20"/>
        </w:rPr>
        <w:t>awards that the fair market value shall equal the closing price (in regular trading) for a share of Common Stock on the Market on the last trading day preceding the date in question or the average of the high and low trading prices of a share of Common Stock on the Market for the date in question or the most recent trading day. If the Common Stock is no longer listed or is no longer actively traded on the Market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5.7.</w:t>
      </w:r>
    </w:p>
    <w:p>
      <w:pPr>
        <w:pStyle w:val="TextBody"/>
        <w:bidi w:val="0"/>
        <w:jc w:val="both"/>
        <w:rPr/>
      </w:pPr>
      <w:r>
        <w:rPr>
          <w:rFonts w:ascii="Times New Roman" w:hAnsi="Times New Roman"/>
          <w:b/>
          <w:color w:val="000000"/>
          <w:sz w:val="20"/>
        </w:rPr>
        <w:t>Transfer Restrictions.</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5.7.1.</w:t>
      </w:r>
    </w:p>
    <w:p>
      <w:pPr>
        <w:pStyle w:val="TextBody"/>
        <w:bidi w:val="0"/>
        <w:jc w:val="both"/>
        <w:rPr/>
      </w:pPr>
      <w:r>
        <w:rPr>
          <w:rFonts w:ascii="Times New Roman" w:hAnsi="Times New Roman"/>
          <w:b/>
          <w:i/>
          <w:color w:val="000000"/>
          <w:sz w:val="20"/>
        </w:rPr>
        <w:t>Limitations on Exercise and Transfer.</w:t>
      </w:r>
      <w:r>
        <w:rPr>
          <w:color w:val="000000"/>
        </w:rPr>
        <w:t xml:space="preserve"> </w:t>
      </w:r>
      <w:r>
        <w:rPr>
          <w:rFonts w:ascii="Times New Roman" w:hAnsi="Times New Roman"/>
          <w:color w:val="000000"/>
          <w:sz w:val="20"/>
        </w:rPr>
        <w:t xml:space="preserve">Unless otherwise expressly provided in (or pursuant to) this Section 5.7 or required by 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5.7.2.</w:t>
      </w:r>
    </w:p>
    <w:p>
      <w:pPr>
        <w:pStyle w:val="TextBody"/>
        <w:bidi w:val="0"/>
        <w:jc w:val="both"/>
        <w:rPr/>
      </w:pPr>
      <w:r>
        <w:rPr>
          <w:rFonts w:ascii="Times New Roman" w:hAnsi="Times New Roman"/>
          <w:b/>
          <w:i/>
          <w:color w:val="000000"/>
          <w:sz w:val="20"/>
        </w:rPr>
        <w:t>Exceptions.</w:t>
      </w:r>
      <w:r>
        <w:rPr>
          <w:color w:val="000000"/>
        </w:rPr>
        <w:t xml:space="preserve"> </w:t>
      </w:r>
      <w:r>
        <w:rPr>
          <w:rFonts w:ascii="Times New Roman" w:hAnsi="Times New Roman"/>
          <w:color w:val="000000"/>
          <w:sz w:val="20"/>
        </w:rPr>
        <w:t xml:space="preserve">The Administrator may permit awards to be exercised by and paid to, or otherwise transferred to, other persons or 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5.7.3.</w:t>
      </w:r>
    </w:p>
    <w:p>
      <w:pPr>
        <w:pStyle w:val="TextBody"/>
        <w:bidi w:val="0"/>
        <w:jc w:val="both"/>
        <w:rPr/>
      </w:pPr>
      <w:r>
        <w:rPr>
          <w:rFonts w:ascii="Times New Roman" w:hAnsi="Times New Roman"/>
          <w:b/>
          <w:i/>
          <w:color w:val="000000"/>
          <w:sz w:val="20"/>
        </w:rPr>
        <w:t>Further Exceptions to Limits on Transfer.</w:t>
      </w:r>
      <w:r>
        <w:rPr>
          <w:color w:val="000000"/>
        </w:rPr>
        <w:t xml:space="preserve"> </w:t>
      </w:r>
      <w:r>
        <w:rPr>
          <w:rFonts w:ascii="Times New Roman" w:hAnsi="Times New Roman"/>
          <w:color w:val="000000"/>
          <w:sz w:val="20"/>
        </w:rPr>
        <w:t xml:space="preserve">The exercise and transfer restrictions in Section 5.7.1 shall not apply 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transfers to the Corporation (for example, in connection with the expiration or termination of the award);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subject to any applicable limitations on ISOs, transfers to a family member (or former family member) pursuant to a domestic relations order if approved or ratified by the Administrator;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if the participant has suffered a disability, permitted transfers or exercises on behalf of the participant by his or her legal representative;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 xml:space="preserve">the authorization by the Administrator of “cashless exercise” procedures with third parties who provide financing for the purpose of (or who otherwise facilitate) the exercise of awards consistent with applicable laws and the express authorization of the Administrator.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5.8.</w:t>
      </w:r>
    </w:p>
    <w:p>
      <w:pPr>
        <w:pStyle w:val="TextBody"/>
        <w:bidi w:val="0"/>
        <w:jc w:val="both"/>
        <w:rPr/>
      </w:pPr>
      <w:r>
        <w:rPr>
          <w:rFonts w:ascii="Times New Roman" w:hAnsi="Times New Roman"/>
          <w:b/>
          <w:i/>
          <w:color w:val="000000"/>
          <w:sz w:val="20"/>
        </w:rPr>
        <w:t>International Awards.</w:t>
      </w:r>
      <w:r>
        <w:rPr>
          <w:color w:val="000000"/>
        </w:rPr>
        <w:t xml:space="preserve"> </w:t>
      </w:r>
      <w:r>
        <w:rPr>
          <w:rFonts w:ascii="Times New Roman" w:hAnsi="Times New Roman"/>
          <w:color w:val="000000"/>
          <w:sz w:val="20"/>
        </w:rPr>
        <w:t xml:space="preserve">One or more awards may be granted to Eligible Persons who provide services to the Corporation or one of its Subsidiaries outside of the United States. Any awards granted to such persons may be granted pursuant to the terms and conditions of any applicable sub-plans, if any, appended to this Plan and approved by the Administrator.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w:t>
      </w:r>
    </w:p>
    <w:p>
      <w:pPr>
        <w:pStyle w:val="TextBody"/>
        <w:bidi w:val="0"/>
        <w:jc w:val="both"/>
        <w:rPr>
          <w:rFonts w:ascii="Times New Roman" w:hAnsi="Times New Roman"/>
          <w:b/>
          <w:color w:val="000000"/>
          <w:sz w:val="20"/>
        </w:rPr>
      </w:pPr>
      <w:r>
        <w:rPr>
          <w:rFonts w:ascii="Times New Roman" w:hAnsi="Times New Roman"/>
          <w:b/>
          <w:color w:val="000000"/>
          <w:sz w:val="20"/>
        </w:rPr>
        <w:t xml:space="preserve">EFFECT OF TERMINATION OF EMPLOYMENT OR SERVICE ON AWARDS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6.1.</w:t>
      </w:r>
    </w:p>
    <w:p>
      <w:pPr>
        <w:pStyle w:val="TextBody"/>
        <w:bidi w:val="0"/>
        <w:jc w:val="both"/>
        <w:rPr/>
      </w:pPr>
      <w:r>
        <w:rPr>
          <w:rFonts w:ascii="Times New Roman" w:hAnsi="Times New Roman"/>
          <w:b/>
          <w:i/>
          <w:color w:val="000000"/>
          <w:sz w:val="20"/>
        </w:rPr>
        <w:t>General.</w:t>
      </w:r>
      <w:r>
        <w:rPr>
          <w:color w:val="000000"/>
        </w:rPr>
        <w:t xml:space="preserve"> </w:t>
      </w:r>
      <w:r>
        <w:rPr>
          <w:rFonts w:ascii="Times New Roman" w:hAnsi="Times New Roman"/>
          <w:color w:val="000000"/>
          <w:sz w:val="20"/>
        </w:rPr>
        <w:t xml:space="preserve">The Administrator shall establish the effect of a termination of employment or service on the rights and benefits under each award under this Plan and in so doing 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6.2.</w:t>
      </w:r>
    </w:p>
    <w:p>
      <w:pPr>
        <w:pStyle w:val="TextBody"/>
        <w:bidi w:val="0"/>
        <w:jc w:val="both"/>
        <w:rPr/>
      </w:pPr>
      <w:r>
        <w:rPr>
          <w:rFonts w:ascii="Times New Roman" w:hAnsi="Times New Roman"/>
          <w:b/>
          <w:i/>
          <w:color w:val="000000"/>
          <w:sz w:val="20"/>
        </w:rPr>
        <w:t>Events Not Deemed Terminations of Service.</w:t>
      </w:r>
      <w:r>
        <w:rPr>
          <w:color w:val="000000"/>
        </w:rPr>
        <w:t xml:space="preserve"> </w:t>
      </w:r>
      <w:r>
        <w:rPr>
          <w:rFonts w:ascii="Times New Roman" w:hAnsi="Times New Roman"/>
          <w:color w:val="000000"/>
          <w:sz w:val="20"/>
        </w:rPr>
        <w:t xml:space="preserve">Unless the express policy of the Corporation or one of its Subsidiaries, or the Administrator, otherwise provides,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(or such other period of time as required by applicable law).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(including Section 409A of the Code) otherwise requires. In no event shall an award be exercised after the expiration of the term set forth in the applicable award agreement.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6.3.</w:t>
      </w:r>
    </w:p>
    <w:p>
      <w:pPr>
        <w:pStyle w:val="TextBody"/>
        <w:bidi w:val="0"/>
        <w:jc w:val="both"/>
        <w:rPr/>
      </w:pPr>
      <w:r>
        <w:rPr>
          <w:rFonts w:ascii="Times New Roman" w:hAnsi="Times New Roman"/>
          <w:b/>
          <w:i/>
          <w:color w:val="000000"/>
          <w:sz w:val="20"/>
        </w:rPr>
        <w:t>Effect of Change of Subsidiary Status.</w:t>
      </w:r>
      <w:r>
        <w:rPr>
          <w:color w:val="000000"/>
        </w:rPr>
        <w:t xml:space="preserve"> </w:t>
      </w:r>
      <w:r>
        <w:rPr>
          <w:rFonts w:ascii="Times New Roman" w:hAnsi="Times New Roman"/>
          <w:color w:val="000000"/>
          <w:sz w:val="20"/>
        </w:rPr>
        <w:t xml:space="preserve">For purposes of this Plan and any award, if an entity ceases to be a Subsidiary of the Corporation 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 xml:space="preserve">ADJUSTMENTS; ACCELERATION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0" w:after="0"/>
        <w:jc w:val="both"/>
        <w:rPr/>
      </w:pPr>
      <w:r>
        <w:rPr>
          <w:rFonts w:ascii="Times New Roman" w:hAnsi="Times New Roman"/>
          <w:b/>
          <w:i/>
          <w:color w:val="000000"/>
          <w:sz w:val="20"/>
        </w:rPr>
        <w:t>Adjustments.</w:t>
      </w:r>
      <w:r>
        <w:rPr>
          <w:color w:val="000000"/>
        </w:rPr>
        <w:t xml:space="preserve"> </w:t>
      </w:r>
      <w:r>
        <w:rPr>
          <w:rFonts w:ascii="Times New Roman" w:hAnsi="Times New Roman"/>
          <w:color w:val="000000"/>
          <w:sz w:val="20"/>
        </w:rPr>
        <w:t xml:space="preserve">Subject to Section 7.2,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applicable to any then-outstanding performance-based awards to the extent necessary to preserve (but not increase) the level of incentives intended by this Plan and the then-outstanding performance-based awards.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is intended that, if possible, any adjustments contemplated by the preceding two paragraphs be made in a manner that satisfies applicable U.S. legal, tax (including, without limitation and as applicable in the circumstances, Section 424 of the Code and Section 409A of the Code) and accounting (so as to not trigger any charge to earnings with respect to such adjustment) requirements.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7.2.</w:t>
      </w:r>
    </w:p>
    <w:p>
      <w:pPr>
        <w:pStyle w:val="TextBody"/>
        <w:bidi w:val="0"/>
        <w:jc w:val="both"/>
        <w:rPr/>
      </w:pPr>
      <w:r>
        <w:rPr>
          <w:rFonts w:ascii="Times New Roman" w:hAnsi="Times New Roman"/>
          <w:b/>
          <w:i/>
          <w:color w:val="000000"/>
          <w:sz w:val="20"/>
        </w:rPr>
        <w:t>Change in Control—Assumption and Termination of Awards.</w:t>
      </w:r>
      <w:r>
        <w:rPr>
          <w:color w:val="000000"/>
        </w:rPr>
        <w:t xml:space="preserve"> </w:t>
      </w:r>
      <w:r>
        <w:rPr>
          <w:rFonts w:ascii="Times New Roman" w:hAnsi="Times New Roman"/>
          <w:color w:val="000000"/>
          <w:sz w:val="20"/>
        </w:rPr>
        <w:t xml:space="preserve">Upon the occurrence of a Change in Control,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Change in Control. Upon the occurrence of a Change in Control, then, unless the Administrator has made a provision for the substitution, assumption, exchange or other continuation or settlement of the award or (unless the Administrator has provided for the termination of the award)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and (2) each award shall terminate upon the Change in Control;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Change in Control).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Change in Control over the exercise or base price of the award.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applicable law, in the event of a Change in Control, the Administrator may take such action contemplated by this Section 7.2 prior to such Change in Control (as opposed to on the occurrence of such Change in Control) to the extent that the Administrator deems the action necessary to permit the participant to realize the benefits intended to be conveyed with respect to the underlying shares. Without limiting the generality of the foregoing, the Administrator may deem an acceleration to occur immediately prior to the Change in Control and, in such circumstances, will reinstate the original terms of the award if an event giving rise to an acceleration does not occur.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Without limiting the generality of Section 3.3, any good faith determination by the Administrator pursuant to its authority under this Section 7.2 shall be conclusive and binding on all persons.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7.3.</w:t>
      </w:r>
    </w:p>
    <w:p>
      <w:pPr>
        <w:pStyle w:val="TextBody"/>
        <w:bidi w:val="0"/>
        <w:jc w:val="both"/>
        <w:rPr/>
      </w:pPr>
      <w:r>
        <w:rPr>
          <w:rFonts w:ascii="Times New Roman" w:hAnsi="Times New Roman"/>
          <w:b/>
          <w:i/>
          <w:color w:val="000000"/>
          <w:sz w:val="20"/>
        </w:rPr>
        <w:t>Other Acceleration Rules.</w:t>
      </w:r>
      <w:r>
        <w:rPr>
          <w:color w:val="000000"/>
        </w:rPr>
        <w:t xml:space="preserve"> </w:t>
      </w:r>
      <w:r>
        <w:rPr>
          <w:rFonts w:ascii="Times New Roman" w:hAnsi="Times New Roman"/>
          <w:color w:val="000000"/>
          <w:sz w:val="20"/>
        </w:rPr>
        <w:t xml:space="preserve">The Administrator may override the provisions of Section 7.2 by express provision in the award agreement and may accord any Eligible Person a right, subject to Section 409A of the Code, to refuse any acceleration, whether pursuant to the award agreement or otherwise, in such circumstances as the Administrator may approve. The portion of any ISO accelerated in connection with an event referred to in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7.4.</w:t>
      </w:r>
    </w:p>
    <w:p>
      <w:pPr>
        <w:pStyle w:val="TextBody"/>
        <w:bidi w:val="0"/>
        <w:jc w:val="both"/>
        <w:rPr/>
      </w:pPr>
      <w:r>
        <w:rPr>
          <w:rFonts w:ascii="Times New Roman" w:hAnsi="Times New Roman"/>
          <w:b/>
          <w:i/>
          <w:color w:val="000000"/>
          <w:sz w:val="20"/>
        </w:rPr>
        <w:t>Definition of Change in Control.</w:t>
      </w:r>
      <w:r>
        <w:rPr>
          <w:color w:val="000000"/>
        </w:rPr>
        <w:t xml:space="preserve"> </w:t>
      </w:r>
      <w:r>
        <w:rPr>
          <w:rFonts w:ascii="Times New Roman" w:hAnsi="Times New Roman"/>
          <w:color w:val="000000"/>
          <w:sz w:val="20"/>
        </w:rPr>
        <w:t xml:space="preserve">With respect to a particular award granted under this Plan, a “Change in Control” shall be deemed to have occurred as of the first day, after the date of grant of the particular award, that any one or more of the following conditions shall have been satisfied: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The acquisition by any individual, entity or group (within the meaning of Section 13(d)(3) or 14(d)(2) of the Exchange Act (a “</w:t>
      </w:r>
      <w:r>
        <w:rPr>
          <w:rFonts w:ascii="Times New Roman" w:hAnsi="Times New Roman"/>
          <w:b/>
          <w:color w:val="000000"/>
          <w:sz w:val="20"/>
        </w:rPr>
        <w:t>Person</w:t>
      </w:r>
      <w:r>
        <w:rPr>
          <w:color w:val="000000"/>
        </w:rPr>
        <w:t>”</w:t>
      </w:r>
      <w:r>
        <w:rPr>
          <w:rFonts w:ascii="Times New Roman" w:hAnsi="Times New Roman"/>
          <w:color w:val="000000"/>
          <w:sz w:val="20"/>
        </w:rPr>
        <w:t>)) of beneficial ownership (within the meaning of Rule 13d-3 promulgated under the Exchange Act) of more than 30% of either (1) the then-outstanding shares of common stock of the Corporation (the “</w:t>
      </w:r>
      <w:r>
        <w:rPr>
          <w:rFonts w:ascii="Times New Roman" w:hAnsi="Times New Roman"/>
          <w:b/>
          <w:color w:val="000000"/>
          <w:sz w:val="20"/>
        </w:rPr>
        <w:t>Outstanding Company Common Stock</w:t>
      </w:r>
      <w:r>
        <w:rPr>
          <w:color w:val="000000"/>
        </w:rPr>
        <w:t>”</w:t>
      </w:r>
      <w:r>
        <w:rPr>
          <w:rFonts w:ascii="Times New Roman" w:hAnsi="Times New Roman"/>
          <w:color w:val="000000"/>
          <w:sz w:val="20"/>
        </w:rPr>
        <w:t>) or (2) the combined voting power of the then-outstanding voting securities of the Corporation entitled to vote generally in the election of directors (the “</w:t>
      </w:r>
      <w:r>
        <w:rPr>
          <w:rFonts w:ascii="Times New Roman" w:hAnsi="Times New Roman"/>
          <w:b/>
          <w:color w:val="000000"/>
          <w:sz w:val="20"/>
        </w:rPr>
        <w:t>Outstanding Company Voting Securities</w:t>
      </w:r>
      <w:r>
        <w:rPr>
          <w:color w:val="000000"/>
        </w:rPr>
        <w:t>”</w:t>
      </w:r>
      <w:r>
        <w:rPr>
          <w:rFonts w:ascii="Times New Roman" w:hAnsi="Times New Roman"/>
          <w:color w:val="000000"/>
          <w:sz w:val="20"/>
        </w:rPr>
        <w:t xml:space="preserve">); provided, however, that, for purposes of this clause (a), the following acquisitions shall not constitute a Change in Control Event; (A) any acquisition directly from the Corporation, (B) any acquisition by the Corporation, (C) any acquisition by any employee benefit plan (or related trust) sponsored or maintained by the Corporation or any affiliate of the Corporation or a successor, or (D) any acquisition by any entity pursuant to a transaction that complies with Sections (c)(1), (2) and (3) below;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Individuals who, as of the Effective Date, constitute the Board (the “</w:t>
      </w:r>
      <w:r>
        <w:rPr>
          <w:rFonts w:ascii="Times New Roman" w:hAnsi="Times New Roman"/>
          <w:b/>
          <w:color w:val="000000"/>
          <w:sz w:val="20"/>
        </w:rPr>
        <w:t>Incumbent Board</w:t>
      </w:r>
      <w:r>
        <w:rPr>
          <w:color w:val="000000"/>
        </w:rPr>
        <w:t>”</w:t>
      </w:r>
      <w:r>
        <w:rPr>
          <w:rFonts w:ascii="Times New Roman" w:hAnsi="Times New Roman"/>
          <w:color w:val="000000"/>
          <w:sz w:val="20"/>
        </w:rPr>
        <w:t xml:space="preserve">) cease for any reason to constitute at least a majority of the Board; provided, however, that any individual becoming a director subsequent to the Effective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pPr>
      <w:r>
        <w:rPr>
          <w:rFonts w:ascii="Times New Roman" w:hAnsi="Times New Roman"/>
          <w:color w:val="000000"/>
          <w:sz w:val="20"/>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Times New Roman" w:hAnsi="Times New Roman"/>
          <w:b/>
          <w:color w:val="000000"/>
          <w:sz w:val="20"/>
        </w:rPr>
        <w:t>Business Combination</w:t>
      </w:r>
      <w:r>
        <w:rPr>
          <w:color w:val="000000"/>
        </w:rPr>
        <w:t>”</w:t>
      </w:r>
      <w:r>
        <w:rPr>
          <w:rFonts w:ascii="Times New Roman" w:hAnsi="Times New Roman"/>
          <w:color w:val="000000"/>
          <w:sz w:val="20"/>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hAnsi="Times New Roman"/>
          <w:b/>
          <w:color w:val="000000"/>
          <w:sz w:val="20"/>
        </w:rPr>
        <w:t>Parent</w:t>
      </w:r>
      <w:r>
        <w:rPr>
          <w:color w:val="000000"/>
        </w:rPr>
        <w:t>”</w:t>
      </w:r>
      <w:r>
        <w:rPr>
          <w:rFonts w:ascii="Times New Roman" w:hAnsi="Times New Roman"/>
          <w:color w:val="000000"/>
          <w:sz w:val="20"/>
        </w:rPr>
        <w:t xml:space="preserve">)) in substantially the same proportions as their ownership immediately prior to such Business Combination of the Outstanding Company Common Stock and the Outstanding Company Voting Securities, as the case may be, (2) no Person (excluding any entity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 xml:space="preserve">Approval by the stockholders of the Corporation of a complete liquidation or dissolution of the Corporation other than in the context of a transaction that does not constitute a Change in Control under clause (c) above.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rFonts w:ascii="Times New Roman" w:hAnsi="Times New Roman"/>
          <w:b/>
          <w:color w:val="000000"/>
          <w:sz w:val="20"/>
        </w:rPr>
      </w:pPr>
      <w:r>
        <w:rPr>
          <w:rFonts w:ascii="Times New Roman" w:hAnsi="Times New Roman"/>
          <w:b/>
          <w:color w:val="000000"/>
          <w:sz w:val="20"/>
        </w:rPr>
        <w:t>OTHER PROVISIONS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w:t>
      </w:r>
    </w:p>
    <w:p>
      <w:pPr>
        <w:pStyle w:val="TextBody"/>
        <w:bidi w:val="0"/>
        <w:jc w:val="both"/>
        <w:rPr/>
      </w:pPr>
      <w:r>
        <w:rPr>
          <w:rFonts w:ascii="Times New Roman" w:hAnsi="Times New Roman"/>
          <w:b/>
          <w:i/>
          <w:color w:val="000000"/>
          <w:sz w:val="20"/>
        </w:rPr>
        <w:t>Compliance with Laws.</w:t>
      </w:r>
      <w:r>
        <w:rPr>
          <w:color w:val="000000"/>
        </w:rPr>
        <w:t xml:space="preserve"> </w:t>
      </w:r>
      <w:r>
        <w:rPr>
          <w:rFonts w:ascii="Times New Roman" w:hAnsi="Times New Roman"/>
          <w:color w:val="000000"/>
          <w:sz w:val="20"/>
        </w:rPr>
        <w:t xml:space="preserve">This Plan, the granting and vesting of awards under this Plan, the offer, issuance and delivery of shares of Common Stock, and/or the payment of money under this Plan or under awards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8.2.</w:t>
      </w:r>
    </w:p>
    <w:p>
      <w:pPr>
        <w:pStyle w:val="TextBody"/>
        <w:bidi w:val="0"/>
        <w:jc w:val="both"/>
        <w:rPr/>
      </w:pPr>
      <w:r>
        <w:rPr>
          <w:rFonts w:ascii="Times New Roman" w:hAnsi="Times New Roman"/>
          <w:b/>
          <w:i/>
          <w:color w:val="000000"/>
          <w:sz w:val="20"/>
        </w:rPr>
        <w:t>No Rights to Award.</w:t>
      </w:r>
      <w:r>
        <w:rPr>
          <w:color w:val="000000"/>
        </w:rPr>
        <w:t xml:space="preserve"> </w:t>
      </w:r>
      <w:r>
        <w:rPr>
          <w:rFonts w:ascii="Times New Roman" w:hAnsi="Times New Roman"/>
          <w:color w:val="000000"/>
          <w:sz w:val="20"/>
        </w:rPr>
        <w:t xml:space="preserve">No person shall have any claim or rights to be granted an award (or additional awards, as the case may be) under this Plan, subject to any express contractual rights (set forth in a document other than this Plan) to the contrary.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8.3.</w:t>
      </w:r>
    </w:p>
    <w:p>
      <w:pPr>
        <w:pStyle w:val="TextBody"/>
        <w:bidi w:val="0"/>
        <w:jc w:val="both"/>
        <w:rPr/>
      </w:pPr>
      <w:r>
        <w:rPr>
          <w:rFonts w:ascii="Times New Roman" w:hAnsi="Times New Roman"/>
          <w:b/>
          <w:i/>
          <w:color w:val="000000"/>
          <w:sz w:val="20"/>
        </w:rPr>
        <w:t>No Employment/Service Contract.</w:t>
      </w:r>
      <w:r>
        <w:rPr>
          <w:color w:val="000000"/>
        </w:rPr>
        <w:t xml:space="preserve"> </w:t>
      </w:r>
      <w:r>
        <w:rPr>
          <w:rFonts w:ascii="Times New Roman" w:hAnsi="Times New Roman"/>
          <w:color w:val="000000"/>
          <w:sz w:val="20"/>
        </w:rPr>
        <w:t xml:space="preserve">Nothing contained in this Plan (or in any other documents under this Plan or in any award) shall 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8.4.</w:t>
      </w:r>
    </w:p>
    <w:p>
      <w:pPr>
        <w:pStyle w:val="TextBody"/>
        <w:bidi w:val="0"/>
        <w:jc w:val="both"/>
        <w:rPr/>
      </w:pPr>
      <w:r>
        <w:rPr>
          <w:rFonts w:ascii="Times New Roman" w:hAnsi="Times New Roman"/>
          <w:b/>
          <w:i/>
          <w:color w:val="000000"/>
          <w:sz w:val="20"/>
        </w:rPr>
        <w:t>Plan Not Funded.</w:t>
      </w:r>
      <w:r>
        <w:rPr>
          <w:color w:val="000000"/>
        </w:rPr>
        <w:t xml:space="preserve"> </w:t>
      </w:r>
      <w:r>
        <w:rPr>
          <w:rFonts w:ascii="Times New Roman" w:hAnsi="Times New Roman"/>
          <w:color w:val="000000"/>
          <w:sz w:val="20"/>
        </w:rPr>
        <w:t xml:space="preserve">Awards payable under this Plan shall be payable in shares or from the general assets of the Corporation, and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8.5.</w:t>
      </w:r>
    </w:p>
    <w:p>
      <w:pPr>
        <w:pStyle w:val="TextBody"/>
        <w:bidi w:val="0"/>
        <w:spacing w:before="0" w:after="0"/>
        <w:jc w:val="both"/>
        <w:rPr/>
      </w:pPr>
      <w:r>
        <w:rPr>
          <w:rFonts w:ascii="Times New Roman" w:hAnsi="Times New Roman"/>
          <w:b/>
          <w:i/>
          <w:color w:val="000000"/>
          <w:sz w:val="20"/>
        </w:rPr>
        <w:t xml:space="preserve">Tax Withholding. </w:t>
      </w:r>
      <w:r>
        <w:rPr>
          <w:rFonts w:ascii="Times New Roman" w:hAnsi="Times New Roman"/>
          <w:color w:val="000000"/>
          <w:sz w:val="20"/>
        </w:rPr>
        <w:t xml:space="preserve">Upon any exercise, vesting, or payment of any award, or upon the disposition of shares of Common Stock acquired pursuant to the exercise of an ISO prior to satisfaction of the holding period requirements of Section 422 of the Code, or upon any other tax withholding event with respect to any award, the Corporation or one of its Subsidiaries shall have the right at its option to: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require the participant (or the participant’s personal representative or beneficiary, as the case may be) to pay or provide for payment of at least the minimum amount of any taxes which the Corporation or one of its Subsidiaries may be required to withhold with respect to such award event or payment; or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 xml:space="preserve">deduct from any amount otherwise payable in cash (whether related to the award or otherwise) to the participant (or the participant’s personal representative or beneficiary, as the case may be) the minimum amount of any taxes which the Corporation or one of its Subsidiaries may be required to withhold with respect to such award event or payment.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Shares of Common Stock to be delivered or withheld may not have an aggregate Fair Market Value in excess of the amount determined by applying the minimum statutory withholding rate (or, if permitted by the Corporation, such other rate as will not cause adverse accounting consequences under generally accepted accounting principles then in effect). Any fraction of a share of Common Stock which would be required to satisfy such an obligation shall be disregarded and the remaining amount due shall be paid in cash by the holder.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8.6.</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Effective Date, Termination and Suspension, Amendments.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8.6.1.</w:t>
      </w:r>
    </w:p>
    <w:p>
      <w:pPr>
        <w:pStyle w:val="TextBody"/>
        <w:bidi w:val="0"/>
        <w:jc w:val="both"/>
        <w:rPr/>
      </w:pPr>
      <w:r>
        <w:rPr>
          <w:rFonts w:ascii="Times New Roman" w:hAnsi="Times New Roman"/>
          <w:b/>
          <w:i/>
          <w:color w:val="000000"/>
          <w:sz w:val="20"/>
        </w:rPr>
        <w:t xml:space="preserve">Effective Date. </w:t>
      </w:r>
      <w:r>
        <w:rPr>
          <w:rFonts w:ascii="Times New Roman" w:hAnsi="Times New Roman"/>
          <w:color w:val="000000"/>
          <w:sz w:val="20"/>
        </w:rPr>
        <w:t>This Plan is effective as of March 28, 2017, the date of its approval by the Board</w:t>
      </w:r>
      <w:r>
        <w:rPr>
          <w:color w:val="000000"/>
        </w:rPr>
        <w:t xml:space="preserve"> </w:t>
      </w:r>
      <w:r>
        <w:rPr>
          <w:rFonts w:ascii="Times New Roman" w:hAnsi="Times New Roman"/>
          <w:color w:val="000000"/>
          <w:sz w:val="20"/>
        </w:rPr>
        <w:t>(the</w:t>
      </w:r>
      <w:r>
        <w:rPr>
          <w:color w:val="000000"/>
        </w:rPr>
        <w:t xml:space="preserve"> “</w:t>
      </w:r>
      <w:r>
        <w:rPr>
          <w:rFonts w:ascii="Times New Roman" w:hAnsi="Times New Roman"/>
          <w:b/>
          <w:color w:val="000000"/>
          <w:sz w:val="20"/>
        </w:rPr>
        <w:t>Effective Date</w:t>
      </w:r>
      <w:r>
        <w:rPr>
          <w:color w:val="000000"/>
        </w:rPr>
        <w:t>”</w:t>
      </w:r>
      <w:r>
        <w:rPr>
          <w:rFonts w:ascii="Times New Roman" w:hAnsi="Times New Roman"/>
          <w:color w:val="000000"/>
          <w:sz w:val="20"/>
        </w:rPr>
        <w:t>). This Plan shall be submitted for and subject to stockholder approval no later than twelve months after the Effective Date. Upon such stockholder approval, no further awards shall be granted under any Prior Plan. Unless earlier terminated by the Board, this Plan shall terminate at the close of business on the day before the tenth anniversary of the Effective Date.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8.6.2.</w:t>
      </w:r>
    </w:p>
    <w:p>
      <w:pPr>
        <w:pStyle w:val="TextBody"/>
        <w:bidi w:val="0"/>
        <w:jc w:val="both"/>
        <w:rPr/>
      </w:pPr>
      <w:r>
        <w:rPr>
          <w:rFonts w:ascii="Times New Roman" w:hAnsi="Times New Roman"/>
          <w:b/>
          <w:i/>
          <w:color w:val="000000"/>
          <w:sz w:val="20"/>
        </w:rPr>
        <w:t>Board Authorization.</w:t>
      </w:r>
      <w:r>
        <w:rPr>
          <w:color w:val="000000"/>
        </w:rPr>
        <w:t xml:space="preserve"> </w:t>
      </w:r>
      <w:r>
        <w:rPr>
          <w:rFonts w:ascii="Times New Roman" w:hAnsi="Times New Roman"/>
          <w:color w:val="000000"/>
          <w:sz w:val="20"/>
        </w:rPr>
        <w:t xml:space="preserve">The Board may, at any time, terminate or, from time to time, amend, modify or suspend this Plan, in whole or in part. No awards may be granted during any period that the Board suspends this Plan.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8.6.3.</w:t>
      </w:r>
    </w:p>
    <w:p>
      <w:pPr>
        <w:pStyle w:val="TextBody"/>
        <w:bidi w:val="0"/>
        <w:jc w:val="both"/>
        <w:rPr/>
      </w:pPr>
      <w:r>
        <w:rPr>
          <w:rFonts w:ascii="Times New Roman" w:hAnsi="Times New Roman"/>
          <w:b/>
          <w:i/>
          <w:color w:val="000000"/>
          <w:sz w:val="20"/>
        </w:rPr>
        <w:t>Stockholder Approval.</w:t>
      </w:r>
      <w:r>
        <w:rPr>
          <w:color w:val="000000"/>
        </w:rPr>
        <w:t xml:space="preserve"> </w:t>
      </w:r>
      <w:r>
        <w:rPr>
          <w:rFonts w:ascii="Times New Roman" w:hAnsi="Times New Roman"/>
          <w:color w:val="000000"/>
          <w:sz w:val="20"/>
        </w:rPr>
        <w:t xml:space="preserve">To the extent then required by applicable law or any applicable listing agency or required under Sections 422 or 424 of the Code to preserve the intended tax consequences of this Plan, or deemed necessary or advisable by the Board, any amendment to this Plan shall be subject to stockholder approval.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8.6.4.</w:t>
      </w:r>
    </w:p>
    <w:p>
      <w:pPr>
        <w:pStyle w:val="TextBody"/>
        <w:bidi w:val="0"/>
        <w:jc w:val="both"/>
        <w:rPr/>
      </w:pPr>
      <w:r>
        <w:rPr>
          <w:rFonts w:ascii="Times New Roman" w:hAnsi="Times New Roman"/>
          <w:b/>
          <w:i/>
          <w:color w:val="000000"/>
          <w:sz w:val="20"/>
        </w:rPr>
        <w:t>Amendments to Awards.</w:t>
      </w:r>
      <w:r>
        <w:rPr>
          <w:color w:val="000000"/>
        </w:rPr>
        <w:t xml:space="preserve"> </w:t>
      </w:r>
      <w:r>
        <w:rPr>
          <w:rFonts w:ascii="Times New Roman" w:hAnsi="Times New Roman"/>
          <w:color w:val="000000"/>
          <w:sz w:val="20"/>
        </w:rPr>
        <w:t xml:space="preserve">Without limiting any other express authority of the Administrator under (but subject to) the express limits 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 </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8.6.5.</w:t>
      </w:r>
    </w:p>
    <w:p>
      <w:pPr>
        <w:pStyle w:val="TextBody"/>
        <w:bidi w:val="0"/>
        <w:jc w:val="both"/>
        <w:rPr/>
      </w:pPr>
      <w:r>
        <w:rPr>
          <w:rFonts w:ascii="Times New Roman" w:hAnsi="Times New Roman"/>
          <w:b/>
          <w:i/>
          <w:color w:val="000000"/>
          <w:sz w:val="20"/>
        </w:rPr>
        <w:t>Limitations on Amendments to Plan and Awards.</w:t>
      </w:r>
      <w:r>
        <w:rPr>
          <w:color w:val="000000"/>
        </w:rPr>
        <w:t xml:space="preserve"> </w:t>
      </w:r>
      <w:r>
        <w:rPr>
          <w:rFonts w:ascii="Times New Roman" w:hAnsi="Times New Roman"/>
          <w:color w:val="000000"/>
          <w:sz w:val="20"/>
        </w:rPr>
        <w:t xml:space="preserve">No amendment, suspension or termination of this Plan or amendment of 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8.7.</w:t>
      </w:r>
    </w:p>
    <w:p>
      <w:pPr>
        <w:pStyle w:val="TextBody"/>
        <w:bidi w:val="0"/>
        <w:jc w:val="both"/>
        <w:rPr/>
      </w:pPr>
      <w:r>
        <w:rPr>
          <w:rFonts w:ascii="Times New Roman" w:hAnsi="Times New Roman"/>
          <w:b/>
          <w:i/>
          <w:color w:val="000000"/>
          <w:sz w:val="20"/>
        </w:rPr>
        <w:t>Privileges of Stock Ownership.</w:t>
      </w:r>
      <w:r>
        <w:rPr>
          <w:color w:val="000000"/>
        </w:rPr>
        <w:t xml:space="preserve"> </w:t>
      </w:r>
      <w:r>
        <w:rPr>
          <w:rFonts w:ascii="Times New Roman" w:hAnsi="Times New Roman"/>
          <w:color w:val="000000"/>
          <w:sz w:val="20"/>
        </w:rPr>
        <w:t>Except as otherwise expressly authorized by the Administrator, a participant shall not be entitled to any privilege of stock ownership as to any shares of Common Stock not actually delivered to and held of record by the participant (subject to the last sentence of Section 5.1.4). Except as expressly required by Section 7.1 or otherwise expressly provided by the Administrator, no adjustment will be made for dividends or other rights as a stockholder for which a record date is prior to such date of delivery.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8.8.</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Governing Law; Construction; Severability.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8.8.1.</w:t>
      </w:r>
    </w:p>
    <w:p>
      <w:pPr>
        <w:pStyle w:val="TextBody"/>
        <w:bidi w:val="0"/>
        <w:jc w:val="both"/>
        <w:rPr/>
      </w:pPr>
      <w:r>
        <w:rPr>
          <w:rFonts w:ascii="Times New Roman" w:hAnsi="Times New Roman"/>
          <w:b/>
          <w:i/>
          <w:color w:val="000000"/>
          <w:sz w:val="20"/>
        </w:rPr>
        <w:t>Choice of Law.</w:t>
      </w:r>
      <w:r>
        <w:rPr>
          <w:color w:val="000000"/>
        </w:rPr>
        <w:t xml:space="preserve"> </w:t>
      </w:r>
      <w:r>
        <w:rPr>
          <w:rFonts w:ascii="Times New Roman" w:hAnsi="Times New Roman"/>
          <w:color w:val="000000"/>
          <w:sz w:val="20"/>
        </w:rPr>
        <w:t xml:space="preserve">This Plan, the awards, all documents evidencing awards and all other related documents shall be governed by, and construed in accordance with the laws of the State of Delaware.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8.8.2.</w:t>
      </w:r>
    </w:p>
    <w:p>
      <w:pPr>
        <w:pStyle w:val="TextBody"/>
        <w:bidi w:val="0"/>
        <w:jc w:val="both"/>
        <w:rPr/>
      </w:pPr>
      <w:r>
        <w:rPr>
          <w:rFonts w:ascii="Times New Roman" w:hAnsi="Times New Roman"/>
          <w:b/>
          <w:i/>
          <w:color w:val="000000"/>
          <w:sz w:val="20"/>
        </w:rPr>
        <w:t>Severability.</w:t>
      </w:r>
      <w:r>
        <w:rPr>
          <w:color w:val="000000"/>
        </w:rPr>
        <w:t xml:space="preserve"> </w:t>
      </w:r>
      <w:r>
        <w:rPr>
          <w:rFonts w:ascii="Times New Roman" w:hAnsi="Times New Roman"/>
          <w:color w:val="000000"/>
          <w:sz w:val="20"/>
        </w:rPr>
        <w:t xml:space="preserve">If a court of competent jurisdiction holds any provision invalid and unenforceable, the remaining provisions of this Plan shall continue in effect.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8.8.3.</w:t>
      </w:r>
    </w:p>
    <w:p>
      <w:pPr>
        <w:pStyle w:val="TextBody"/>
        <w:bidi w:val="0"/>
        <w:jc w:val="both"/>
        <w:rPr/>
      </w:pPr>
      <w:r>
        <w:rPr>
          <w:rFonts w:ascii="Times New Roman" w:hAnsi="Times New Roman"/>
          <w:b/>
          <w:i/>
          <w:color w:val="000000"/>
          <w:sz w:val="20"/>
        </w:rPr>
        <w:t>Plan Construction.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u w:val="single"/>
        </w:rPr>
        <w:t>Rule 16b-3</w:t>
      </w:r>
      <w:r>
        <w:rPr>
          <w:rFonts w:ascii="Times New Roman" w:hAnsi="Times New Roman"/>
          <w:color w:val="000000"/>
          <w:sz w:val="20"/>
        </w:rPr>
        <w:t xml:space="preserve">. It is the intent of the Corporation that the awards and transactions permitted by awards be interpreted in a manner that, in the case of participants who are or may be subject to Section 16 of the Exchange Act, qualify, to the maximum extent compatible with the express terms of the award, for exemption from matching liability under Rule 16b-3 promulgated under the Exchange Act. Notwithstanding the foregoing, the Corporation shall have no liability to any participant for Section 16 consequences of awards or events under awards if an award or event does not so qualify.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u w:val="single"/>
        </w:rPr>
        <w:t>Section 409A</w:t>
      </w:r>
      <w:r>
        <w:rPr>
          <w:rFonts w:ascii="Times New Roman" w:hAnsi="Times New Roman"/>
          <w:color w:val="000000"/>
          <w:sz w:val="20"/>
        </w:rPr>
        <w:t xml:space="preserve">. It is intended that the provisions of the Plan comply with, or be exempt from, Section 409A of the Code, and all provisions of the Plan shall be construed and interpreted in a manner consistent with the requirements for avoiding taxes or penalties under Section 409A of the Code. If, at the time of a participant’s “separation from service” (within the meaning of Section 409A of the Code), (i) such participant shall be a specified employee (within the meaning of Section 409A of the Code and using the identification methodology selected by the Corporation from time to time) and (ii) the Corporation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Corporation shall not pay such amount on the otherwise scheduled payment date but shall instead pay it on the first business day after such six-month period. Such amount shall be paid without interest, unless otherwise determined by the Administrator, in its sole discretion, or as otherwise provided in any applicable award agreement between the Corporation and the relevant participant. Notwithstanding any provision of the Plan to the contrary, in light of the uncertainty with respect to the proper application of Section 409A of the Code, the Corporation reserves the right to make amendments to any award as the Corporation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Corporation nor any of its affiliates shall have any obligation to indemnify or otherwise hold such participant harmless from any or all of such taxes or penalties.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8.9.</w:t>
      </w:r>
    </w:p>
    <w:p>
      <w:pPr>
        <w:pStyle w:val="TextBody"/>
        <w:bidi w:val="0"/>
        <w:jc w:val="both"/>
        <w:rPr/>
      </w:pPr>
      <w:r>
        <w:rPr>
          <w:rFonts w:ascii="Times New Roman" w:hAnsi="Times New Roman"/>
          <w:b/>
          <w:i/>
          <w:color w:val="000000"/>
          <w:sz w:val="20"/>
        </w:rPr>
        <w:t>Captions.</w:t>
      </w:r>
      <w:r>
        <w:rPr>
          <w:color w:val="000000"/>
        </w:rPr>
        <w:t xml:space="preserve"> </w:t>
      </w:r>
      <w:r>
        <w:rPr>
          <w:rFonts w:ascii="Times New Roman" w:hAnsi="Times New Roman"/>
          <w:color w:val="000000"/>
          <w:sz w:val="20"/>
        </w:rPr>
        <w:t xml:space="preserve">Captions and headings are given to the sections and subsections of this Plan solely as a convenience to facilitate reference. Such </w:t>
      </w:r>
      <w:r>
        <w:rPr>
          <w:rFonts w:ascii="Times New Roman" w:hAnsi="Times New Roman"/>
          <w:b/>
          <w:i/>
          <w:color w:val="000000"/>
          <w:sz w:val="20"/>
        </w:rPr>
        <w:t>headings</w:t>
      </w:r>
      <w:r>
        <w:rPr>
          <w:color w:val="000000"/>
        </w:rPr>
        <w:t xml:space="preserve"> </w:t>
      </w:r>
      <w:r>
        <w:rPr>
          <w:rFonts w:ascii="Times New Roman" w:hAnsi="Times New Roman"/>
          <w:color w:val="000000"/>
          <w:sz w:val="20"/>
        </w:rPr>
        <w:t xml:space="preserve">shall not be deemed in any way material or relevant to the construction or interpretation of this Plan or any provision thereof.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8.10.</w:t>
      </w:r>
    </w:p>
    <w:p>
      <w:pPr>
        <w:pStyle w:val="TextBody"/>
        <w:bidi w:val="0"/>
        <w:jc w:val="both"/>
        <w:rPr/>
      </w:pPr>
      <w:r>
        <w:rPr>
          <w:rFonts w:ascii="Times New Roman" w:hAnsi="Times New Roman"/>
          <w:b/>
          <w:i/>
          <w:color w:val="000000"/>
          <w:sz w:val="20"/>
        </w:rPr>
        <w:t>Stock-Based Awards in Substitution for Stock Options or Awards Granted by Other Corporation.</w:t>
      </w:r>
      <w:r>
        <w:rPr>
          <w:color w:val="000000"/>
        </w:rPr>
        <w:t xml:space="preserve"> </w:t>
      </w:r>
      <w:r>
        <w:rPr>
          <w:rFonts w:ascii="Times New Roman" w:hAnsi="Times New Roman"/>
          <w:color w:val="000000"/>
          <w:sz w:val="20"/>
        </w:rPr>
        <w:t xml:space="preserve">Awards may be granted to Eligible 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only adjustments giving effect to the assumption or substitution consistent with the conversion applicable to the Common Stock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by an acquired company (or previously granted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8.11.</w:t>
      </w:r>
    </w:p>
    <w:p>
      <w:pPr>
        <w:pStyle w:val="TextBody"/>
        <w:bidi w:val="0"/>
        <w:jc w:val="both"/>
        <w:rPr/>
      </w:pPr>
      <w:r>
        <w:rPr>
          <w:rFonts w:ascii="Times New Roman" w:hAnsi="Times New Roman"/>
          <w:b/>
          <w:i/>
          <w:color w:val="000000"/>
          <w:sz w:val="20"/>
        </w:rPr>
        <w:t>Non-Exclusivity of Plan.</w:t>
      </w:r>
      <w:r>
        <w:rPr>
          <w:color w:val="000000"/>
        </w:rPr>
        <w:t xml:space="preserve"> </w:t>
      </w:r>
      <w:r>
        <w:rPr>
          <w:rFonts w:ascii="Times New Roman" w:hAnsi="Times New Roman"/>
          <w:color w:val="000000"/>
          <w:sz w:val="20"/>
        </w:rPr>
        <w:t xml:space="preserve">Nothing in this Plan shall limit or be deemed to limit the authority of the Board or the Administrator to grant awards or authorize any other compensation, with or without reference to the Common Stock, under any other plan or authority.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8.12.</w:t>
      </w:r>
    </w:p>
    <w:p>
      <w:pPr>
        <w:pStyle w:val="TextBody"/>
        <w:bidi w:val="0"/>
        <w:jc w:val="both"/>
        <w:rPr/>
      </w:pPr>
      <w:r>
        <w:rPr>
          <w:rFonts w:ascii="Times New Roman" w:hAnsi="Times New Roman"/>
          <w:b/>
          <w:i/>
          <w:color w:val="000000"/>
          <w:sz w:val="20"/>
        </w:rPr>
        <w:t>No Corporate Action Restriction.</w:t>
      </w:r>
      <w:r>
        <w:rPr>
          <w:color w:val="000000"/>
        </w:rPr>
        <w:t xml:space="preserve"> </w:t>
      </w:r>
      <w:r>
        <w:rPr>
          <w:rFonts w:ascii="Times New Roman" w:hAnsi="Times New Roman"/>
          <w:color w:val="000000"/>
          <w:sz w:val="20"/>
        </w:rPr>
        <w:t xml:space="preserve">The existence of this Plan, the award agreements and the awards granted hereunder shall not limit, affect or restrict in any way the right or power of the Board or the stockholders of the Corporation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or (f)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8.13.</w:t>
      </w:r>
    </w:p>
    <w:p>
      <w:pPr>
        <w:pStyle w:val="TextBody"/>
        <w:bidi w:val="0"/>
        <w:jc w:val="both"/>
        <w:rPr/>
      </w:pPr>
      <w:r>
        <w:rPr>
          <w:rFonts w:ascii="Times New Roman" w:hAnsi="Times New Roman"/>
          <w:b/>
          <w:i/>
          <w:color w:val="000000"/>
          <w:sz w:val="20"/>
        </w:rPr>
        <w:t>Other Company Benefit and Compensation Programs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Payments and other benefits received by a participant under an award made 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or arrangements of the Corporation or its Subsidiaries.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8.14.</w:t>
      </w:r>
    </w:p>
    <w:p>
      <w:pPr>
        <w:pStyle w:val="TextBody"/>
        <w:bidi w:val="0"/>
        <w:jc w:val="both"/>
        <w:rPr/>
      </w:pPr>
      <w:r>
        <w:rPr>
          <w:rFonts w:ascii="Times New Roman" w:hAnsi="Times New Roman"/>
          <w:b/>
          <w:i/>
          <w:color w:val="000000"/>
          <w:sz w:val="20"/>
        </w:rPr>
        <w:t>Clawback Policy</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awards granted under this Plan are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nktr-ex10_2.htm"/>
      <w:bookmarkStart w:id="32" w:name="ksnktrex10_2"/>
      <w:bookmarkEnd w:id="31"/>
      <w:bookmarkEnd w:id="32"/>
      <w:r>
        <w:rPr/>
        <w:drawing>
          <wp:inline distT="0" distB="0" distL="0" distR="0">
            <wp:extent cx="18954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895475" cy="457200"/>
                    </a:xfrm>
                    <a:prstGeom prst="rect">
                      <a:avLst/>
                    </a:prstGeom>
                  </pic:spPr>
                </pic:pic>
              </a:graphicData>
            </a:graphic>
          </wp:inline>
        </w:drawing>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first amendment (the “First Amendment”) to the Confidential Consulting Agreement dated April 7, 2023 (the “Agreement”) by and between the parties hereto, is executed as of the date shown on the signature page (the “Effective Date”), by and between FLG Partners, LLC, a California limited liability company (“FLG”), and Nektar Therapeutics, a Delaware corporation (“Client”). Capitalized terms used herein without definition shall have the meanings ascribed to them in the Agreement.</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hereto wish to amend the Agreement;</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Client wishes to retain FLG to provide and FLG wishes to provide such services to Client on the terms set forth herein; and</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FLG has been continuously retained by Client since April 7, 2023; and</w:t>
      </w:r>
    </w:p>
    <w:p>
      <w:pPr>
        <w:pStyle w:val="TextBody"/>
        <w:bidi w:val="0"/>
        <w:spacing w:before="0" w:after="1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hereto wish to extend the term of the Agreement;</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set forth herein, the parties hereto agree as follows:</w:t>
      </w:r>
    </w:p>
    <w:p>
      <w:pPr>
        <w:pStyle w:val="TextBody"/>
        <w:bidi w:val="0"/>
        <w:jc w:val="left"/>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120"/>
        <w:jc w:val="both"/>
        <w:rPr/>
      </w:pPr>
      <w:r>
        <w:rPr>
          <w:rFonts w:ascii="Times New Roman" w:hAnsi="Times New Roman"/>
          <w:color w:val="000000"/>
          <w:sz w:val="24"/>
          <w:u w:val="single"/>
        </w:rPr>
        <w:t>Term</w:t>
      </w:r>
      <w:r>
        <w:rPr>
          <w:rFonts w:ascii="Times New Roman" w:hAnsi="Times New Roman"/>
          <w:color w:val="000000"/>
          <w:sz w:val="24"/>
        </w:rPr>
        <w:t>. The term of the Agreement is hereby extended until terminated by either party upon 15 days’ written notice to the other.</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120"/>
        <w:jc w:val="both"/>
        <w:rPr/>
      </w:pPr>
      <w:r>
        <w:rPr>
          <w:rFonts w:ascii="Times New Roman" w:hAnsi="Times New Roman"/>
          <w:color w:val="000000"/>
          <w:sz w:val="24"/>
          <w:u w:val="single"/>
        </w:rPr>
        <w:t>FLG Member</w:t>
      </w:r>
      <w:r>
        <w:rPr>
          <w:rFonts w:ascii="Times New Roman" w:hAnsi="Times New Roman"/>
          <w:color w:val="000000"/>
          <w:sz w:val="24"/>
        </w:rPr>
        <w:t>. Linda Rubinstein.</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120"/>
        <w:jc w:val="both"/>
        <w:rPr/>
      </w:pPr>
      <w:r>
        <w:rPr>
          <w:rFonts w:ascii="Times New Roman" w:hAnsi="Times New Roman"/>
          <w:color w:val="000000"/>
          <w:sz w:val="24"/>
          <w:u w:val="single"/>
        </w:rPr>
        <w:t>Fees</w:t>
      </w:r>
      <w:r>
        <w:rPr>
          <w:rFonts w:ascii="Times New Roman" w:hAnsi="Times New Roman"/>
          <w:color w:val="000000"/>
          <w:sz w:val="24"/>
        </w:rPr>
        <w:t xml:space="preserve">: $650 per hour, up to 40 hours a week, subject to any changes as agreed by Client and FLG Member.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120"/>
        <w:jc w:val="both"/>
        <w:rPr/>
      </w:pPr>
      <w:r>
        <w:rPr>
          <w:rFonts w:ascii="Times New Roman" w:hAnsi="Times New Roman"/>
          <w:color w:val="000000"/>
          <w:sz w:val="24"/>
          <w:u w:val="single"/>
        </w:rPr>
        <w:t>Miscellaneous</w:t>
      </w:r>
      <w:r>
        <w:rPr>
          <w:rFonts w:ascii="Times New Roman" w:hAnsi="Times New Roman"/>
          <w:color w:val="000000"/>
          <w:sz w:val="24"/>
        </w:rPr>
        <w:t>. All other terms and conditions of the Agreement remain unchanged. This First Amendment shall be incorporated in the Agreement as Exhibit B.</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REMAINDER OF THIS PAGE LEFT BLANK</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95475"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895475" cy="4572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executed this Amendment as of the Effective Date.</w:t>
      </w:r>
    </w:p>
    <w:p>
      <w:pPr>
        <w:pStyle w:val="TextBody"/>
        <w:bidi w:val="0"/>
        <w:jc w:val="left"/>
        <w:rPr/>
      </w:pPr>
      <w:r>
        <w:rPr/>
        <w:t> </w:t>
      </w:r>
    </w:p>
    <w:tbl>
      <w:tblPr>
        <w:tblW w:w="7682" w:type="dxa"/>
        <w:jc w:val="left"/>
        <w:tblInd w:w="0" w:type="dxa"/>
        <w:tblLayout w:type="fixed"/>
        <w:tblCellMar>
          <w:top w:w="28" w:type="dxa"/>
          <w:left w:w="28" w:type="dxa"/>
          <w:bottom w:w="28" w:type="dxa"/>
          <w:right w:w="28" w:type="dxa"/>
        </w:tblCellMar>
      </w:tblPr>
      <w:tblGrid>
        <w:gridCol w:w="3961"/>
        <w:gridCol w:w="3721"/>
      </w:tblGrid>
      <w:tr>
        <w:trPr/>
        <w:tc>
          <w:tcPr>
            <w:tcW w:w="396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CLIENT:</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Nektar Therapeutics</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 Delaware corporation.</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By: Robert Bacci</w:t>
            </w:r>
          </w:p>
          <w:p>
            <w:pPr>
              <w:pStyle w:val="TableContents"/>
              <w:bidi w:val="0"/>
              <w:spacing w:before="120" w:after="120"/>
              <w:jc w:val="left"/>
              <w:rPr>
                <w:rFonts w:ascii="Times New Roman" w:hAnsi="Times New Roman"/>
                <w:sz w:val="24"/>
              </w:rPr>
            </w:pPr>
            <w:r>
              <w:rPr>
                <w:rFonts w:ascii="Times New Roman" w:hAnsi="Times New Roman"/>
                <w:color w:val="000000"/>
                <w:sz w:val="24"/>
              </w:rPr>
              <w:t xml:space="preserve">Signed: </w:t>
            </w:r>
            <w:r>
              <w:rPr>
                <w:rFonts w:ascii="Times New Roman" w:hAnsi="Times New Roman"/>
                <w:color w:val="000000"/>
                <w:sz w:val="24"/>
                <w:u w:val="single"/>
              </w:rPr>
              <w:t>/s/ Robert Bacci</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Chief People Officer</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Address:</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455 Mission Bay Blvd South, Suite 100,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San Francisco, California 94158</w:t>
            </w:r>
          </w:p>
          <w:p>
            <w:pPr>
              <w:pStyle w:val="TableContents"/>
              <w:bidi w:val="0"/>
              <w:spacing w:before="0" w:after="120"/>
              <w:jc w:val="left"/>
              <w:rPr>
                <w:rFonts w:ascii="Times New Roman" w:hAnsi="Times New Roman"/>
                <w:sz w:val="24"/>
              </w:rPr>
            </w:pPr>
            <w:r>
              <w:rPr>
                <w:rFonts w:ascii="Times New Roman" w:hAnsi="Times New Roman"/>
                <w:color w:val="000000"/>
                <w:sz w:val="24"/>
              </w:rPr>
              <w:t xml:space="preserve">Email: </w:t>
            </w:r>
            <w:r>
              <w:rPr>
                <w:rFonts w:ascii="Times New Roman" w:hAnsi="Times New Roman"/>
                <w:sz w:val="24"/>
              </w:rPr>
              <w:t>RBacci@nektar.com</w:t>
            </w:r>
          </w:p>
          <w:p>
            <w:pPr>
              <w:pStyle w:val="TableContents"/>
              <w:bidi w:val="0"/>
              <w:spacing w:before="0" w:after="120"/>
              <w:jc w:val="left"/>
              <w:rPr/>
            </w:pPr>
            <w:r>
              <w:rPr/>
              <w:t> </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CLIENT:</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Nektar Therapeutics</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 Delaware corporation.</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By: Jennifer Ruddock</w:t>
            </w:r>
          </w:p>
          <w:p>
            <w:pPr>
              <w:pStyle w:val="TableContents"/>
              <w:bidi w:val="0"/>
              <w:spacing w:before="120" w:after="120"/>
              <w:jc w:val="left"/>
              <w:rPr>
                <w:rFonts w:ascii="Times New Roman" w:hAnsi="Times New Roman"/>
                <w:sz w:val="24"/>
              </w:rPr>
            </w:pPr>
            <w:r>
              <w:rPr>
                <w:rFonts w:ascii="Times New Roman" w:hAnsi="Times New Roman"/>
                <w:color w:val="000000"/>
                <w:sz w:val="24"/>
              </w:rPr>
              <w:t xml:space="preserve">Signed: </w:t>
            </w:r>
            <w:r>
              <w:rPr>
                <w:rFonts w:ascii="Times New Roman" w:hAnsi="Times New Roman"/>
                <w:color w:val="000000"/>
                <w:sz w:val="24"/>
                <w:u w:val="single"/>
              </w:rPr>
              <w:t>/s/ Jennifer Ruddock</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SVP &amp; CBO</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Address:</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455 Mission Bay Blvd South, Suite 100,</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San Francisco, California 94158</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Email: jruddock@nektar.com</w:t>
            </w:r>
          </w:p>
        </w:tc>
        <w:tc>
          <w:tcPr>
            <w:tcW w:w="37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FLG:</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 xml:space="preserve">FLG Partners, LLC, </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 California limited liability company.</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By: U. Heather Ogan</w:t>
            </w:r>
          </w:p>
          <w:p>
            <w:pPr>
              <w:pStyle w:val="TableContents"/>
              <w:bidi w:val="0"/>
              <w:spacing w:before="120" w:after="120"/>
              <w:jc w:val="left"/>
              <w:rPr>
                <w:rFonts w:ascii="Times New Roman" w:hAnsi="Times New Roman"/>
                <w:sz w:val="24"/>
              </w:rPr>
            </w:pPr>
            <w:r>
              <w:rPr>
                <w:rFonts w:ascii="Times New Roman" w:hAnsi="Times New Roman"/>
                <w:color w:val="000000"/>
                <w:sz w:val="24"/>
              </w:rPr>
              <w:t xml:space="preserve">Signed: </w:t>
            </w:r>
            <w:r>
              <w:rPr>
                <w:rFonts w:ascii="Times New Roman" w:hAnsi="Times New Roman"/>
                <w:color w:val="000000"/>
                <w:sz w:val="24"/>
                <w:u w:val="single"/>
              </w:rPr>
              <w:t>/s/ U. Heather Ogan</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Title: Administrative Partner</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Effective Date: May 7, 2026.</w:t>
            </w:r>
          </w:p>
        </w:tc>
      </w:tr>
      <w:tr>
        <w:trPr/>
        <w:tc>
          <w:tcPr>
            <w:tcW w:w="3961" w:type="dxa"/>
            <w:tcBorders/>
            <w:tcMar>
              <w:top w:w="0" w:type="dxa"/>
              <w:left w:w="0" w:type="dxa"/>
              <w:bottom w:w="0" w:type="dxa"/>
              <w:right w:w="0" w:type="dxa"/>
            </w:tcMar>
            <w:vAlign w:val="center"/>
          </w:tcPr>
          <w:p>
            <w:pPr>
              <w:pStyle w:val="TableContents"/>
              <w:bidi w:val="0"/>
              <w:spacing w:before="0" w:after="120"/>
              <w:jc w:val="left"/>
              <w:rPr/>
            </w:pPr>
            <w:r>
              <w:rPr/>
              <w:t> </w:t>
            </w:r>
          </w:p>
          <w:p>
            <w:pPr>
              <w:pStyle w:val="TableContents"/>
              <w:bidi w:val="0"/>
              <w:spacing w:before="0" w:after="120"/>
              <w:jc w:val="left"/>
              <w:rPr/>
            </w:pPr>
            <w:r>
              <w:rPr/>
              <w:t> </w:t>
            </w:r>
          </w:p>
        </w:tc>
        <w:tc>
          <w:tcPr>
            <w:tcW w:w="3721" w:type="dxa"/>
            <w:tcBorders/>
            <w:tcMar>
              <w:top w:w="0" w:type="dxa"/>
              <w:left w:w="0" w:type="dxa"/>
              <w:bottom w:w="0" w:type="dxa"/>
              <w:right w:w="0" w:type="dxa"/>
            </w:tcMar>
            <w:vAlign w:val="center"/>
          </w:tcPr>
          <w:p>
            <w:pPr>
              <w:pStyle w:val="TableContents"/>
              <w:bidi w:val="0"/>
              <w:spacing w:before="0" w:after="120"/>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REMAINDER OF THIS PAGE LEFT BLANK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nktr-ex31_1.htm"/>
      <w:bookmarkStart w:id="34" w:name="ksnktrex31_1"/>
      <w:bookmarkEnd w:id="33"/>
      <w:bookmarkEnd w:id="34"/>
      <w:r>
        <w:rPr/>
        <w:t> </w:t>
      </w:r>
      <w:r>
        <w:br w:type="page"/>
      </w:r>
    </w:p>
    <w:p>
      <w:pPr>
        <w:pStyle w:val="TextBody"/>
        <w:bidi w:val="0"/>
        <w:jc w:val="right"/>
        <w:rPr>
          <w:rFonts w:ascii="Times New Roman" w:hAnsi="Times New Roman"/>
          <w:b/>
          <w:color w:val="000000"/>
          <w:sz w:val="20"/>
        </w:rPr>
      </w:pPr>
      <w:bookmarkStart w:id="35" w:name="section1"/>
      <w:bookmarkEnd w:id="35"/>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Howard W. Robin,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Nektar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238" w:type="dxa"/>
        <w:jc w:val="left"/>
        <w:tblInd w:w="0" w:type="dxa"/>
        <w:tblLayout w:type="fixed"/>
        <w:tblCellMar>
          <w:top w:w="28" w:type="dxa"/>
          <w:left w:w="28" w:type="dxa"/>
          <w:bottom w:w="28" w:type="dxa"/>
          <w:right w:w="28" w:type="dxa"/>
        </w:tblCellMar>
      </w:tblPr>
      <w:tblGrid>
        <w:gridCol w:w="1951"/>
        <w:gridCol w:w="146"/>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HOWARD W. ROBIN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Howard W. Robin</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Chief Executive Officer, President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nktr-ex31_2.htm"/>
      <w:bookmarkStart w:id="37" w:name="ksnktrex31_2"/>
      <w:bookmarkEnd w:id="36"/>
      <w:bookmarkEnd w:id="37"/>
      <w:r>
        <w:rPr/>
        <w:t> </w:t>
      </w:r>
      <w:r>
        <w:br w:type="page"/>
      </w:r>
    </w:p>
    <w:p>
      <w:pPr>
        <w:pStyle w:val="TextBody"/>
        <w:bidi w:val="0"/>
        <w:jc w:val="right"/>
        <w:rPr>
          <w:rFonts w:ascii="Times New Roman" w:hAnsi="Times New Roman"/>
          <w:b/>
          <w:color w:val="000000"/>
          <w:sz w:val="20"/>
        </w:rPr>
      </w:pPr>
      <w:bookmarkStart w:id="38" w:name="section11"/>
      <w:bookmarkEnd w:id="38"/>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jc w:val="left"/>
        <w:rPr>
          <w:rFonts w:ascii="Times New Roman" w:hAnsi="Times New Roman"/>
          <w:color w:val="000000"/>
          <w:sz w:val="20"/>
        </w:rPr>
      </w:pPr>
      <w:r>
        <w:rPr>
          <w:rFonts w:ascii="Times New Roman" w:hAnsi="Times New Roman"/>
          <w:color w:val="000000"/>
          <w:sz w:val="20"/>
        </w:rPr>
        <w:t>I, Linda Rubinstein,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Nektar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843" w:type="dxa"/>
        <w:jc w:val="left"/>
        <w:tblInd w:w="0" w:type="dxa"/>
        <w:tblLayout w:type="fixed"/>
        <w:tblCellMar>
          <w:top w:w="28" w:type="dxa"/>
          <w:left w:w="28" w:type="dxa"/>
          <w:bottom w:w="28" w:type="dxa"/>
          <w:right w:w="28" w:type="dxa"/>
        </w:tblCellMar>
      </w:tblPr>
      <w:tblGrid>
        <w:gridCol w:w="1906"/>
        <w:gridCol w:w="146"/>
        <w:gridCol w:w="27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LINDA RUBINSTEIN</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Linda Rubinstein</w:t>
            </w:r>
          </w:p>
          <w:p>
            <w:pPr>
              <w:pStyle w:val="TableContents"/>
              <w:bidi w:val="0"/>
              <w:jc w:val="left"/>
              <w:rPr>
                <w:rFonts w:ascii="Times New Roman" w:hAnsi="Times New Roman"/>
                <w:b/>
                <w:color w:val="000000"/>
                <w:sz w:val="20"/>
              </w:rPr>
            </w:pPr>
            <w:r>
              <w:rPr>
                <w:rFonts w:ascii="Times New Roman" w:hAnsi="Times New Roman"/>
                <w:b/>
                <w:color w:val="000000"/>
                <w:sz w:val="20"/>
              </w:rPr>
              <w:t>Interim Chief Financial Officer</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nktr-ex32_1.htm"/>
      <w:bookmarkStart w:id="40" w:name="ksnktrex32_1"/>
      <w:bookmarkEnd w:id="39"/>
      <w:bookmarkEnd w:id="40"/>
      <w:r>
        <w:rPr/>
        <w:t> </w:t>
      </w:r>
      <w:r>
        <w:br w:type="page"/>
      </w:r>
    </w:p>
    <w:p>
      <w:pPr>
        <w:pStyle w:val="TextBody"/>
        <w:bidi w:val="0"/>
        <w:jc w:val="right"/>
        <w:rPr>
          <w:rFonts w:ascii="Times New Roman" w:hAnsi="Times New Roman"/>
          <w:b/>
          <w:color w:val="000000"/>
          <w:sz w:val="20"/>
        </w:rPr>
      </w:pPr>
      <w:bookmarkStart w:id="41" w:name="section12"/>
      <w:bookmarkEnd w:id="41"/>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SECTION 1350 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Linda Rubinstein, Interim Chief Financial Officer (Principal Financial Officer) of the Company, each hereby certifies that, to the best of his or her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three months ended June 30, 2026,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bl>
      <w:tblPr>
        <w:tblW w:w="7093" w:type="dxa"/>
        <w:jc w:val="left"/>
        <w:tblInd w:w="0" w:type="dxa"/>
        <w:tblLayout w:type="fixed"/>
        <w:tblCellMar>
          <w:top w:w="28" w:type="dxa"/>
          <w:left w:w="28" w:type="dxa"/>
          <w:bottom w:w="28" w:type="dxa"/>
          <w:right w:w="28" w:type="dxa"/>
        </w:tblCellMar>
      </w:tblPr>
      <w:tblGrid>
        <w:gridCol w:w="4111"/>
        <w:gridCol w:w="146"/>
        <w:gridCol w:w="283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HOWARD W. ROBIN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LINDA RUBINSTEIN</w:t>
            </w:r>
          </w:p>
        </w:tc>
      </w:tr>
      <w:tr>
        <w:trPr/>
        <w:tc>
          <w:tcPr>
            <w:tcW w:w="4111"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Howard W. Robin</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Chief Executive Officer, President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Linda Rubinstein</w:t>
            </w:r>
          </w:p>
          <w:p>
            <w:pPr>
              <w:pStyle w:val="TableContents"/>
              <w:bidi w:val="0"/>
              <w:jc w:val="left"/>
              <w:rPr>
                <w:rFonts w:ascii="Times New Roman" w:hAnsi="Times New Roman"/>
                <w:sz w:val="20"/>
              </w:rPr>
            </w:pPr>
            <w:r>
              <w:rPr>
                <w:rFonts w:ascii="Times New Roman" w:hAnsi="Times New Roman"/>
                <w:b/>
                <w:color w:val="000000"/>
                <w:sz w:val="20"/>
              </w:rPr>
              <w:t>Interim Chief Financial Officer</w:t>
            </w:r>
            <w:r>
              <w:rPr>
                <w:rFonts w:ascii="Times New Roman" w:hAnsi="Times New Roman"/>
                <w:color w:val="000000"/>
                <w:sz w:val="20"/>
              </w:rPr>
              <w:t xml:space="preserve"> </w:t>
            </w:r>
          </w:p>
          <w:p>
            <w:pPr>
              <w:pStyle w:val="TableContents"/>
              <w:bidi w:val="0"/>
              <w:spacing w:before="0" w:after="30"/>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rFonts w:ascii="Times New Roman" w:hAnsi="Times New Roman"/>
          <w:b/>
          <w:color w:val="000000"/>
          <w:sz w:val="12"/>
        </w:rPr>
      </w:pPr>
      <w:r>
        <w:rPr>
          <w:rFonts w:ascii="Times New Roman" w:hAnsi="Times New Roman"/>
          <w:b/>
          <w:color w:val="000000"/>
          <w:sz w:val="12"/>
        </w:rPr>
        <w:t>___________________________________________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6709/0001047469-98-031070.txt" TargetMode="External"/><Relationship Id="rId3" Type="http://schemas.openxmlformats.org/officeDocument/2006/relationships/hyperlink" Target="https://www.sec.gov/Archives/edgar/data/906709/000091205700037283/ex-3_3.txt" TargetMode="External"/><Relationship Id="rId4" Type="http://schemas.openxmlformats.org/officeDocument/2006/relationships/hyperlink" Target="https://www.sec.gov/Archives/edgar/data/906709/000104746903002325/a2101294zex-3_1.htm" TargetMode="External"/><Relationship Id="rId5" Type="http://schemas.openxmlformats.org/officeDocument/2006/relationships/hyperlink" Target="https://www.sec.gov/Archives/edgar/data/906709/000114420410011093/v176023_ex3-6.htm" TargetMode="External"/><Relationship Id="rId6" Type="http://schemas.openxmlformats.org/officeDocument/2006/relationships/hyperlink" Target="https://www.sec.gov/Archives/edgar/data/906709/000121390025052141/ea024492901ex3-1_nektar.htm" TargetMode="External"/><Relationship Id="rId7" Type="http://schemas.openxmlformats.org/officeDocument/2006/relationships/hyperlink" Target="https://www.sec.gov/Archives/edgar/data/906709/000121390025052141/ea024492901ex3-2_nektar.htm" TargetMode="External"/><Relationship Id="rId8" Type="http://schemas.openxmlformats.org/officeDocument/2006/relationships/hyperlink" Target="https://www.sec.gov/Archives/edgar/data/906709/000121390022080498/ea170222ex3-1_nektartherap.htm" TargetMode="External"/><Relationship Id="rId9" Type="http://schemas.openxmlformats.org/officeDocument/2006/relationships/hyperlink" Target="https://www.sec.gov/Archives/edgar/data/906709/000119312526214976/d159808dex11.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48606</Words>
  <Characters>269471</Characters>
  <CharactersWithSpaces>318586</CharactersWithSpaces>
  <Paragraphs>5912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