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756920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45720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46" w:lineRule="exact"/>
        <w:rPr>
          <w:rFonts w:ascii="MS PGothic" w:cs="MS PGothic" w:eastAsia="MS PGothic" w:hAnsi="MS PGothic"/>
          <w:sz w:val="18"/>
          <w:szCs w:val="18"/>
          <w:color w:val="auto"/>
          <w:highlight w:val="black"/>
        </w:rPr>
      </w:pPr>
    </w:p>
    <w:p>
      <w:pPr>
        <w:ind w:left="45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3"/>
          <w:szCs w:val="13"/>
          <w:b w:val="1"/>
          <w:bCs w:val="1"/>
          <w:color w:val="auto"/>
        </w:rPr>
        <w:t>For the fiscal year ended December 31, 2024</w:t>
      </w:r>
    </w:p>
    <w:p>
      <w:pPr>
        <w:spacing w:after="0" w:line="80"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1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5"/>
          <w:szCs w:val="15"/>
          <w:b w:val="1"/>
          <w:bCs w:val="1"/>
          <w:color w:val="auto"/>
        </w:rPr>
        <w:t>TRANSITION REPORTS PURSUANT TO SECTION 13 OR 15(d) OF THE SECURITIES EXCHANGE ACT OF 1934.</w:t>
      </w:r>
    </w:p>
    <w:p>
      <w:pPr>
        <w:spacing w:after="0" w:line="101" w:lineRule="exact"/>
        <w:rPr>
          <w:sz w:val="24"/>
          <w:szCs w:val="24"/>
          <w:color w:val="auto"/>
        </w:rPr>
      </w:pPr>
    </w:p>
    <w:p>
      <w:pPr>
        <w:jc w:val="center"/>
        <w:ind w:right="-39"/>
        <w:spacing w:after="0"/>
        <w:tabs>
          <w:tab w:leader="none" w:pos="24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1"/>
          <w:szCs w:val="11"/>
          <w:b w:val="1"/>
          <w:bCs w:val="1"/>
          <w:color w:val="auto"/>
        </w:rPr>
        <w:t>to</w:t>
      </w:r>
    </w:p>
    <w:p>
      <w:pPr>
        <w:sectPr>
          <w:pgSz w:w="11900" w:h="16838" w:orient="portrait"/>
          <w:cols w:equalWidth="0" w:num="1">
            <w:col w:w="11220"/>
          </w:cols>
          <w:pgMar w:left="320" w:top="225" w:right="359" w:bottom="1440" w:gutter="0" w:footer="0" w:header="0"/>
        </w:sectPr>
      </w:pPr>
    </w:p>
    <w:p>
      <w:pPr>
        <w:spacing w:after="0" w:line="53" w:lineRule="exact"/>
        <w:rPr>
          <w:sz w:val="24"/>
          <w:szCs w:val="24"/>
          <w:color w:val="auto"/>
        </w:rPr>
      </w:pPr>
    </w:p>
    <w:p>
      <w:pPr>
        <w:jc w:val="center"/>
        <w:ind w:left="3720"/>
        <w:spacing w:after="0"/>
        <w:rPr>
          <w:sz w:val="20"/>
          <w:szCs w:val="20"/>
          <w:color w:val="auto"/>
        </w:rPr>
      </w:pPr>
      <w:r>
        <w:rPr>
          <w:rFonts w:ascii="Times New Roman" w:cs="Times New Roman" w:eastAsia="Times New Roman" w:hAnsi="Times New Roman"/>
          <w:sz w:val="13"/>
          <w:szCs w:val="13"/>
          <w:b w:val="1"/>
          <w:bCs w:val="1"/>
          <w:color w:val="auto"/>
        </w:rPr>
        <w:t>Commission File Number: 0-24006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left="3720"/>
        <w:spacing w:after="0"/>
        <w:rPr>
          <w:sz w:val="20"/>
          <w:szCs w:val="20"/>
          <w:color w:val="auto"/>
        </w:rPr>
      </w:pPr>
      <w:r>
        <w:rPr>
          <w:rFonts w:ascii="Times New Roman" w:cs="Times New Roman" w:eastAsia="Times New Roman" w:hAnsi="Times New Roman"/>
          <w:sz w:val="30"/>
          <w:szCs w:val="30"/>
          <w:b w:val="1"/>
          <w:bCs w:val="1"/>
          <w:color w:val="auto"/>
        </w:rPr>
        <w:t>NEKTAR THERAPEUTICS</w:t>
      </w:r>
    </w:p>
    <w:p>
      <w:pPr>
        <w:spacing w:after="0" w:line="86"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54"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61"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2"/>
          <w:szCs w:val="12"/>
          <w:b w:val="1"/>
          <w:bCs w:val="1"/>
          <w:color w:val="auto"/>
        </w:rPr>
        <w:t>94-3134940</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6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130" w:lineRule="exact"/>
        <w:rPr>
          <w:sz w:val="24"/>
          <w:szCs w:val="24"/>
          <w:color w:val="auto"/>
        </w:rPr>
      </w:pPr>
    </w:p>
    <w:p>
      <w:pPr>
        <w:sectPr>
          <w:pgSz w:w="11900" w:h="16838" w:orient="portrait"/>
          <w:cols w:equalWidth="0" w:num="2">
            <w:col w:w="7520" w:space="500"/>
            <w:col w:w="3200"/>
          </w:cols>
          <w:pgMar w:left="320" w:top="225"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455 Mission Bay Boulevard South</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San Francisco, California 94158</w:t>
      </w: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and zip code)</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415-482-5300</w:t>
      </w: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67945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22" w:lineRule="exact"/>
        <w:rPr>
          <w:sz w:val="24"/>
          <w:szCs w:val="24"/>
          <w:color w:val="auto"/>
        </w:rPr>
      </w:pPr>
    </w:p>
    <w:p>
      <w:pPr>
        <w:ind w:left="1480"/>
        <w:spacing w:after="0"/>
        <w:tabs>
          <w:tab w:leader="none" w:pos="5260" w:val="left"/>
          <w:tab w:leader="none" w:pos="8360" w:val="left"/>
        </w:tabs>
        <w:rPr>
          <w:sz w:val="20"/>
          <w:szCs w:val="20"/>
          <w:color w:val="auto"/>
        </w:rPr>
      </w:pPr>
      <w:r>
        <w:rPr>
          <w:rFonts w:ascii="Times New Roman" w:cs="Times New Roman" w:eastAsia="Times New Roman" w:hAnsi="Times New Roman"/>
          <w:sz w:val="10"/>
          <w:szCs w:val="10"/>
          <w:b w:val="1"/>
          <w:bCs w:val="1"/>
          <w:color w:val="auto"/>
        </w:rPr>
        <w:t>Title of Each Class</w:t>
      </w:r>
      <w:r>
        <w:rPr>
          <w:sz w:val="20"/>
          <w:szCs w:val="20"/>
          <w:color w:val="auto"/>
        </w:rPr>
        <w:tab/>
      </w:r>
      <w:r>
        <w:rPr>
          <w:rFonts w:ascii="Times New Roman" w:cs="Times New Roman" w:eastAsia="Times New Roman" w:hAnsi="Times New Roman"/>
          <w:sz w:val="10"/>
          <w:szCs w:val="10"/>
          <w:b w:val="1"/>
          <w:bCs w:val="1"/>
          <w:color w:val="auto"/>
        </w:rPr>
        <w:t>Trading Symbol</w:t>
      </w:r>
      <w:r>
        <w:rPr>
          <w:sz w:val="20"/>
          <w:szCs w:val="20"/>
          <w:color w:val="auto"/>
        </w:rPr>
        <w:tab/>
      </w:r>
      <w:r>
        <w:rPr>
          <w:rFonts w:ascii="Times New Roman" w:cs="Times New Roman" w:eastAsia="Times New Roman" w:hAnsi="Times New Roman"/>
          <w:sz w:val="9"/>
          <w:szCs w:val="9"/>
          <w:b w:val="1"/>
          <w:bCs w:val="1"/>
          <w:color w:val="auto"/>
        </w:rPr>
        <w:t>Name of Each Exchange on Which Registered</w:t>
      </w:r>
    </w:p>
    <w:p>
      <w:pPr>
        <w:spacing w:after="0" w:line="48" w:lineRule="exact"/>
        <w:rPr>
          <w:sz w:val="24"/>
          <w:szCs w:val="24"/>
          <w:color w:val="auto"/>
        </w:rPr>
      </w:pPr>
    </w:p>
    <w:p>
      <w:pPr>
        <w:ind w:left="1060"/>
        <w:spacing w:after="0"/>
        <w:tabs>
          <w:tab w:leader="none" w:pos="5420" w:val="left"/>
          <w:tab w:leader="none" w:pos="8680" w:val="left"/>
        </w:tabs>
        <w:rPr>
          <w:sz w:val="20"/>
          <w:szCs w:val="20"/>
          <w:color w:val="auto"/>
        </w:rPr>
      </w:pPr>
      <w:r>
        <w:rPr>
          <w:rFonts w:ascii="Times New Roman" w:cs="Times New Roman" w:eastAsia="Times New Roman" w:hAnsi="Times New Roman"/>
          <w:sz w:val="12"/>
          <w:szCs w:val="12"/>
          <w:color w:val="auto"/>
        </w:rPr>
        <w:t>Common Stock, $0.0001 par value</w:t>
      </w:r>
      <w:r>
        <w:rPr>
          <w:sz w:val="20"/>
          <w:szCs w:val="20"/>
          <w:color w:val="auto"/>
        </w:rPr>
        <w:tab/>
      </w:r>
      <w:r>
        <w:rPr>
          <w:rFonts w:ascii="Times New Roman" w:cs="Times New Roman" w:eastAsia="Times New Roman" w:hAnsi="Times New Roman"/>
          <w:sz w:val="13"/>
          <w:szCs w:val="13"/>
          <w:color w:val="auto"/>
        </w:rPr>
        <w:t>NKTR</w:t>
      </w:r>
      <w:r>
        <w:rPr>
          <w:sz w:val="20"/>
          <w:szCs w:val="20"/>
          <w:color w:val="auto"/>
        </w:rPr>
        <w:tab/>
      </w:r>
      <w:r>
        <w:rPr>
          <w:rFonts w:ascii="Times New Roman" w:cs="Times New Roman" w:eastAsia="Times New Roman" w:hAnsi="Times New Roman"/>
          <w:sz w:val="12"/>
          <w:szCs w:val="12"/>
          <w:color w:val="auto"/>
        </w:rPr>
        <w:t>NASDAQ Capital Market</w:t>
      </w:r>
    </w:p>
    <w:p>
      <w:pPr>
        <w:spacing w:after="0" w:line="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61595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1" w:lineRule="exact"/>
        <w:rPr>
          <w:sz w:val="24"/>
          <w:szCs w:val="24"/>
          <w:color w:val="auto"/>
        </w:rPr>
      </w:pPr>
    </w:p>
    <w:p>
      <w:pPr>
        <w:ind w:left="660" w:right="3360"/>
        <w:spacing w:after="0" w:line="21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right="220" w:firstLine="644"/>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80" w:firstLine="644"/>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520" w:firstLine="644"/>
        <w:spacing w:after="0" w:line="27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Layout w:type="fixed"/>
        <w:tblInd w:w="40" w:type="dxa"/>
        <w:tblCellMar>
          <w:top w:w="0" w:type="dxa"/>
          <w:left w:w="0" w:type="dxa"/>
          <w:bottom w:w="0" w:type="dxa"/>
          <w:right w:w="0" w:type="dxa"/>
        </w:tblCellMar>
      </w:tblPr>
      <w:tr>
        <w:trPr>
          <w:trHeight w:val="201"/>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9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760" w:type="dxa"/>
            <w:vAlign w:val="bottom"/>
          </w:tcPr>
          <w:p>
            <w:pPr>
              <w:ind w:left="1540"/>
              <w:spacing w:after="0"/>
              <w:rPr>
                <w:sz w:val="20"/>
                <w:szCs w:val="20"/>
                <w:color w:val="auto"/>
              </w:rPr>
            </w:pPr>
            <w:r>
              <w:rPr>
                <w:rFonts w:ascii="Times New Roman" w:cs="Times New Roman" w:eastAsia="Times New Roman" w:hAnsi="Times New Roman"/>
                <w:sz w:val="13"/>
                <w:szCs w:val="13"/>
                <w:color w:val="auto"/>
              </w:rPr>
              <w:t>Accelerated filer</w:t>
            </w:r>
          </w:p>
        </w:tc>
        <w:tc>
          <w:tcPr>
            <w:tcW w:w="1860" w:type="dxa"/>
            <w:vAlign w:val="bottom"/>
          </w:tcPr>
          <w:p>
            <w:pPr>
              <w:ind w:left="17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90"/>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9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4760" w:type="dxa"/>
            <w:vAlign w:val="bottom"/>
          </w:tcPr>
          <w:p>
            <w:pPr>
              <w:ind w:left="15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860" w:type="dxa"/>
            <w:vAlign w:val="bottom"/>
          </w:tcPr>
          <w:p>
            <w:pPr>
              <w:ind w:left="1720"/>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19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760" w:type="dxa"/>
            <w:vAlign w:val="bottom"/>
          </w:tcPr>
          <w:p>
            <w:pPr>
              <w:spacing w:after="0"/>
              <w:rPr>
                <w:sz w:val="22"/>
                <w:szCs w:val="22"/>
                <w:color w:val="auto"/>
              </w:rPr>
            </w:pPr>
          </w:p>
        </w:tc>
        <w:tc>
          <w:tcPr>
            <w:tcW w:w="1860" w:type="dxa"/>
            <w:vAlign w:val="bottom"/>
          </w:tcPr>
          <w:p>
            <w:pPr>
              <w:spacing w:after="0"/>
              <w:rPr>
                <w:sz w:val="22"/>
                <w:szCs w:val="22"/>
                <w:color w:val="auto"/>
              </w:rPr>
            </w:pPr>
          </w:p>
        </w:tc>
      </w:tr>
    </w:tbl>
    <w:p>
      <w:pPr>
        <w:spacing w:after="0" w:line="39" w:lineRule="exact"/>
        <w:rPr>
          <w:sz w:val="24"/>
          <w:szCs w:val="24"/>
          <w:color w:val="auto"/>
        </w:rPr>
      </w:pPr>
    </w:p>
    <w:p>
      <w:pPr>
        <w:ind w:firstLine="644"/>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60" w:firstLine="644"/>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140" w:firstLine="644"/>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280" w:firstLine="644"/>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Exchange Act Rule 12b-2).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right="320" w:firstLine="644"/>
        <w:spacing w:after="0" w:line="278" w:lineRule="auto"/>
        <w:rPr>
          <w:sz w:val="20"/>
          <w:szCs w:val="20"/>
          <w:color w:val="auto"/>
        </w:rPr>
      </w:pPr>
      <w:r>
        <w:rPr>
          <w:rFonts w:ascii="Times New Roman" w:cs="Times New Roman" w:eastAsia="Times New Roman" w:hAnsi="Times New Roman"/>
          <w:sz w:val="13"/>
          <w:szCs w:val="13"/>
          <w:color w:val="auto"/>
        </w:rPr>
        <w:t>The approximate aggregate market value of voting stock held by non-affiliates of the registrant, based upon the last sale price of the registrant’s common stock on the last business day of the registrant’s most recently completed second fiscal quarter, June 30, 2024, as reported on The NASDAQ Capital Market, was approximately $226 million.</w:t>
      </w:r>
    </w:p>
    <w:p>
      <w:pPr>
        <w:spacing w:after="0" w:line="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As of March 6, 2025, the number of outstanding shares of the registrant’s common stock was 186,103,588.</w:t>
      </w:r>
    </w:p>
    <w:p>
      <w:pPr>
        <w:spacing w:after="0" w:line="4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1188720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15"/>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NEKTAR THERAPEUTICS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0" w:type="dxa"/>
            <w:vAlign w:val="bottom"/>
            <w:gridSpan w:val="18"/>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2024 ANNUAL REPORT ON FORM 10-K</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gridSpan w:val="15"/>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6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color w:val="0000FF"/>
              </w:rPr>
              <w:t>Summary of Risks</w:t>
            </w: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60" w:type="dxa"/>
            <w:vAlign w:val="bottom"/>
            <w:gridSpan w:val="35"/>
            <w:vMerge w:val="continue"/>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gridSpan w:val="10"/>
          </w:tcPr>
          <w:p>
            <w:pPr>
              <w:jc w:val="center"/>
              <w:ind w:right="454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45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Borders>
              <w:top w:val="single" w:sz="8" w:color="0000FF"/>
            </w:tcBorders>
            <w:gridSpan w:val="2"/>
          </w:tcPr>
          <w:p>
            <w:pPr>
              <w:spacing w:after="0"/>
              <w:rPr>
                <w:sz w:val="24"/>
                <w:szCs w:val="24"/>
                <w:color w:val="auto"/>
              </w:rPr>
            </w:pPr>
          </w:p>
        </w:tc>
        <w:tc>
          <w:tcPr>
            <w:tcW w:w="454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720" w:type="dxa"/>
            <w:vAlign w:val="bottom"/>
            <w:gridSpan w:val="2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600" w:type="dxa"/>
            <w:vAlign w:val="bottom"/>
            <w:gridSpan w:val="1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640" w:type="dxa"/>
            <w:vAlign w:val="bottom"/>
            <w:gridSpan w:val="2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900" w:type="dxa"/>
            <w:vAlign w:val="bottom"/>
            <w:gridSpan w:val="3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7"/>
                <w:szCs w:val="17"/>
                <w:color w:val="auto"/>
              </w:rPr>
            </w:pPr>
          </w:p>
        </w:tc>
        <w:tc>
          <w:tcPr>
            <w:tcW w:w="8300" w:type="dxa"/>
            <w:vAlign w:val="bottom"/>
            <w:gridSpan w:val="2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11"/>
          </w:tcPr>
          <w:p>
            <w:pPr>
              <w:jc w:val="center"/>
              <w:ind w:right="450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400" w:type="dxa"/>
            <w:vAlign w:val="bottom"/>
            <w:tcBorders>
              <w:top w:val="single" w:sz="8" w:color="0000FF"/>
            </w:tcBorders>
            <w:gridSpan w:val="31"/>
          </w:tcPr>
          <w:p>
            <w:pPr>
              <w:spacing w:after="0"/>
              <w:rPr>
                <w:sz w:val="17"/>
                <w:szCs w:val="17"/>
                <w:color w:val="auto"/>
              </w:rPr>
            </w:pPr>
          </w:p>
        </w:tc>
        <w:tc>
          <w:tcPr>
            <w:tcW w:w="15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8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6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5300" w:type="dxa"/>
            <w:vAlign w:val="bottom"/>
            <w:gridSpan w:val="1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6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8"/>
          </w:tcPr>
          <w:p>
            <w:pPr>
              <w:spacing w:after="0"/>
              <w:rPr>
                <w:sz w:val="17"/>
                <w:szCs w:val="17"/>
                <w:color w:val="auto"/>
              </w:rPr>
            </w:pPr>
          </w:p>
        </w:tc>
        <w:tc>
          <w:tcPr>
            <w:tcW w:w="318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7"/>
                <w:szCs w:val="17"/>
                <w:color w:val="auto"/>
              </w:rPr>
            </w:pPr>
          </w:p>
        </w:tc>
        <w:tc>
          <w:tcPr>
            <w:tcW w:w="8320" w:type="dxa"/>
            <w:vAlign w:val="bottom"/>
            <w:gridSpan w:val="2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6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00" w:type="dxa"/>
            <w:vAlign w:val="bottom"/>
            <w:gridSpan w:val="13"/>
          </w:tcPr>
          <w:p>
            <w:pPr>
              <w:jc w:val="center"/>
              <w:ind w:right="436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tcBorders>
              <w:top w:val="single" w:sz="8" w:color="0000FF"/>
            </w:tcBorders>
            <w:gridSpan w:val="7"/>
          </w:tcPr>
          <w:p>
            <w:pPr>
              <w:spacing w:after="0"/>
              <w:rPr>
                <w:sz w:val="24"/>
                <w:szCs w:val="24"/>
                <w:color w:val="auto"/>
              </w:rPr>
            </w:pPr>
          </w:p>
        </w:tc>
        <w:tc>
          <w:tcPr>
            <w:tcW w:w="44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556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13"/>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36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2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424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6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12"/>
          </w:tcPr>
          <w:p>
            <w:pPr>
              <w:jc w:val="center"/>
              <w:ind w:right="4460"/>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44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tcBorders>
              <w:top w:val="single" w:sz="8" w:color="0000FF"/>
            </w:tcBorders>
            <w:gridSpan w:val="5"/>
          </w:tcPr>
          <w:p>
            <w:pPr>
              <w:spacing w:after="0"/>
              <w:rPr>
                <w:sz w:val="24"/>
                <w:szCs w:val="24"/>
                <w:color w:val="auto"/>
              </w:rPr>
            </w:pPr>
          </w:p>
        </w:tc>
        <w:tc>
          <w:tcPr>
            <w:tcW w:w="446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50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90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gridSpan w:val="26"/>
          </w:tcPr>
          <w:p>
            <w:pPr>
              <w:jc w:val="center"/>
              <w:ind w:left="4391"/>
              <w:spacing w:after="0"/>
              <w:rPr>
                <w:sz w:val="20"/>
                <w:szCs w:val="20"/>
                <w:color w:val="auto"/>
              </w:rPr>
            </w:pPr>
            <w:r>
              <w:rPr>
                <w:rFonts w:ascii="Arial" w:cs="Arial" w:eastAsia="Arial" w:hAnsi="Arial"/>
                <w:sz w:val="15"/>
                <w:szCs w:val="15"/>
                <w:color w:val="auto"/>
                <w:w w:val="95"/>
              </w:rPr>
              <w:t>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40" w:firstLine="644"/>
        <w:spacing w:after="0" w:line="267" w:lineRule="auto"/>
        <w:rPr>
          <w:sz w:val="20"/>
          <w:szCs w:val="20"/>
          <w:color w:val="auto"/>
        </w:rPr>
      </w:pPr>
      <w:r>
        <w:rPr>
          <w:rFonts w:ascii="Times New Roman" w:cs="Times New Roman" w:eastAsia="Times New Roman" w:hAnsi="Times New Roman"/>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on Form 10-K, including any projections of market size, earnings, revenue, milestone payments, royalties, sales or other financial items, any statements of the plans and objectives of management for future operations (including, but not limited to, preclinical development, clinical trials and manufacturing), any statements related to our financial condition and future working capital needs, any statements related to our prior strategic reorganization and cost restructuring plans, any statements regarding potential future financing alternatives, any statements concerning proposed drug candidates and our future research and development plans, any statements regarding the timing for the start or end of clinical trials or submission of regulatory approval filings, any statements regarding future economic conditions or performance, any statements regarding the initiation, formation, or success of our collaboration arrangements, any statements regarding future payments that may come due to us, any statements regarding our plans and objectives to initiate or continue clinical trials, any statements related to potential, anticipated, or ongoing litigation and any statements of assumptions underlying any of the foregoing. In some cases, forward-looking statements can be identified by the use of terminology such as “believe,” “may,” “will,” “expects,” “plans,” “anticipates,” “estimates,” “potential” or “continue,” or the negative thereof or other comparable terminology. Although we believe that the expectations reflected in the forward-looking statements contained herein are reasonable, such expectations or any of the forward-looking statements may prove to be incorrect and actual results could differ materially from those projected or assumed in the forward-looking statements. Our future financial condition and results of operations, as well as any forward-looking statements, are subject to inherent risks and uncertainties, including, but not limited to, the risk factors set forth in Part I, Item 1A “Risk Factors” below and for the reasons described elsewhere in this annual report on Form 10-K. All forward-looking statements and reasons why results may differ included in this report are made as of the date hereof and we do not intend to update any forward-looking statements except as required by law or applicable regulations. Except where the context otherwise requires, in this annual report on Form 10-K, the “Company,” “Nektar,” “we,” “us,” and “our” refer to Nektar Therapeutics, a Delaware corporation, and, where appropriate, its subsidiaries.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09" w:lineRule="exact"/>
        <w:rPr>
          <w:sz w:val="20"/>
          <w:szCs w:val="20"/>
          <w:color w:val="auto"/>
        </w:rPr>
      </w:pPr>
    </w:p>
    <w:p>
      <w:pPr>
        <w:jc w:val="both"/>
        <w:ind w:right="180" w:firstLine="644"/>
        <w:spacing w:after="0" w:line="234" w:lineRule="auto"/>
        <w:rPr>
          <w:sz w:val="20"/>
          <w:szCs w:val="20"/>
          <w:color w:val="auto"/>
        </w:rPr>
      </w:pPr>
      <w:r>
        <w:rPr>
          <w:rFonts w:ascii="Times New Roman" w:cs="Times New Roman" w:eastAsia="Times New Roman" w:hAnsi="Times New Roman"/>
          <w:sz w:val="18"/>
          <w:szCs w:val="18"/>
          <w:color w:val="auto"/>
        </w:rPr>
        <w:t>The Nektar brand and product names, including but not limited to Nektar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contained in this document are trademarks and registered trademarks of Nektar Therapeutics in the United States (U.S.) and certain other countries. This document also contains references to trademarks and service marks of other companies that are the property of their respective owners.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w:t>
      </w:r>
    </w:p>
    <w:p>
      <w:pPr>
        <w:spacing w:after="0" w:line="189" w:lineRule="exact"/>
        <w:rPr>
          <w:sz w:val="20"/>
          <w:szCs w:val="20"/>
          <w:color w:val="auto"/>
        </w:rPr>
      </w:pPr>
    </w:p>
    <w:p>
      <w:pPr>
        <w:ind w:right="140" w:firstLine="644"/>
        <w:spacing w:after="0" w:line="255" w:lineRule="auto"/>
        <w:rPr>
          <w:sz w:val="20"/>
          <w:szCs w:val="20"/>
          <w:color w:val="auto"/>
        </w:rPr>
      </w:pPr>
      <w:r>
        <w:rPr>
          <w:rFonts w:ascii="Times New Roman" w:cs="Times New Roman" w:eastAsia="Times New Roman" w:hAnsi="Times New Roman"/>
          <w:sz w:val="18"/>
          <w:szCs w:val="18"/>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Risks to our business are more fully described below in Item IA in this Form 10-K, which risks include, among others:</w:t>
      </w:r>
    </w:p>
    <w:p>
      <w:pPr>
        <w:spacing w:after="0" w:line="181" w:lineRule="exact"/>
        <w:rPr>
          <w:sz w:val="20"/>
          <w:szCs w:val="20"/>
          <w:color w:val="auto"/>
        </w:rPr>
      </w:pPr>
    </w:p>
    <w:p>
      <w:pPr>
        <w:ind w:left="1300" w:hanging="648"/>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our Research and Development Efforts</w:t>
      </w:r>
      <w:r>
        <w:rPr>
          <w:rFonts w:ascii="Times New Roman" w:cs="Times New Roman" w:eastAsia="Times New Roman" w:hAnsi="Times New Roman"/>
          <w:sz w:val="18"/>
          <w:szCs w:val="18"/>
          <w:b w:val="1"/>
          <w:bCs w:val="1"/>
          <w:color w:val="auto"/>
        </w:rPr>
        <w:t>:</w:t>
      </w:r>
    </w:p>
    <w:p>
      <w:pPr>
        <w:spacing w:after="0" w:line="188" w:lineRule="exact"/>
        <w:rPr>
          <w:rFonts w:ascii="Times New Roman" w:cs="Times New Roman" w:eastAsia="Times New Roman" w:hAnsi="Times New Roman"/>
          <w:sz w:val="18"/>
          <w:szCs w:val="18"/>
          <w:color w:val="auto"/>
        </w:rPr>
      </w:pPr>
    </w:p>
    <w:p>
      <w:pPr>
        <w:ind w:left="1940" w:right="28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oclinical drug development is a lengthy and uncertain process and we may not be able to generate and develop successful drug candidates for commercial use;</w:t>
      </w:r>
    </w:p>
    <w:p>
      <w:pPr>
        <w:spacing w:after="0" w:line="134" w:lineRule="exact"/>
        <w:rPr>
          <w:rFonts w:ascii="Times New Roman" w:cs="Times New Roman" w:eastAsia="Times New Roman" w:hAnsi="Times New Roman"/>
          <w:sz w:val="18"/>
          <w:szCs w:val="18"/>
          <w:color w:val="auto"/>
        </w:rPr>
      </w:pPr>
    </w:p>
    <w:p>
      <w:pPr>
        <w:ind w:left="1940" w:right="36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are highly dependent on the success of rezpegaldesleukin (previously referred to as NKTR-358) and our business will be significantly harmed if rezpegaldesleukin does not continue to advance in clinical studies;</w:t>
      </w:r>
    </w:p>
    <w:p>
      <w:pPr>
        <w:spacing w:after="0" w:line="121" w:lineRule="exact"/>
        <w:rPr>
          <w:rFonts w:ascii="Times New Roman" w:cs="Times New Roman" w:eastAsia="Times New Roman" w:hAnsi="Times New Roman"/>
          <w:sz w:val="18"/>
          <w:szCs w:val="18"/>
          <w:color w:val="auto"/>
        </w:rPr>
      </w:pPr>
    </w:p>
    <w:p>
      <w:pPr>
        <w:ind w:left="1940" w:right="104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outcomes from competitive immunotherapy clinical trials, and the discovery and development of new potential immunotherapies could have a material and adverse impact on the value of our pipeline;</w:t>
      </w:r>
    </w:p>
    <w:p>
      <w:pPr>
        <w:spacing w:after="0" w:line="121" w:lineRule="exact"/>
        <w:rPr>
          <w:rFonts w:ascii="Times New Roman" w:cs="Times New Roman" w:eastAsia="Times New Roman" w:hAnsi="Times New Roman"/>
          <w:sz w:val="18"/>
          <w:szCs w:val="18"/>
          <w:color w:val="auto"/>
        </w:rPr>
      </w:pPr>
    </w:p>
    <w:p>
      <w:pPr>
        <w:ind w:left="1940" w:right="54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osignificant competition for our products and drug candidates could make our drug products or drug candidates obsolete or uncompetitive;</w:t>
      </w:r>
    </w:p>
    <w:p>
      <w:pPr>
        <w:spacing w:after="0" w:line="134" w:lineRule="exact"/>
        <w:rPr>
          <w:rFonts w:ascii="Times New Roman" w:cs="Times New Roman" w:eastAsia="Times New Roman" w:hAnsi="Times New Roman"/>
          <w:sz w:val="18"/>
          <w:szCs w:val="18"/>
          <w:color w:val="auto"/>
        </w:rPr>
      </w:pPr>
    </w:p>
    <w:p>
      <w:pPr>
        <w:ind w:left="194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opreliminary and interim data from our clinical studies are subject to audit and verification procedures that could result in material changes in the final data and may change as more patient data become available;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940" w:hanging="644"/>
        <w:spacing w:after="0" w:line="282"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any of our drug candidates could be delayed for a variety of reasons, including delays associated with activating clinical sites and lower than anticipated patient enrollment rates, which are often outside of our control; and</w:t>
      </w:r>
    </w:p>
    <w:p>
      <w:pPr>
        <w:spacing w:after="0" w:line="121" w:lineRule="exact"/>
        <w:rPr>
          <w:rFonts w:ascii="Times New Roman" w:cs="Times New Roman" w:eastAsia="Times New Roman" w:hAnsi="Times New Roman"/>
          <w:sz w:val="18"/>
          <w:szCs w:val="18"/>
          <w:color w:val="auto"/>
        </w:rPr>
      </w:pPr>
    </w:p>
    <w:p>
      <w:pPr>
        <w:ind w:left="1940" w:right="180" w:hanging="644"/>
        <w:spacing w:after="0" w:line="266"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conduct laboratory experiments, preclinical studies and clinical trials for our drug candidates and any failure of those parties to fulfill their obligations according to our instructions and protocol standards could harm our research and development plans and adversely affect our business.</w:t>
      </w:r>
    </w:p>
    <w:p>
      <w:pPr>
        <w:spacing w:after="0" w:line="13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our Financial Condition and Capital Requirements</w:t>
      </w:r>
      <w:r>
        <w:rPr>
          <w:rFonts w:ascii="Times New Roman" w:cs="Times New Roman" w:eastAsia="Times New Roman" w:hAnsi="Times New Roman"/>
          <w:sz w:val="18"/>
          <w:szCs w:val="18"/>
          <w:b w:val="1"/>
          <w:bCs w:val="1"/>
          <w:color w:val="auto"/>
        </w:rPr>
        <w:t>:</w:t>
      </w:r>
    </w:p>
    <w:p>
      <w:pPr>
        <w:spacing w:after="0" w:line="202" w:lineRule="exact"/>
        <w:rPr>
          <w:rFonts w:ascii="Times New Roman" w:cs="Times New Roman" w:eastAsia="Times New Roman" w:hAnsi="Times New Roman"/>
          <w:sz w:val="18"/>
          <w:szCs w:val="18"/>
          <w:color w:val="auto"/>
        </w:rPr>
      </w:pPr>
    </w:p>
    <w:p>
      <w:pPr>
        <w:ind w:left="1940" w:right="120" w:hanging="644"/>
        <w:spacing w:after="0" w:line="282"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our prior strategic reorganization plan and cost restructuring plans will achieve their intended benefits and we may need to undertake additional cost-saving measures;</w:t>
      </w:r>
    </w:p>
    <w:p>
      <w:pPr>
        <w:spacing w:after="0" w:line="121" w:lineRule="exact"/>
        <w:rPr>
          <w:rFonts w:ascii="Times New Roman" w:cs="Times New Roman" w:eastAsia="Times New Roman" w:hAnsi="Times New Roman"/>
          <w:sz w:val="18"/>
          <w:szCs w:val="18"/>
          <w:color w:val="auto"/>
        </w:rPr>
      </w:pPr>
    </w:p>
    <w:p>
      <w:pPr>
        <w:ind w:left="1940" w:right="520" w:hanging="644"/>
        <w:spacing w:after="0" w:line="282"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future capital requirements and there is a risk we may not have access to sufficient capital to meet our current business plan;</w:t>
      </w:r>
    </w:p>
    <w:p>
      <w:pPr>
        <w:spacing w:after="0" w:line="121" w:lineRule="exact"/>
        <w:rPr>
          <w:rFonts w:ascii="Times New Roman" w:cs="Times New Roman" w:eastAsia="Times New Roman" w:hAnsi="Times New Roman"/>
          <w:sz w:val="18"/>
          <w:szCs w:val="18"/>
          <w:color w:val="auto"/>
        </w:rPr>
      </w:pPr>
    </w:p>
    <w:p>
      <w:pPr>
        <w:ind w:left="1940" w:right="40" w:hanging="644"/>
        <w:spacing w:after="0" w:line="261"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source of our revenue and capital for research and development has been derived from our collaboration agreements, and if we are unable to establish and maintain new collaboration partnerships with attractive commercial terms, including significant development milestones and research and development cost-sharing, our business, results of operations and financial condition could suffer; and</w:t>
      </w:r>
    </w:p>
    <w:p>
      <w:pPr>
        <w:spacing w:after="0" w:line="152" w:lineRule="exact"/>
        <w:rPr>
          <w:rFonts w:ascii="Times New Roman" w:cs="Times New Roman" w:eastAsia="Times New Roman" w:hAnsi="Times New Roman"/>
          <w:sz w:val="18"/>
          <w:szCs w:val="18"/>
          <w:color w:val="auto"/>
        </w:rPr>
      </w:pPr>
    </w:p>
    <w:p>
      <w:pPr>
        <w:ind w:left="1940" w:hanging="644"/>
        <w:spacing w:after="0"/>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substantial net losses from operations and may not achieve or sustain profitability in the future.</w:t>
      </w:r>
    </w:p>
    <w:p>
      <w:pPr>
        <w:spacing w:after="0" w:line="180"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Supply and Manufacturing</w:t>
      </w:r>
      <w:r>
        <w:rPr>
          <w:rFonts w:ascii="Times New Roman" w:cs="Times New Roman" w:eastAsia="Times New Roman" w:hAnsi="Times New Roman"/>
          <w:sz w:val="18"/>
          <w:szCs w:val="18"/>
          <w:b w:val="1"/>
          <w:bCs w:val="1"/>
          <w:color w:val="auto"/>
        </w:rPr>
        <w:t>:</w:t>
      </w:r>
    </w:p>
    <w:p>
      <w:pPr>
        <w:spacing w:after="0" w:line="188" w:lineRule="exact"/>
        <w:rPr>
          <w:rFonts w:ascii="Times New Roman" w:cs="Times New Roman" w:eastAsia="Times New Roman" w:hAnsi="Times New Roman"/>
          <w:sz w:val="18"/>
          <w:szCs w:val="18"/>
          <w:color w:val="auto"/>
        </w:rPr>
      </w:pPr>
    </w:p>
    <w:p>
      <w:pPr>
        <w:ind w:left="1940" w:right="220" w:hanging="644"/>
        <w:spacing w:after="0" w:line="282"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contract manufacturers are not able to manufacture drugs or drug substances in sufficient quantities that meet applicable quality standards, our business, financial condition and results of operations could be harmed; and</w:t>
      </w:r>
    </w:p>
    <w:p>
      <w:pPr>
        <w:spacing w:after="0" w:line="134" w:lineRule="exact"/>
        <w:rPr>
          <w:rFonts w:ascii="Times New Roman" w:cs="Times New Roman" w:eastAsia="Times New Roman" w:hAnsi="Times New Roman"/>
          <w:sz w:val="18"/>
          <w:szCs w:val="18"/>
          <w:color w:val="auto"/>
        </w:rPr>
      </w:pPr>
    </w:p>
    <w:p>
      <w:pPr>
        <w:ind w:left="1940" w:right="200" w:hanging="644"/>
        <w:spacing w:after="0" w:line="282"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 some of the starting material for drugs and drug candidates from a single source or a limited number of suppliers, and the partial or complete loss of one of these suppliers could cause delays, loss of revenue and contract liability.</w:t>
      </w:r>
    </w:p>
    <w:p>
      <w:pPr>
        <w:spacing w:after="0" w:line="11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Intellectual Property, Litigation and Regulatory Concerns:</w:t>
      </w:r>
    </w:p>
    <w:p>
      <w:pPr>
        <w:spacing w:after="0" w:line="188" w:lineRule="exact"/>
        <w:rPr>
          <w:rFonts w:ascii="Times New Roman" w:cs="Times New Roman" w:eastAsia="Times New Roman" w:hAnsi="Times New Roman"/>
          <w:sz w:val="18"/>
          <w:szCs w:val="18"/>
          <w:color w:val="auto"/>
        </w:rPr>
      </w:pPr>
    </w:p>
    <w:p>
      <w:pPr>
        <w:ind w:left="1940" w:hanging="644"/>
        <w:spacing w:after="0"/>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not obtain regulatory approval for our drug candidates on a timely basis, or at all;</w:t>
      </w:r>
    </w:p>
    <w:p>
      <w:pPr>
        <w:spacing w:after="0" w:line="198" w:lineRule="exact"/>
        <w:rPr>
          <w:rFonts w:ascii="Times New Roman" w:cs="Times New Roman" w:eastAsia="Times New Roman" w:hAnsi="Times New Roman"/>
          <w:sz w:val="18"/>
          <w:szCs w:val="18"/>
          <w:color w:val="auto"/>
        </w:rPr>
      </w:pPr>
    </w:p>
    <w:p>
      <w:pPr>
        <w:jc w:val="both"/>
        <w:ind w:left="1940" w:hanging="644"/>
        <w:spacing w:after="0" w:line="266"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not issue from our patent applications for our drug candidates, patents that have issued may not be enforceable, or additional intellectual property licenses from third parties may be required, which may not be available to us on commercially reasonable terms; and</w:t>
      </w:r>
    </w:p>
    <w:p>
      <w:pPr>
        <w:spacing w:after="0" w:line="135" w:lineRule="exact"/>
        <w:rPr>
          <w:rFonts w:ascii="Times New Roman" w:cs="Times New Roman" w:eastAsia="Times New Roman" w:hAnsi="Times New Roman"/>
          <w:sz w:val="18"/>
          <w:szCs w:val="18"/>
          <w:color w:val="auto"/>
        </w:rPr>
      </w:pPr>
    </w:p>
    <w:p>
      <w:pPr>
        <w:ind w:left="1940" w:right="540" w:hanging="644"/>
        <w:spacing w:after="0" w:line="282"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are involved in legal proceedings and may incur substantial litigation costs and liabilities that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our Collaboration Partners</w:t>
      </w:r>
      <w:r>
        <w:rPr>
          <w:rFonts w:ascii="Times New Roman" w:cs="Times New Roman" w:eastAsia="Times New Roman" w:hAnsi="Times New Roman"/>
          <w:sz w:val="18"/>
          <w:szCs w:val="18"/>
          <w:b w:val="1"/>
          <w:bCs w:val="1"/>
          <w:color w:val="auto"/>
        </w:rPr>
        <w:t>:</w:t>
      </w:r>
    </w:p>
    <w:p>
      <w:pPr>
        <w:spacing w:after="0" w:line="202" w:lineRule="exact"/>
        <w:rPr>
          <w:rFonts w:ascii="Times New Roman" w:cs="Times New Roman" w:eastAsia="Times New Roman" w:hAnsi="Times New Roman"/>
          <w:sz w:val="18"/>
          <w:szCs w:val="18"/>
          <w:color w:val="auto"/>
        </w:rPr>
      </w:pPr>
    </w:p>
    <w:p>
      <w:pPr>
        <w:ind w:left="1940" w:right="100" w:hanging="644"/>
        <w:spacing w:after="0" w:line="261"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advancing rezpegaldesleukin in clinical trials, and while we believe we currently have the materials that are necessary for us to continue clinical development of rezpegaldesleukin, our ability to perform important development and regulatory activities will be significantly harmed if Eli Lilly and Company fails to continue to cooperate with us in the transfer of all materials associated with the rezpegaldesleukin program; and</w:t>
      </w:r>
    </w:p>
    <w:p>
      <w:pPr>
        <w:spacing w:after="0" w:line="139" w:lineRule="exact"/>
        <w:rPr>
          <w:rFonts w:ascii="Times New Roman" w:cs="Times New Roman" w:eastAsia="Times New Roman" w:hAnsi="Times New Roman"/>
          <w:sz w:val="18"/>
          <w:szCs w:val="18"/>
          <w:color w:val="auto"/>
        </w:rPr>
      </w:pPr>
    </w:p>
    <w:p>
      <w:pPr>
        <w:ind w:left="1940" w:hanging="644"/>
        <w:spacing w:after="0" w:line="261"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academic and private non-academic institutions to conduct investigator-sponsored clinical studies or trials of our drug candidates and any failure by the investigator-sponsor to meet its obligations with respect to the clinical development of our drug candidates may delay or impair our ability to enter into collaboration agreements, obtain regulatory approval and commercialize for our drug candidates.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above-mentioned risks, our business is subject to a number of additional risks faced by businesses generally.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2"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Nektar Therapeutics (Nektar, we) is a clinical stage, research-based drug discovery biopharmaceutical company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We apply our deep understanding of immunology to identify and create innovative drug candidates and use our drug development expertise to advance these molecules through preclinical and clinical development. Our pipeline of clinical-stage and preclinical-stage immunomodulatory agents targets the treatment of autoimmune diseases (e.g. rezpegaldesleukin and NKTR-0165, respectively) and cancer (e.g. NKTR-255). We continue to make significant investments in building and advancing our pipeline of drug candidates as we believe that this is the best strategy to build long-term shareholder value.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Candidates and Pipeline</w:t>
      </w:r>
    </w:p>
    <w:p>
      <w:pPr>
        <w:spacing w:after="0" w:line="189"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By modulating the immune system, our drug candidates target pathways that play critical roles in a wide range of serious diseases. In autoimmune diseases, our focus is on addressing imbalances in the immune system to restore the body’s self-tolerance mechanisms and to achieve immune homeostasis. In oncology, we are focused on activating the immune system’s natural tumor-fighting mechanisms.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Autoimmune diseases</w:t>
      </w:r>
    </w:p>
    <w:p>
      <w:pPr>
        <w:spacing w:after="0" w:line="189"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recognize that many autoimmune diseases are caused by an imbalance in the body’s immune system. A failure of the body’s self-tolerance mechanisms enables the formation of pathogenic T cells that cause the immune system to mistakenly attack and damage healthy cells in a person’s body. Current systemic treatments for autoimmune diseases, including corticosteroids and anti-TNF agents, suppress the immune system broadly and come with severe side effects. Pharmaceutical agents designed to rebalance the immune system by increasing the function of regulatory T cells (Treg cells), powerful inhibitory immune cells, could be used to treat patients suffering from autoimmune disorders and inflammatory diseases.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Rezpegaldesleukin</w:t>
      </w:r>
    </w:p>
    <w:p>
      <w:pPr>
        <w:spacing w:after="0" w:line="202"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Our drug candidate rezpegaldesleukin is a potential first-in-class resolution therapeutic that may address this underlying immune system imbalance in people with autoimmune disorders and inflammatory diseases. It is designed to target the interleukin-2 (IL-2) receptor complex in the body in order to stimulate proliferation of Treg cells. By activating these cells, rezpegaldesleukin may act to bring the immune system back into balance. Rezpegaldesleukin is being developed as a once or twice monthly self-administered injection for a number of autoimmune disorders and inflammatory diseases.</w:t>
      </w:r>
    </w:p>
    <w:p>
      <w:pPr>
        <w:spacing w:after="0" w:line="143"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On October 13, 2023, we announced final efficacy data from a Phase 1b study of rezpegaldesleukin in adult patients with atopic dermatitis (Phase 1b AD Study) at the European Academy of Dermatology and Venereolgy conference. The final efficacy data from the Phase 1b AD study showed that patients with moderate-to-severe atopic dermatitis that were treated with rezpegaldesluekin had dose-dependent improvements in the eczema area and severity index (EASI), validated investigated global assessment (vIGA), body surface area (BSA), and itch numeric rating scale (NRS) over twelve weeks of treatment compared to placebo, which were sustained post-treatment over an additional thirty-six weeks. Rezpegaldesleukin was well tolerated with no patients in the rezpegaldesleukin groups experiencing severe, serious, or fatal adverse events, and no anti-rezpegaldesleukin antibodies were detected.</w:t>
      </w:r>
    </w:p>
    <w:p>
      <w:pPr>
        <w:spacing w:after="0" w:line="147" w:lineRule="exact"/>
        <w:rPr>
          <w:sz w:val="20"/>
          <w:szCs w:val="20"/>
          <w:color w:val="auto"/>
        </w:rPr>
      </w:pPr>
    </w:p>
    <w:p>
      <w:pPr>
        <w:ind w:right="140" w:firstLine="644"/>
        <w:spacing w:after="0" w:line="281" w:lineRule="auto"/>
        <w:rPr>
          <w:sz w:val="20"/>
          <w:szCs w:val="20"/>
          <w:color w:val="auto"/>
        </w:rPr>
      </w:pPr>
      <w:r>
        <w:rPr>
          <w:rFonts w:ascii="Times New Roman" w:cs="Times New Roman" w:eastAsia="Times New Roman" w:hAnsi="Times New Roman"/>
          <w:sz w:val="17"/>
          <w:szCs w:val="17"/>
          <w:color w:val="auto"/>
        </w:rPr>
        <w:t>In late October 2023, we initiated a Phase 2b clinical study of rezpegaldesleukin in patients with moderate-to-severe atopic dermatitis, which remains on track for a topline data readout in the first half of 2025. On February 11, 2025, we announced that the U.S. Food and Drug Administration (FDA) had granted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w:t>
      </w:r>
    </w:p>
    <w:p>
      <w:pPr>
        <w:spacing w:after="0" w:line="137"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In March 2024, we initiated a Phase 2b clinical study of rezpegaldesleukin in patients with severe-to-very severe alopecia areata, which remains on track for a topline data readout in the second half of 2025.</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plan to explore other autoimmune indications for the development of rezpegaldesleukin.</w:t>
      </w:r>
    </w:p>
    <w:p>
      <w:pPr>
        <w:spacing w:after="0" w:line="185" w:lineRule="exact"/>
        <w:rPr>
          <w:sz w:val="20"/>
          <w:szCs w:val="20"/>
          <w:color w:val="auto"/>
        </w:rPr>
      </w:pPr>
    </w:p>
    <w:p>
      <w:pPr>
        <w:jc w:val="both"/>
        <w:ind w:right="480" w:firstLine="644"/>
        <w:spacing w:after="0" w:line="266" w:lineRule="auto"/>
        <w:rPr>
          <w:sz w:val="20"/>
          <w:szCs w:val="20"/>
          <w:color w:val="auto"/>
        </w:rPr>
      </w:pPr>
      <w:r>
        <w:rPr>
          <w:rFonts w:ascii="Times New Roman" w:cs="Times New Roman" w:eastAsia="Times New Roman" w:hAnsi="Times New Roman"/>
          <w:sz w:val="18"/>
          <w:szCs w:val="18"/>
          <w:color w:val="auto"/>
        </w:rPr>
        <w:t>On February 24, 2025, we announced that we had entered into a clinical trial agreement with TrialNet, an international clinical trial network focused on diabetes research, to evaluate rezpegaldesleukin in patients with new onset stage 3 type 1 diabetes mellitus (TID). Under the agreement, TrialNet will conduct and provide funding for a Phase 2</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randomized, double-blind, placebo-controlled, clinical trial to investigate the safety and potential efficacy of rezpegaldesleukin in approximately 70 adults and children with new onset stage 3 TID. We will supply rezpegaldesleukin for the trial and will provide support for the study, including pharmacokinetic and other analyses. We will retain all rights to rezpegaldesleukin under the collaboration.</w:t>
      </w:r>
    </w:p>
    <w:p>
      <w:pPr>
        <w:spacing w:after="0" w:line="149"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We developed rezpegaldesleukin and own full rights to this drug candidate. Although we previously entered into a license agreement with Eli Lilly and Company in 2017 (the Lilly Agreement) to develop and commercialize rezpegaldesleukin, on April 23, 2023, we received from Lilly a notice of at-will termination of the Lilly Agreement, and on April 27, 2023, we announced that we would be regaining full rights to rezpegaldesleukin.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NKTR-0165</w:t>
      </w:r>
    </w:p>
    <w:p>
      <w:pPr>
        <w:spacing w:after="0" w:line="189"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believe that our preclinical tumor necrosis factor (TNF) receptor type II (TNFR2) agonist asset is a potentially unique bivalent antibody that selectively stimulates TNFR2 receptor activity, without modulation of the TNFR1 signaling. TNFR2 signaling drives immunoregulatory function and can provide a direct protective effect for tissue cells. TNFR2 is highly expressed on Tregs, neuronal cells and endothelial cells and has been shown to potentiate the suppressive effects and overall functional properties of Tregs. Our focus is on TNFR2 antibody candidates that show selective Treg cell binding and signaling profiles that may be potentially developed for treatment of autoimmune diseases, such as ulcerative colitis, multiple sclerosis and vitiligo. We are currently conducting Investigational New Drug (IND) enabling studies for this program, after having exercised an option to gain an exclusive license to specified agonistic antibodies and other materials that were developed pursuant to a research collaboration and license option agreement we entered into with Biolojic Design, Ltd. in 2021, with the goal of preparing for an IND submission in the second half of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Oncology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NKTR-255</w:t>
      </w:r>
    </w:p>
    <w:p>
      <w:pPr>
        <w:spacing w:after="0" w:line="189"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In oncology, we focus on developing medicines based on targeting biological pathways that stimulate and sustain the body’s immune response in order to fight cancer. NKTR-255 is an investigational biologic that is designed to target the interleukin-15 (IL-15) pathway in order to activate the body’s innate and adaptive immunity. Activation of the IL-15 pathway enhances the survival and function of natural killer (NK) cells and induces survival of both effector and CD8+ memory T cells. Recombinant human IL-15 is rapidly cleared from the body and must be administered frequently and in high doses limiting its utility due to toxicity. Through optimal engagement of the IL-15 receptor complex, NKTR-255 is designed to enhance functional NK cell populations and the formation of long-term immunological memory, which may lead to sustained and durable anti-tumor immune response.</w:t>
      </w:r>
    </w:p>
    <w:p>
      <w:pPr>
        <w:spacing w:after="0" w:line="160" w:lineRule="exact"/>
        <w:rPr>
          <w:sz w:val="20"/>
          <w:szCs w:val="20"/>
          <w:color w:val="auto"/>
        </w:rPr>
      </w:pPr>
    </w:p>
    <w:p>
      <w:pPr>
        <w:ind w:right="20" w:firstLine="644"/>
        <w:spacing w:after="0" w:line="236" w:lineRule="auto"/>
        <w:rPr>
          <w:sz w:val="20"/>
          <w:szCs w:val="20"/>
          <w:color w:val="auto"/>
        </w:rPr>
      </w:pPr>
      <w:r>
        <w:rPr>
          <w:rFonts w:ascii="Times New Roman" w:cs="Times New Roman" w:eastAsia="Times New Roman" w:hAnsi="Times New Roman"/>
          <w:sz w:val="18"/>
          <w:szCs w:val="18"/>
          <w:color w:val="auto"/>
        </w:rPr>
        <w:t>We are continuing select developmental studies of NKTR-255 in combination with cell therapies and checkpoint inhibitors while we evaluate additional strategic partnership pathways for the program. We initiated a Nektar-sponsored Phase 2/3 study to evaluate NKTR-255 following Yescarta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Breyanzi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CD19 CAR-T cell therapy in patients with large B-cell lymphoma, and announced results from the Phase 2 portion of the study at the 66th Annual American Association of Hematology (ASH) Meeting in December 2024. Fred Hutchinson Cancer Center is also evaluating NKTR-255 following Breyanzi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CD19 CAR-T cell therapy in patients with relapsed/refractory large B-cell lymphoma in an investigator sponsored study. We are continuing our oncology clinical collaboration with Merck KGaA to evaluate the maintenance regimen of NKTR-255 in combination with avelumab, a PD-L1 inhibitor, in patients with locally advanced or metastatic urothelial carcinoma in the Phase II JAVELIN Bladder Medley study. We expect to receive topline data from the study in the first half of 2025. We entered into a new clinical study collaboration with AbelZeta Pharma, Inc. (AbelZeta) (formerly known as CBMG Holdings) to study NKTR-255 in combination with its C-TIL051, a tumor-infiltrating lymphocyte (TIL) therapy, in advanced non-small cell lung cancer (NSCLC) patients that are relapsed or refractory to anti-PD-1 therapy. Under the collaboration, we will contribute NKTR-255 and AbelZeta will add NKTR-255 to its ongoing AbelZeta-sponsored Phase 1 clinical trial. We also have an ongoing investigator sponsored study evaluating NKTR-255 in combination with IMFINZI (darvulumab) in patients with unresectable Stage 3 NSCLC who have received chemoradiation.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Programs</w:t>
      </w:r>
    </w:p>
    <w:p>
      <w:pPr>
        <w:spacing w:after="0" w:line="189" w:lineRule="exact"/>
        <w:rPr>
          <w:sz w:val="20"/>
          <w:szCs w:val="20"/>
          <w:color w:val="auto"/>
        </w:rPr>
      </w:pPr>
    </w:p>
    <w:p>
      <w:pPr>
        <w:ind w:right="260" w:firstLine="644"/>
        <w:spacing w:after="0" w:line="261" w:lineRule="auto"/>
        <w:rPr>
          <w:sz w:val="20"/>
          <w:szCs w:val="20"/>
          <w:color w:val="auto"/>
        </w:rPr>
      </w:pPr>
      <w:r>
        <w:rPr>
          <w:rFonts w:ascii="Times New Roman" w:cs="Times New Roman" w:eastAsia="Times New Roman" w:hAnsi="Times New Roman"/>
          <w:sz w:val="18"/>
          <w:szCs w:val="18"/>
          <w:color w:val="auto"/>
        </w:rPr>
        <w:t>We believe it is important to maintain a diverse pipeline of new drug candidates to build on the value of our business. Our discovery research organization continues to leverage its deep understanding of immunology to identify new drug candidates in a wide range of molecule classes, including proteins, peptides and antibodies. We aim to advance our most promising research drug candidates into preclinical development with the objective of advancing these early-stage research programs to human clinical studies over the next several years.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We believe our preclinical PEG-Colony Stimulating Factor (PEG-CSF1) program, NKTR-422, which is a polyethylene glycol modified version of the CSF1 protein that is intended to optimize receptor interaction and to selectively modulate resolution processes of inflammation, has applications in a number of therapeutic indications including acute and chronic inflammation as well as fibrosis. We also maintain our preclinical oncology asset, NKTR-288, which is an investigational PEG conjugate of the protein interferon gamma that is designed utilizing a site-specific conjugation approach to modify binding of interferon gamma with one of its substrates and to optimize the pharmacodynamic duration of interferon gamma signaling. We believe this program has therapeutic applications in oncology as well as in other infectious diseases.</w:t>
      </w:r>
    </w:p>
    <w:p>
      <w:pPr>
        <w:spacing w:after="0" w:line="160"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Many of our drug candidates incorporate advanced and proven polymer conjugate technology, which involves conjugating polyethylene glycol to a pharmaceutically active agent, a process often referred to as “PEGylation.” PEGylation has been a highly effective technology for the development of therapeutics with significant commercial success, such as Amgen’s Neulasta (pegfilgrastim) and UCB’s CIMZIA (certolizumab pegol).</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experience has shown that advanced polymer conjugate technology has the potential to offer one or more of the following benefits:</w:t>
      </w:r>
    </w:p>
    <w:p>
      <w:pPr>
        <w:spacing w:after="0" w:line="158" w:lineRule="exact"/>
        <w:rPr>
          <w:sz w:val="20"/>
          <w:szCs w:val="20"/>
          <w:color w:val="auto"/>
        </w:rPr>
      </w:pPr>
    </w:p>
    <w:p>
      <w:pPr>
        <w:ind w:left="1300" w:right="60" w:hanging="648"/>
        <w:spacing w:after="0" w:line="282" w:lineRule="auto"/>
        <w:tabs>
          <w:tab w:leader="none" w:pos="13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improve efficacy or safety of a drug as a result of better pharmacokinetics, pharmacodynamics, longer half-life and sustained exposure of the drug;</w:t>
      </w:r>
    </w:p>
    <w:p>
      <w:pPr>
        <w:spacing w:after="0" w:line="107" w:lineRule="exact"/>
        <w:rPr>
          <w:rFonts w:ascii="Times New Roman" w:cs="Times New Roman" w:eastAsia="Times New Roman" w:hAnsi="Times New Roman"/>
          <w:sz w:val="15"/>
          <w:szCs w:val="15"/>
          <w:color w:val="auto"/>
        </w:rPr>
      </w:pPr>
    </w:p>
    <w:p>
      <w:pPr>
        <w:ind w:left="1300" w:right="300" w:hanging="648"/>
        <w:spacing w:after="0" w:line="282" w:lineRule="auto"/>
        <w:tabs>
          <w:tab w:leader="none" w:pos="13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improve targeting or binding affinity of a drug to its target receptors with the potential to improve efficacy and reduce toxicity or drug resistance;</w:t>
      </w:r>
    </w:p>
    <w:p>
      <w:pPr>
        <w:spacing w:after="0" w:line="94" w:lineRule="exact"/>
        <w:rPr>
          <w:rFonts w:ascii="Times New Roman" w:cs="Times New Roman" w:eastAsia="Times New Roman" w:hAnsi="Times New Roman"/>
          <w:sz w:val="15"/>
          <w:szCs w:val="15"/>
          <w:color w:val="auto"/>
        </w:rPr>
      </w:pPr>
    </w:p>
    <w:p>
      <w:pPr>
        <w:ind w:left="1300" w:hanging="648"/>
        <w:spacing w:after="0"/>
        <w:tabs>
          <w:tab w:leader="none" w:pos="13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improve solubility of a drug;</w:t>
      </w:r>
    </w:p>
    <w:p>
      <w:pPr>
        <w:spacing w:after="0" w:line="157" w:lineRule="exact"/>
        <w:rPr>
          <w:rFonts w:ascii="Times New Roman" w:cs="Times New Roman" w:eastAsia="Times New Roman" w:hAnsi="Times New Roman"/>
          <w:sz w:val="15"/>
          <w:szCs w:val="15"/>
          <w:color w:val="auto"/>
        </w:rPr>
      </w:pPr>
    </w:p>
    <w:p>
      <w:pPr>
        <w:ind w:left="1300" w:right="220" w:hanging="648"/>
        <w:spacing w:after="0" w:line="282" w:lineRule="auto"/>
        <w:tabs>
          <w:tab w:leader="none" w:pos="13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enable oral administration of parenterally-administered drugs, or drugs that must be administered intravenously or subcutaneously, and increase oral bioavailability of small molecules;</w:t>
      </w:r>
    </w:p>
    <w:p>
      <w:pPr>
        <w:spacing w:after="0" w:line="107" w:lineRule="exact"/>
        <w:rPr>
          <w:rFonts w:ascii="Times New Roman" w:cs="Times New Roman" w:eastAsia="Times New Roman" w:hAnsi="Times New Roman"/>
          <w:sz w:val="15"/>
          <w:szCs w:val="15"/>
          <w:color w:val="auto"/>
        </w:rPr>
      </w:pPr>
    </w:p>
    <w:p>
      <w:pPr>
        <w:ind w:left="1300" w:right="120" w:hanging="648"/>
        <w:spacing w:after="0" w:line="282" w:lineRule="auto"/>
        <w:tabs>
          <w:tab w:leader="none" w:pos="13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reduce first-pass metabolism effects of certain drug classes with the potential to improve efficacy, which could reduce the need for other medicines and reduce toxicity;</w:t>
      </w:r>
    </w:p>
    <w:p>
      <w:pPr>
        <w:spacing w:after="0" w:line="94" w:lineRule="exact"/>
        <w:rPr>
          <w:rFonts w:ascii="Times New Roman" w:cs="Times New Roman" w:eastAsia="Times New Roman" w:hAnsi="Times New Roman"/>
          <w:sz w:val="15"/>
          <w:szCs w:val="15"/>
          <w:color w:val="auto"/>
        </w:rPr>
      </w:pPr>
    </w:p>
    <w:p>
      <w:pPr>
        <w:ind w:left="1300" w:right="100" w:hanging="648"/>
        <w:spacing w:after="0" w:line="282" w:lineRule="auto"/>
        <w:tabs>
          <w:tab w:leader="none" w:pos="13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reduce the rates of drug absorption and of elimination or metabolism by improving stability of the drug in the body and providing it with more time to act on its target;</w:t>
      </w:r>
    </w:p>
    <w:p>
      <w:pPr>
        <w:spacing w:after="0" w:line="94" w:lineRule="exact"/>
        <w:rPr>
          <w:rFonts w:ascii="Times New Roman" w:cs="Times New Roman" w:eastAsia="Times New Roman" w:hAnsi="Times New Roman"/>
          <w:sz w:val="15"/>
          <w:szCs w:val="15"/>
          <w:color w:val="auto"/>
        </w:rPr>
      </w:pPr>
    </w:p>
    <w:p>
      <w:pPr>
        <w:ind w:left="1300" w:hanging="648"/>
        <w:spacing w:after="0"/>
        <w:tabs>
          <w:tab w:leader="none" w:pos="13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differentially alter binding affinity of a drug for multiple receptors, improving its selectivity for one receptor over another; and</w:t>
      </w:r>
    </w:p>
    <w:p>
      <w:pPr>
        <w:spacing w:after="0" w:line="171" w:lineRule="exact"/>
        <w:rPr>
          <w:rFonts w:ascii="Times New Roman" w:cs="Times New Roman" w:eastAsia="Times New Roman" w:hAnsi="Times New Roman"/>
          <w:sz w:val="15"/>
          <w:szCs w:val="15"/>
          <w:color w:val="auto"/>
        </w:rPr>
      </w:pPr>
    </w:p>
    <w:p>
      <w:pPr>
        <w:ind w:left="1300" w:hanging="648"/>
        <w:spacing w:after="0"/>
        <w:tabs>
          <w:tab w:leader="none" w:pos="13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reduce immune response to certain macromolecules with the potential to prolong their effectiveness with repeated doses.</w:t>
      </w:r>
    </w:p>
    <w:p>
      <w:pPr>
        <w:spacing w:after="0" w:line="185" w:lineRule="exact"/>
        <w:rPr>
          <w:sz w:val="20"/>
          <w:szCs w:val="20"/>
          <w:color w:val="auto"/>
        </w:rPr>
      </w:pPr>
    </w:p>
    <w:p>
      <w:pPr>
        <w:jc w:val="both"/>
        <w:ind w:right="200" w:firstLine="644"/>
        <w:spacing w:after="0" w:line="312" w:lineRule="auto"/>
        <w:rPr>
          <w:sz w:val="20"/>
          <w:szCs w:val="20"/>
          <w:color w:val="auto"/>
        </w:rPr>
      </w:pPr>
      <w:r>
        <w:rPr>
          <w:rFonts w:ascii="Times New Roman" w:cs="Times New Roman" w:eastAsia="Times New Roman" w:hAnsi="Times New Roman"/>
          <w:sz w:val="17"/>
          <w:szCs w:val="17"/>
          <w:color w:val="auto"/>
        </w:rPr>
        <w:t>We believe that our substantial investment in research and development has the potential to create significant value if one or more of our current drug candidates demonstrates positive clinical results, receives regulatory approval in one or more major markets and achieves commercial success.</w:t>
      </w:r>
    </w:p>
    <w:p>
      <w:pPr>
        <w:spacing w:after="0" w:line="140" w:lineRule="exact"/>
        <w:rPr>
          <w:sz w:val="20"/>
          <w:szCs w:val="20"/>
          <w:color w:val="auto"/>
        </w:rPr>
      </w:pPr>
    </w:p>
    <w:p>
      <w:pPr>
        <w:jc w:val="both"/>
        <w:ind w:right="200" w:firstLine="749"/>
        <w:spacing w:after="0" w:line="261" w:lineRule="auto"/>
        <w:rPr>
          <w:sz w:val="20"/>
          <w:szCs w:val="20"/>
          <w:color w:val="auto"/>
        </w:rPr>
      </w:pPr>
      <w:r>
        <w:rPr>
          <w:rFonts w:ascii="Times New Roman" w:cs="Times New Roman" w:eastAsia="Times New Roman" w:hAnsi="Times New Roman"/>
          <w:sz w:val="18"/>
          <w:szCs w:val="18"/>
          <w:color w:val="auto"/>
        </w:rPr>
        <w:t>We previously owned a manufacturing facility in Huntsville, Alabama (the Facility), which manufactured our proprietary polyethylene glycol reagents (PEG reagents) for our PEGylation and advanced polymer conjugate technology operations. As discussed in Notes 1 and 12 to our Consolidated Financial Statements, in December 2024, we sold the Facility and assigned our manufacturing and supply agreements to Gannet BioChem, an affiliate of Ampersand Management LLC d/b/a Ampersand Capital Partners.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 Partner Programs</w:t>
      </w:r>
    </w:p>
    <w:p>
      <w:pPr>
        <w:spacing w:after="0" w:line="202"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decide on a drug-candidate-by-drug-candidate basis, how far to advance clinical development (e.g., Phase 1, 2 or 3) and whether to commercialize products on our own, or seek a partner, or pursue a combination of these approaches. When we determine to seek a partner, our strategy is to selectively access a partner’s development, regulatory, or commercial capabilities with the structure of the collaboration depending on factors such as economic risk sharing, the cost and complexity of development, marketing and commercialization needs, therapeutic areas, potential for combination of drug programs, and geographic capabilities.</w:t>
      </w:r>
    </w:p>
    <w:p>
      <w:pPr>
        <w:spacing w:after="0" w:line="143"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Our collaboration partners have advanced drug candidates we invented into commercial drug products. In addition, through our collaborations and licensing partnerships with a number of well-known biotechnology and pharmaceutical companies, more than ten products using PEGylation technology have received regulatory approval in the U.S. or Europe. The following table outlines our prior collaborations and licensing partnerships. These collaborations generally contain one or more elements including a license to our intellectual property rights and manufacturing and supply agreements under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 may receive or have previously received manufacturing revenue, milestone payments, and/or royalties on commercial sales of drug products.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98" w:lineRule="exact"/>
        <w:rPr>
          <w:sz w:val="20"/>
          <w:szCs w:val="20"/>
          <w:color w:val="auto"/>
        </w:rPr>
      </w:pPr>
    </w:p>
    <w:p>
      <w:pPr>
        <w:ind w:left="20" w:right="60"/>
        <w:spacing w:after="0" w:line="231" w:lineRule="auto"/>
        <w:rPr>
          <w:sz w:val="20"/>
          <w:szCs w:val="20"/>
          <w:color w:val="auto"/>
        </w:rPr>
      </w:pPr>
      <w:r>
        <w:rPr>
          <w:rFonts w:ascii="Times New Roman" w:cs="Times New Roman" w:eastAsia="Times New Roman" w:hAnsi="Times New Roman"/>
          <w:sz w:val="18"/>
          <w:szCs w:val="18"/>
          <w:color w:val="auto"/>
        </w:rPr>
        <w:t>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ADYNOVI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name for 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Europe)</w:t>
      </w:r>
    </w:p>
    <w:p>
      <w:pPr>
        <w:spacing w:after="0" w:line="117" w:lineRule="exact"/>
        <w:rPr>
          <w:sz w:val="20"/>
          <w:szCs w:val="20"/>
          <w:color w:val="auto"/>
        </w:rPr>
      </w:pPr>
    </w:p>
    <w:p>
      <w:pPr>
        <w:ind w:left="20" w:right="200"/>
        <w:spacing w:after="0" w:line="217" w:lineRule="auto"/>
        <w:rPr>
          <w:sz w:val="20"/>
          <w:szCs w:val="20"/>
          <w:color w:val="auto"/>
        </w:rPr>
      </w:pPr>
      <w:r>
        <w:rPr>
          <w:rFonts w:ascii="Times New Roman" w:cs="Times New Roman" w:eastAsia="Times New Roman" w:hAnsi="Times New Roman"/>
          <w:sz w:val="18"/>
          <w:szCs w:val="18"/>
          <w:color w:val="auto"/>
        </w:rPr>
        <w:t>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(naloxegol tablets) and MOVENTIG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name for 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Europe)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(certolizumab pegol)</w:t>
      </w:r>
    </w:p>
    <w:p>
      <w:pPr>
        <w:spacing w:after="0" w:line="372" w:lineRule="exact"/>
        <w:rPr>
          <w:sz w:val="20"/>
          <w:szCs w:val="20"/>
          <w:color w:val="auto"/>
        </w:rPr>
      </w:pPr>
    </w:p>
    <w:p>
      <w:pPr>
        <w:ind w:left="20"/>
        <w:spacing w:after="0" w:line="233" w:lineRule="auto"/>
        <w:rPr>
          <w:sz w:val="20"/>
          <w:szCs w:val="20"/>
          <w:color w:val="auto"/>
        </w:rPr>
      </w:pPr>
      <w:r>
        <w:rPr>
          <w:rFonts w:ascii="Times New Roman" w:cs="Times New Roman" w:eastAsia="Times New Roman" w:hAnsi="Times New Roman"/>
          <w:sz w:val="18"/>
          <w:szCs w:val="18"/>
          <w:color w:val="auto"/>
        </w:rPr>
        <w:t>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(C.E.R.A.) (Continuous Erythropoietin Receptor Activator)</w:t>
      </w: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Macugen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(pegaptanib sodium injection)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Primary or Target</w:t>
            </w:r>
          </w:p>
        </w:tc>
        <w:tc>
          <w:tcPr>
            <w:tcW w:w="2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Drug</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31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Indications</w:t>
            </w:r>
          </w:p>
        </w:tc>
        <w:tc>
          <w:tcPr>
            <w:tcW w:w="120" w:type="dxa"/>
            <w:vAlign w:val="bottom"/>
          </w:tcPr>
          <w:p>
            <w:pPr>
              <w:spacing w:after="0"/>
              <w:rPr>
                <w:sz w:val="20"/>
                <w:szCs w:val="20"/>
                <w:color w:val="auto"/>
              </w:rPr>
            </w:pPr>
          </w:p>
        </w:tc>
        <w:tc>
          <w:tcPr>
            <w:tcW w:w="23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Marketer/Partner</w:t>
            </w:r>
          </w:p>
        </w:tc>
        <w:tc>
          <w:tcPr>
            <w:tcW w:w="120" w:type="dxa"/>
            <w:vAlign w:val="bottom"/>
          </w:tcPr>
          <w:p>
            <w:pPr>
              <w:spacing w:after="0"/>
              <w:rPr>
                <w:sz w:val="20"/>
                <w:szCs w:val="20"/>
                <w:color w:val="auto"/>
              </w:rPr>
            </w:pPr>
          </w:p>
        </w:tc>
        <w:tc>
          <w:tcPr>
            <w:tcW w:w="1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Status(1)</w:t>
            </w:r>
          </w:p>
        </w:tc>
      </w:tr>
      <w:tr>
        <w:trPr>
          <w:trHeight w:val="407"/>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Hemophilia A</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Takeda Pharmaceutical</w:t>
            </w:r>
          </w:p>
        </w:tc>
        <w:tc>
          <w:tcPr>
            <w:tcW w:w="12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2015*</w:t>
            </w:r>
          </w:p>
        </w:tc>
      </w:t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Limited</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4"/>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Opioid-induced constipation in adult</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AstraZeneca AB</w:t>
            </w:r>
          </w:p>
        </w:tc>
        <w:tc>
          <w:tcPr>
            <w:tcW w:w="12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2014*</w:t>
            </w:r>
          </w:p>
        </w:tc>
      </w:tr>
      <w:tr>
        <w:trPr>
          <w:trHeight w:val="216"/>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patients with chronic non-cancer pain (US);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Opioid-induced constipation in adult</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patients who have and inadequate response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 laxatives (EU).</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4"/>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Crohn’s disease, Rheumatoid arthritis, and</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UCB Pharma</w:t>
            </w:r>
          </w:p>
        </w:tc>
        <w:tc>
          <w:tcPr>
            <w:tcW w:w="12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2008**</w:t>
            </w:r>
          </w:p>
        </w:tc>
      </w:tr>
      <w:tr>
        <w:trPr>
          <w:trHeight w:val="234"/>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Psoriasis/ Ankylosing Spondylitis</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Anemia associated with chronic kidney</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 Hoffmann-La Roche Ltd</w:t>
            </w:r>
          </w:p>
        </w:tc>
        <w:tc>
          <w:tcPr>
            <w:tcW w:w="1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Approved 2007**</w:t>
            </w: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disease in patients on dialysis and patients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 on dialysis</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Age-related macular degeneration</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Bausch Health Companies Inc.</w:t>
            </w:r>
          </w:p>
        </w:tc>
        <w:tc>
          <w:tcPr>
            <w:tcW w:w="1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Approved 2004</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(formerly, Valeant</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International,</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178" w:lineRule="exact"/>
        <w:rPr>
          <w:sz w:val="20"/>
          <w:szCs w:val="20"/>
          <w:color w:val="auto"/>
        </w:rPr>
      </w:pPr>
    </w:p>
    <w:p>
      <w:pPr>
        <w:sectPr>
          <w:pgSz w:w="11900" w:h="16838" w:orient="portrait"/>
          <w:cols w:equalWidth="0" w:num="2">
            <w:col w:w="3780" w:space="160"/>
            <w:col w:w="7300"/>
          </w:cols>
          <w:pgMar w:left="320" w:top="117" w:right="339" w:bottom="1440" w:gutter="0" w:footer="0" w:header="0"/>
          <w:type w:val="continuous"/>
        </w:sectPr>
      </w:pPr>
    </w:p>
    <w:p>
      <w:pPr>
        <w:ind w:left="20"/>
        <w:spacing w:after="0"/>
        <w:tabs>
          <w:tab w:leader="none" w:pos="3940" w:val="left"/>
          <w:tab w:leader="none" w:pos="7220" w:val="left"/>
          <w:tab w:leader="none" w:pos="9660" w:val="left"/>
        </w:tabs>
        <w:rPr>
          <w:sz w:val="20"/>
          <w:szCs w:val="20"/>
          <w:color w:val="auto"/>
        </w:rPr>
      </w:pPr>
      <w:r>
        <w:rPr>
          <w:rFonts w:ascii="Times New Roman" w:cs="Times New Roman" w:eastAsia="Times New Roman" w:hAnsi="Times New Roman"/>
          <w:sz w:val="18"/>
          <w:szCs w:val="18"/>
          <w:color w:val="auto"/>
        </w:rPr>
        <w:t>Somavert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(pegvisomant)</w:t>
      </w:r>
      <w:r>
        <w:rPr>
          <w:sz w:val="20"/>
          <w:szCs w:val="20"/>
          <w:color w:val="auto"/>
        </w:rPr>
        <w:tab/>
      </w:r>
      <w:r>
        <w:rPr>
          <w:rFonts w:ascii="Times New Roman" w:cs="Times New Roman" w:eastAsia="Times New Roman" w:hAnsi="Times New Roman"/>
          <w:sz w:val="18"/>
          <w:szCs w:val="18"/>
          <w:color w:val="auto"/>
        </w:rPr>
        <w:t>Acromegaly</w:t>
      </w:r>
      <w:r>
        <w:rPr>
          <w:sz w:val="20"/>
          <w:szCs w:val="20"/>
          <w:color w:val="auto"/>
        </w:rPr>
        <w:tab/>
      </w:r>
      <w:r>
        <w:rPr>
          <w:rFonts w:ascii="Times New Roman" w:cs="Times New Roman" w:eastAsia="Times New Roman" w:hAnsi="Times New Roman"/>
          <w:sz w:val="18"/>
          <w:szCs w:val="18"/>
          <w:color w:val="auto"/>
        </w:rPr>
        <w:t>Pfizer Inc.</w:t>
      </w:r>
      <w:r>
        <w:rPr>
          <w:sz w:val="20"/>
          <w:szCs w:val="20"/>
          <w:color w:val="auto"/>
        </w:rPr>
        <w:tab/>
      </w:r>
      <w:r>
        <w:rPr>
          <w:rFonts w:ascii="Times New Roman" w:cs="Times New Roman" w:eastAsia="Times New Roman" w:hAnsi="Times New Roman"/>
          <w:sz w:val="18"/>
          <w:szCs w:val="18"/>
          <w:color w:val="auto"/>
        </w:rPr>
        <w:t>Approved 2003</w:t>
      </w:r>
    </w:p>
    <w:p>
      <w:pPr>
        <w:spacing w:after="0" w:line="176" w:lineRule="exact"/>
        <w:rPr>
          <w:sz w:val="20"/>
          <w:szCs w:val="20"/>
          <w:color w:val="auto"/>
        </w:rPr>
      </w:pPr>
    </w:p>
    <w:p>
      <w:pPr>
        <w:ind w:left="20"/>
        <w:spacing w:after="0"/>
        <w:tabs>
          <w:tab w:leader="none" w:pos="3940" w:val="left"/>
          <w:tab w:leader="none" w:pos="7220" w:val="left"/>
          <w:tab w:leader="none" w:pos="9660" w:val="left"/>
        </w:tabs>
        <w:rPr>
          <w:sz w:val="20"/>
          <w:szCs w:val="20"/>
          <w:color w:val="auto"/>
        </w:rPr>
      </w:pPr>
      <w:r>
        <w:rPr>
          <w:rFonts w:ascii="Times New Roman" w:cs="Times New Roman" w:eastAsia="Times New Roman" w:hAnsi="Times New Roman"/>
          <w:sz w:val="18"/>
          <w:szCs w:val="18"/>
          <w:color w:val="auto"/>
        </w:rPr>
        <w:t>Dapirolizumab Pegol</w:t>
      </w:r>
      <w:r>
        <w:rPr>
          <w:sz w:val="20"/>
          <w:szCs w:val="20"/>
          <w:color w:val="auto"/>
        </w:rPr>
        <w:tab/>
      </w:r>
      <w:r>
        <w:rPr>
          <w:rFonts w:ascii="Times New Roman" w:cs="Times New Roman" w:eastAsia="Times New Roman" w:hAnsi="Times New Roman"/>
          <w:sz w:val="18"/>
          <w:szCs w:val="18"/>
          <w:color w:val="auto"/>
        </w:rPr>
        <w:t>Systemic Lupus Erythematosus</w:t>
      </w:r>
      <w:r>
        <w:rPr>
          <w:sz w:val="20"/>
          <w:szCs w:val="20"/>
          <w:color w:val="auto"/>
        </w:rPr>
        <w:tab/>
      </w:r>
      <w:r>
        <w:rPr>
          <w:rFonts w:ascii="Times New Roman" w:cs="Times New Roman" w:eastAsia="Times New Roman" w:hAnsi="Times New Roman"/>
          <w:sz w:val="18"/>
          <w:szCs w:val="18"/>
          <w:color w:val="auto"/>
        </w:rPr>
        <w:t>UCB Pharma (Biogen)</w:t>
      </w:r>
      <w:r>
        <w:rPr>
          <w:sz w:val="20"/>
          <w:szCs w:val="20"/>
          <w:color w:val="auto"/>
        </w:rPr>
        <w:tab/>
      </w:r>
      <w:r>
        <w:rPr>
          <w:rFonts w:ascii="Times New Roman" w:cs="Times New Roman" w:eastAsia="Times New Roman" w:hAnsi="Times New Roman"/>
          <w:sz w:val="18"/>
          <w:szCs w:val="18"/>
          <w:color w:val="auto"/>
        </w:rPr>
        <w:t>Phase 3</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Status definitions are:</w:t>
      </w:r>
    </w:p>
    <w:p>
      <w:pPr>
        <w:spacing w:after="0" w:line="27" w:lineRule="exact"/>
        <w:rPr>
          <w:rFonts w:ascii="Times New Roman" w:cs="Times New Roman" w:eastAsia="Times New Roman" w:hAnsi="Times New Roman"/>
          <w:sz w:val="15"/>
          <w:szCs w:val="15"/>
          <w:color w:val="auto"/>
        </w:rPr>
      </w:pPr>
    </w:p>
    <w:p>
      <w:pPr>
        <w:ind w:left="340" w:right="120"/>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Approved </w:t>
      </w:r>
      <w:r>
        <w:rPr>
          <w:rFonts w:ascii="Times New Roman" w:cs="Times New Roman" w:eastAsia="Times New Roman" w:hAnsi="Times New Roman"/>
          <w:sz w:val="18"/>
          <w:szCs w:val="18"/>
          <w:color w:val="auto"/>
        </w:rPr>
        <w:t>— regulatory approval to market and sell product obtained in one or more of the U.S., EU or other countries. Year indicates first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w:t>
      </w:r>
    </w:p>
    <w:p>
      <w:pPr>
        <w:ind w:left="3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drug candidate in large-scale clinical trials conducted to obtain regulatory approval to market and sell the drug (these trials are typically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initiated following encouraging Phase 2 trial results).</w:t>
      </w:r>
    </w:p>
    <w:p>
      <w:pPr>
        <w:spacing w:after="0" w:line="9" w:lineRule="exact"/>
        <w:rPr>
          <w:sz w:val="20"/>
          <w:szCs w:val="20"/>
          <w:color w:val="auto"/>
        </w:rPr>
      </w:pPr>
    </w:p>
    <w:p>
      <w:pPr>
        <w:ind w:left="340" w:right="60" w:hanging="319"/>
        <w:spacing w:after="0" w:line="220" w:lineRule="auto"/>
        <w:tabs>
          <w:tab w:leader="none" w:pos="3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pursuant to a purchase and sale agreement (the “2020 Purchase and Sale Agreement”) we sold to entities managed by Healthcare Royalty Management, LLC (HCR) our rights to receive royalties on future worldwide new sales of 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/ADYNOVI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/MOVANTIG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well as REBINYN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specified licensed products under a Right to Sublicense Agreement, dated October 27, 2017) from and after October 1, 2020 until HCR had received payments equal to $210.0 million (the “2025 Threshold”), if the 2025 Threshold were achieved on or prior to December 31, 2025, or $240.0 million, if the 2025 Threshold was not achieved on or prior to December 31, 2025 (or, if earlier,</w:t>
      </w:r>
    </w:p>
    <w:p>
      <w:pPr>
        <w:spacing w:after="0" w:line="5" w:lineRule="exact"/>
        <w:rPr>
          <w:sz w:val="20"/>
          <w:szCs w:val="20"/>
          <w:color w:val="auto"/>
        </w:rPr>
      </w:pPr>
    </w:p>
    <w:p>
      <w:pPr>
        <w:ind w:left="340" w:right="360"/>
        <w:spacing w:after="0" w:line="235" w:lineRule="auto"/>
        <w:rPr>
          <w:sz w:val="20"/>
          <w:szCs w:val="20"/>
          <w:color w:val="auto"/>
        </w:rPr>
      </w:pPr>
      <w:r>
        <w:rPr>
          <w:rFonts w:ascii="Times New Roman" w:cs="Times New Roman" w:eastAsia="Times New Roman" w:hAnsi="Times New Roman"/>
          <w:sz w:val="18"/>
          <w:szCs w:val="18"/>
          <w:color w:val="auto"/>
        </w:rPr>
        <w:t>the date on which the last royalty payment under the relevant license agreements is made). On March 4, 2024, Nektar and HCR amended the 2020 Purchase and Sale Agreement to remove the cap on the royalties in exchange for a $15.0 million payment to Nektar.</w:t>
      </w:r>
    </w:p>
    <w:p>
      <w:pPr>
        <w:ind w:left="20"/>
        <w:spacing w:after="0"/>
        <w:rPr>
          <w:sz w:val="20"/>
          <w:szCs w:val="20"/>
          <w:color w:val="auto"/>
        </w:rPr>
      </w:pPr>
      <w:r>
        <w:rPr>
          <w:rFonts w:ascii="Times New Roman" w:cs="Times New Roman" w:eastAsia="Times New Roman" w:hAnsi="Times New Roman"/>
          <w:sz w:val="18"/>
          <w:szCs w:val="18"/>
          <w:color w:val="auto"/>
        </w:rPr>
        <w:t>**  In February 2012, we sold our rights to receive royalties on future worldwide net sales of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effective as of January 1, 2012.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and Approval Process</w:t>
      </w:r>
    </w:p>
    <w:p>
      <w:pPr>
        <w:spacing w:after="0" w:line="187"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The research and development, clinical testing, manufacture and marketing of our drug candidates and products using our technologies are subject to regulation by the FDA and by comparable regulatory agencies in other countries. These national agencies and other federal, state and local entities regulate, among other things, research and development activities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and the testing (in vitro, in animals, and in human clinical trials), manufacture, labeling, storage, recordkeeping, approval, marketing, advertising and promotion of our products.</w:t>
      </w:r>
    </w:p>
    <w:p>
      <w:pPr>
        <w:spacing w:after="0" w:line="135" w:lineRule="exact"/>
        <w:rPr>
          <w:sz w:val="20"/>
          <w:szCs w:val="20"/>
          <w:color w:val="auto"/>
        </w:rPr>
      </w:pPr>
    </w:p>
    <w:p>
      <w:pPr>
        <w:jc w:val="both"/>
        <w:ind w:right="100" w:firstLine="644"/>
        <w:spacing w:after="0" w:line="266" w:lineRule="auto"/>
        <w:rPr>
          <w:sz w:val="20"/>
          <w:szCs w:val="20"/>
          <w:color w:val="auto"/>
        </w:rPr>
      </w:pPr>
      <w:r>
        <w:rPr>
          <w:rFonts w:ascii="Times New Roman" w:cs="Times New Roman" w:eastAsia="Times New Roman" w:hAnsi="Times New Roman"/>
          <w:sz w:val="18"/>
          <w:szCs w:val="18"/>
          <w:color w:val="auto"/>
        </w:rPr>
        <w:t>Among other things, the approval process required by the FDA before a drug candidate may be marketed in the U.S. will depend on whether the chemical composition of the active chemical ingredient in the drug candidate has previously been approved for use in other dosage forms. If the product is a new chemical entity that has not been previously approved, the process includes the following:</w:t>
      </w:r>
    </w:p>
    <w:p>
      <w:pPr>
        <w:spacing w:after="0" w:line="108" w:lineRule="exact"/>
        <w:rPr>
          <w:sz w:val="20"/>
          <w:szCs w:val="20"/>
          <w:color w:val="auto"/>
        </w:rPr>
      </w:pPr>
    </w:p>
    <w:p>
      <w:pPr>
        <w:ind w:left="1300" w:hanging="648"/>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preclinical laboratory and animal testing;</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Investigational New Drug (IND) prior to commencing clinical trials;</w:t>
      </w:r>
    </w:p>
    <w:p>
      <w:pPr>
        <w:spacing w:after="0" w:line="17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drug for the intended indication;</w:t>
      </w:r>
    </w:p>
    <w:p>
      <w:pPr>
        <w:spacing w:after="0" w:line="157" w:lineRule="exact"/>
        <w:rPr>
          <w:rFonts w:ascii="Times New Roman" w:cs="Times New Roman" w:eastAsia="Times New Roman" w:hAnsi="Times New Roman"/>
          <w:sz w:val="18"/>
          <w:szCs w:val="18"/>
          <w:color w:val="auto"/>
        </w:rPr>
      </w:pPr>
    </w:p>
    <w:p>
      <w:pPr>
        <w:ind w:left="1300" w:right="560" w:hanging="648"/>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pharmaceutical development for the characterization of the chemistry, manufacturing process and controls for the active ingredient and drug product; and</w:t>
      </w:r>
    </w:p>
    <w:p>
      <w:pPr>
        <w:spacing w:after="0" w:line="94" w:lineRule="exact"/>
        <w:rPr>
          <w:rFonts w:ascii="Times New Roman" w:cs="Times New Roman" w:eastAsia="Times New Roman" w:hAnsi="Times New Roman"/>
          <w:sz w:val="18"/>
          <w:szCs w:val="18"/>
          <w:color w:val="auto"/>
        </w:rPr>
      </w:pPr>
    </w:p>
    <w:p>
      <w:pPr>
        <w:ind w:left="1300" w:hanging="648"/>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for approval of a drug or a Biological License Application (BLA) for approval of a biological product.</w:t>
      </w:r>
    </w:p>
    <w:p>
      <w:pPr>
        <w:spacing w:after="0" w:line="135" w:lineRule="exact"/>
        <w:rPr>
          <w:sz w:val="20"/>
          <w:szCs w:val="20"/>
          <w:color w:val="auto"/>
        </w:rPr>
      </w:pPr>
    </w:p>
    <w:p>
      <w:pPr>
        <w:ind w:right="260" w:firstLine="644"/>
        <w:spacing w:after="0" w:line="261" w:lineRule="auto"/>
        <w:rPr>
          <w:sz w:val="20"/>
          <w:szCs w:val="20"/>
          <w:color w:val="auto"/>
        </w:rPr>
      </w:pPr>
      <w:r>
        <w:rPr>
          <w:rFonts w:ascii="Times New Roman" w:cs="Times New Roman" w:eastAsia="Times New Roman" w:hAnsi="Times New Roman"/>
          <w:sz w:val="18"/>
          <w:szCs w:val="18"/>
          <w:color w:val="auto"/>
        </w:rPr>
        <w:t>If the active chemical ingredient has been previously approved by the FDA, the approval process is similar, except that certain preclinical tests, including those relating to systemic toxicity normally required for the IND, as well as for NDA or BLA, and clinical trials, may not be necessary if the company has a right of reference to existing preclinical or clinical data under Section 505(j) of the Federal Food, Drug, and Cosmetic Act (FDCA) or is eligible for approval under Section 505(b)(2) of the FDCA or the biosimilars provisions of the Public Health Services Act.</w:t>
      </w:r>
    </w:p>
    <w:p>
      <w:pPr>
        <w:spacing w:after="0" w:line="139"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and animal studies to assess the safety and efficacy of the product and its chosen formulation. Preclinical safety tests must be conducted by laboratories that comply with FDA good laboratory practices (GLP) regulations. The results of the preclinical tests for drugs, biological products and combination products subject to the primary jurisdiction of the FDA’s Center for Drug Evaluation and Research (CDER) or Center for Biologics Evaluation and Research (CBER) are submitted to the FDA as part of the IND and are reviewed by the FDA before clinical trials can begin. Clinical trials may begin 30 days after receipt of the IND by the FDA, unless the FDA raises objections or requires clarification within that period. Clinical trials involve the administration of the drug to healthy volunteers or patients under the supervision of a qualified, identified medical investigator according to a protocol submitted in the IND for FDA review. Drug products to be used in clinical trials must be manufactured according to current good manufacturing practices (cGMP). Clinical trials are conducted in accordance with protocols that detail the objectives of the study and the parameters to be used to monitor participant safety and product efficacy as well as other criteria to be evaluated in the study. Each protocol is submitted to the FDA in the IND.</w:t>
      </w:r>
    </w:p>
    <w:p>
      <w:pPr>
        <w:spacing w:after="0" w:line="154"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Apart from the IND process described above, each clinical study must be reviewed by an independent Institutional Review Board (IRB), and the IRB must be kept current with respect to the status of the clinical study. The IRB considers, among other things, ethical factors, the potential risks to subjects participating in the trial and the possible liability to the institution where the trial is conducted. The IRB also reviews and approves the informed consent form to be signed by the trial participants and any significant changes in the clinical trial.</w:t>
      </w:r>
    </w:p>
    <w:p>
      <w:pPr>
        <w:spacing w:after="0" w:line="153" w:lineRule="exact"/>
        <w:rPr>
          <w:sz w:val="20"/>
          <w:szCs w:val="20"/>
          <w:color w:val="auto"/>
        </w:rPr>
      </w:pPr>
    </w:p>
    <w:p>
      <w:pPr>
        <w:jc w:val="both"/>
        <w:ind w:right="140" w:firstLine="644"/>
        <w:spacing w:after="0" w:line="266"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Phase 1 involves the initial introduction of the drug into healthy human subjects (in most cases) and the product generally is tested for tolerability, pharmacokinetics, absorption, metabolism and excretion. Phase 2 involves studies in a limited patient population to:</w:t>
      </w:r>
    </w:p>
    <w:p>
      <w:pPr>
        <w:spacing w:after="0" w:line="108" w:lineRule="exact"/>
        <w:rPr>
          <w:sz w:val="20"/>
          <w:szCs w:val="20"/>
          <w:color w:val="auto"/>
        </w:rPr>
      </w:pPr>
    </w:p>
    <w:p>
      <w:pPr>
        <w:ind w:left="1300" w:hanging="648"/>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preliminary efficacy of the product for specific targeted indications;</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dosage and regimen of administration; and</w:t>
      </w:r>
    </w:p>
    <w:p>
      <w:pPr>
        <w:spacing w:after="0" w:line="17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possible adverse effects and safety risks.</w:t>
      </w:r>
    </w:p>
    <w:p>
      <w:pPr>
        <w:spacing w:after="0" w:line="185"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If Phase 2 trials demonstrate that a product appears to be effective and to have an acceptable safety profile, Phase 3 trials are typically undertaken to evaluate the further clinical efficacy and safety of the drug and formulation within an expanded patient population at geographically dispersed clinical study sites and in large enough trials to provide statistical proof of efficacy and tolerability. The FDA, the clinical trial sponsor, the investigators or the IRB may suspend clinical trials at any time if, amongst other reasons, any one of them believes that study participants are being subjected to an unacceptable health risk. In some cases, the FDA and the drug sponsor may determine that Phase 2 trials are not needed prior to entering Phase 3 trials.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Following a series of formal meetings and communications between the drug sponsor and the regulatory agencies, the results of product development, preclinical studies and clinical studies are submitted to the FDA as an NDA or BLA for approval of the marketing and commercial shipment of the drug product. The FDA may deny approval if applicable regulatory criteria are not satisfied or may require additional clinical or pharmaceutical testing or requirements. Even if such data are submitted, the FDA may ultimately decide that the NDA or BLA does not satisfy all of the criteria for approval. The FDA may refer applications for novel products or products that present difficult questions of safety or efficacy to an advisory committee, typically comprised of clinicians and other experts, for evaluation and a recommendation as to whether the application should be approved and, if so, under what conditions. The FDA is not bound by the recommendations of an advisory committee, but it considers such recommendations carefully when making decisions. Additionally, the approved labeling may narrowly limit the conditions of use of the product, including the intended uses, or impose warnings, precautions or contraindications which could significantly limit the potential market for the product. Further, as a condition of approval, the FDA may impose post-market surveillance, or Phase 4, studies or risk evaluation and mitigation strategies (REMS).</w:t>
      </w:r>
    </w:p>
    <w:p>
      <w:pPr>
        <w:spacing w:after="0" w:line="167"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may inspect clinical sites to assure that the clinical trials were conducted in compliance with IND study requirements and good clinical practices (GCPs). If the FDA determines the manufacturing process or manufacturing facilities are not acceptable, it typically will outline the deficiencies and often will require the facility to take corrective action and provide documentation evidencing the implementation of such corrective action, which may delay further review of the application. If the FDA finds that a clinical site did not conduct the clinical trial in accordance with GCPs, the FDA may determine the data generated by the site should be excluded from the primary efficacy analyses provided in the NDA or BLA, and request additional testing or data. Additionally, the FDA ultimately may still decide that the application does not satisfy the regulatory criteria for approval.</w:t>
      </w:r>
    </w:p>
    <w:p>
      <w:pPr>
        <w:spacing w:after="0" w:line="148" w:lineRule="exact"/>
        <w:rPr>
          <w:sz w:val="20"/>
          <w:szCs w:val="20"/>
          <w:color w:val="auto"/>
        </w:rPr>
      </w:pPr>
    </w:p>
    <w:p>
      <w:pPr>
        <w:ind w:right="160" w:firstLine="644"/>
        <w:spacing w:after="0" w:line="255" w:lineRule="auto"/>
        <w:rPr>
          <w:sz w:val="20"/>
          <w:szCs w:val="20"/>
          <w:color w:val="auto"/>
        </w:rPr>
      </w:pPr>
      <w:r>
        <w:rPr>
          <w:rFonts w:ascii="Times New Roman" w:cs="Times New Roman" w:eastAsia="Times New Roman" w:hAnsi="Times New Roman"/>
          <w:sz w:val="18"/>
          <w:szCs w:val="18"/>
          <w:color w:val="auto"/>
        </w:rPr>
        <w:t>In situations where our partners are responsible for clinical and regulatory approval procedures, we may still participate in this process by submitting to the FDA a drug master file developed and maintained by us which contains data concerning the manufacturing processes for polymer conjugation materials (if incorporated) or drug product. For those products for which we have development responsibility, we prepare and submit an IND and are responsible for additional clinical and regulatory procedures for drug candidates being developed under an IND. The clinical and manufacturing, development and regulatory review and approval process generally takes a number of years and requires the expenditure of substantial resources. Our ability to manufacture and market products, whether developed by us or under collaboration agreements, ultimately depends upon the completion of satisfactory clinical trials and success in obtaining marketing approvals from the FDA and equivalent foreign health authorities.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0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Products manufactured or distributed pursuant to FDA approvals are subject to continuing regulation by the FDA, including, among other things, requirements relating to monitoring, record-keeping, advertising and promotion, reporting of adverse experiences, and limitations on industry-sponsored scientific and educational activities. Further, if there are any modifications to the drug or biologic, including changes in indications, labeling or manufacturing processes or facilities, the applicant may be required to submit and obtain FDA approval of a new NDA or BLA or a supplemental NDA or BLA supplement, which may require the development of additional data or preclinical studies and clinical trials.</w:t>
      </w:r>
    </w:p>
    <w:p>
      <w:pPr>
        <w:spacing w:after="0" w:line="143"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FDA regulations require that approved products be manufactured in specific approved facilities and in accordance with cGMP regulations which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Accordingly, manufacturers must continue to expend time, money and effort in the area of production and quality control to maintain cGMP compliance. The discovery of violative conditions, including failure to conform to cGMP regulations, could result in enforcement actions.</w:t>
      </w:r>
    </w:p>
    <w:p>
      <w:pPr>
        <w:spacing w:after="0" w:line="14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does not regulate behavior of physicians in their choice of treatments and physicians may legally prescribe available products for uses that are not described in the product’s labeling and that differ from those approved by the FDA. However, the FDA does restrict an applicant’s communications on the subject of off-label use of their products. The FDA and other agencies actively enforce the laws prohibiting the marketing and promotion of off-label uses, and a company that is found to</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have improperly marketed or promoted off-label use may be subject to significant liability, including criminal and civil penalties under the FDCA and False Claims Act, exclusion from participation in federal healthcare programs, and mandatory compliance programs.</w:t>
      </w:r>
    </w:p>
    <w:p>
      <w:pPr>
        <w:spacing w:after="0" w:line="135"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restrictions on a product, and judicial or administrative enforcement.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8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demonstrate the potential to address an unmet medical need in the treatment of a serious or life-threatening disease or condition for which there is no effective treatment. These programs include Fast Track designation and Breakthrough Therapy designation.</w:t>
      </w:r>
    </w:p>
    <w:p>
      <w:pPr>
        <w:spacing w:after="0" w:line="14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Fast Track Designation. </w:t>
      </w:r>
      <w:r>
        <w:rPr>
          <w:rFonts w:ascii="Times New Roman" w:cs="Times New Roman" w:eastAsia="Times New Roman" w:hAnsi="Times New Roman"/>
          <w:sz w:val="18"/>
          <w:szCs w:val="18"/>
          <w:color w:val="auto"/>
        </w:rPr>
        <w:t>The FDA may grant “fast track” status to product candidates that are intended to treat serious or life-threatening diseases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demonstrate the potential to address an unmet medical need for the condition. Fast track is a process designed to facilitate the development and expedite the review of such product candidates by providing, among other things, more frequent meetings with the FDA to discuss the product candidate’s development plan and rolling review, which allows submission of individually completed sections of an NDA or BLA for FDA review before the entire submission is completed. Fast Track designation applies to the combination of the product and the specific indication for which it is being studied. The sponsor of a product candidate may request the FDA to designate the product as a fast track product at any time during clinical development. Fast Track status does not ensure that a product will be developed more quickly or receive FDA approval. In addition, the Fast Track designation may be withdrawn by the FDA if the FDA believes that the designation is no longer supported by data emerging in the clinical trial process, or if the designated drug development program is no longer being pursued. On February 11, 2025, we announced that the FDA had granted Fast Track designation for rezpegaldesleukin for the treatment of adult and pediatric patients 12 years of age and older with moderate to severe atopic dermatitis whose disease is not adequately controlled with topical prescription therapies or when those therapies are not advisable.</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A product candidate intended to treat a serious or life-threatening disease or condition may also be eligible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Breakthrough Therapy designation if preliminary clinical evidence indicates that it may demonstrate substantial improvement over existing therapies on one or more clinically significant endpoints. If so designated, the FDA will expedite the development and review of the product candidate’s marketing application, including by meeting with, and providing advice to, the sponsor throughout the product candidate’s development, and taking steps to facilitate an efficient review of the development program and to ensure that the design of the clinical trials is as efficient as practicable.</w:t>
      </w:r>
    </w:p>
    <w:p>
      <w:pPr>
        <w:spacing w:after="0" w:line="145"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Fast Track designation and Breakthrough Therapy designation do not change the standards for approval but may expedite the development or approval process. Moreover, even if a product candidate or platform technology qualifies for one or more of these programs, the FDA may later decide that the product candidate or platform technology no longer meets the conditions for qualification or decide that the time period for FDA review or approval will not be shortened.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00"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the U.S., under the Orphan Drug Act, the FDA may grant Orphan Drug Designation to drugs intended to treat a rare disease or condition, which is generally a disease or condition that affects fewer than 200,000 individuals in the U.S., or more than 200,000 individuals in the U.S. and for which there is no reasonable expectation that the cost of developing and making a biological product or drug in the U.S. for this type of disease or condition will be recovered from sales of the product. The company that obtains the first FDA approval for a designated orphan drug for a rare disease receives marketing exclusivity for use of that drug for the designated condition for a period of seven years. In addition, the Orphan Drug Act provides for protocol assistance, tax credits, research grants, and exclusions from user fees for sponsors of orphan products. Once a product receives orphan drug exclusivity, a second product that is considered to be the same drug for the same indication generally may be approved during the exclusivity period only if the second product is shown to be “clinically superior” to the original orphan drug in that it is more effective, safer or otherwise makes a “major contribution to patient care” or the holder of exclusive approval cannot assure the availability of sufficient quantities of the orphan drug to meet the needs of patients with the disease or condition for which the drug was designated. Similar incentives also are available for orphan drugs in the EU.</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Reimbursement, and Pricing</w:t>
      </w:r>
    </w:p>
    <w:p>
      <w:pPr>
        <w:spacing w:after="0" w:line="187"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Sales of any products for which we may obtain regulatory approval depend, in part, on the coverage and reimbursement status of those products. In the U.S., sales of any products for which we may receive regulatory approval for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commercial sale will depend in part on the availability of coverage and reimbursement from third-party payers. Third-party payers include government programs such as Medicare, Medicaid, TRICARE and the Veterans Administration, as well as managed care providers, private health insurers and other organizations. Other countries and jurisdictions will also have their own unique mechanisms for approval and reimbursement.</w:t>
      </w:r>
    </w:p>
    <w:p>
      <w:pPr>
        <w:spacing w:after="0" w:line="14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process for determining whether a payer will provide coverage for a product is typically separate from the process for setting the reimbursement rate that the payer will pay for the product. Third-party payers may limit coverage to specific products on an approved list or formulary which might not include all of the FDA-approved products for a particular indication. Third-party payers may also refuse to include a particular branded drug on their formularies or otherwise restrict patient access to a branded drug when a less costly generic equivalent or other alternative is available. Further, private payers often follow the coverage and payment policies established by certain government programs, such as Medicare and Medicaid, which require manufacturers to comply with certain rebate, price reporting, and other obligations. For example, the Medicaid Drug Rebate Program, which is part of the Medicaid program (a program for financially needy patients, among others), requires pharmaceutical manufacturers to enter into and have in effect a national rebate agreement with the Secretary of the Department of Health and Human Services under which the manufacturer agrees to report certain prices to the government and pay rebates to state Medicaid programs on outpatient drugs furnished to Medicaid patients, as a condition for receiving federal reimbursement for the manufacturer’s outpatient drugs furnished to Medicaid patients. Further, in order for a pharmaceutical product to receive federal reimbursement under Medicare Part B and Medicaid programs or to be sold directly to U.S. government agencies, the manufacturer must extend discounts to entities eligible to participate in the Public Health Service’s 340B drug pricing program.</w:t>
      </w:r>
    </w:p>
    <w:p>
      <w:pPr>
        <w:spacing w:after="0" w:line="149"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Third-party payers are increasingly challenging the prices charged for medical products and services, and examining the medical necessity and cost-effectiveness of medical products and services, in addition to their safety and efficacy. Additionally, the containment of healthcare costs has become a priority of federal and state governments, and the price of therapeutics have been a focus in this effort. The U.S. government and state legislatures have shown significant interest in implementing cost-containment programs, including price controls and restrictions on reimbursement, among other controls. Adoption of price controls or other cost-containment measures could limit coverage for or the amounts that federal and state governments or private payers will pay for health care products and services, which could also result in reduced demand for our drug candidates or additional pricing pressures and affect our ultimate profitability, if approved. If third-party payers do not consider a product to be cost-effective compared to other available therapies, they may not cover an approved product or, if they do, the level of payment may not be sufficient to allow us to sell our products at a profit.</w:t>
      </w:r>
    </w:p>
    <w:p>
      <w:pPr>
        <w:spacing w:after="0" w:line="151" w:lineRule="exact"/>
        <w:rPr>
          <w:sz w:val="20"/>
          <w:szCs w:val="20"/>
          <w:color w:val="auto"/>
        </w:rPr>
      </w:pPr>
    </w:p>
    <w:p>
      <w:pPr>
        <w:ind w:right="380" w:firstLine="644"/>
        <w:spacing w:after="0" w:line="261" w:lineRule="auto"/>
        <w:rPr>
          <w:sz w:val="20"/>
          <w:szCs w:val="20"/>
          <w:color w:val="auto"/>
        </w:rPr>
      </w:pPr>
      <w:r>
        <w:rPr>
          <w:rFonts w:ascii="Times New Roman" w:cs="Times New Roman" w:eastAsia="Times New Roman" w:hAnsi="Times New Roman"/>
          <w:sz w:val="18"/>
          <w:szCs w:val="18"/>
          <w:color w:val="auto"/>
        </w:rPr>
        <w:t>The marketability of any products for which we receive regulatory approval for commercial sale may suffer if the government and third-party payers fail to provide adequate coverage and reimbursement.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 and Regulations</w:t>
      </w:r>
    </w:p>
    <w:p>
      <w:pPr>
        <w:spacing w:after="0" w:line="187" w:lineRule="exact"/>
        <w:rPr>
          <w:sz w:val="20"/>
          <w:szCs w:val="20"/>
          <w:color w:val="auto"/>
        </w:rPr>
      </w:pPr>
    </w:p>
    <w:p>
      <w:pPr>
        <w:ind w:right="240" w:firstLine="644"/>
        <w:spacing w:after="0" w:line="289" w:lineRule="auto"/>
        <w:rPr>
          <w:sz w:val="20"/>
          <w:szCs w:val="20"/>
          <w:color w:val="auto"/>
        </w:rPr>
      </w:pPr>
      <w:r>
        <w:rPr>
          <w:rFonts w:ascii="Times New Roman" w:cs="Times New Roman" w:eastAsia="Times New Roman" w:hAnsi="Times New Roman"/>
          <w:sz w:val="17"/>
          <w:szCs w:val="17"/>
          <w:color w:val="auto"/>
        </w:rPr>
        <w:t>If we obtain regulatory approval of our products, we may be subject to various federal and state laws targeting fraud and abuse in the healthcare industry. These laws may impact, among other things, our proposed sales and marketing programs. In addition, we may be subject to patient privacy regulations by both the federal government and the states in which we conduct our business. The laws that may affect our ability to operate include:</w:t>
      </w:r>
    </w:p>
    <w:p>
      <w:pPr>
        <w:spacing w:after="0" w:line="90" w:lineRule="exact"/>
        <w:rPr>
          <w:sz w:val="20"/>
          <w:szCs w:val="20"/>
          <w:color w:val="auto"/>
        </w:rPr>
      </w:pPr>
    </w:p>
    <w:p>
      <w:pPr>
        <w:ind w:left="1300" w:right="20" w:hanging="648"/>
        <w:spacing w:after="0" w:line="253"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(a term interpreted broadly to include anything of value, including, for example, gifts, discounts, and credits), directly or indirectly, in cash or in kind, to induce or reward, or in return for, either the referral of an individual for, or the purchase, order, or recommendation of, an item or service reimbursable under a federal healthcare program, such as the Medicare and Medicaid programs. A person or entity does not need to have actual knowledge of the federal Anti-Kickback Statute regulatory safe harbors or specific intent to violate it to have committed a violation. On December 2, 2020, the Office of Inspector General, or OIG, published further modifications to the federal Anti-Kickback Statute regulatory safe harbors. Under the final rules, OIG added safe harbor protections under the Anti-Kickback Statute for certain coordinated care and value-based arrangements among clinicians, providers, and others. This area of regulation remains a focus and is subject to change in the future. We continue to evaluate what effect, if any, changes to the federal Anti-Kickback Statute will have on our business;</w:t>
      </w:r>
    </w:p>
    <w:p>
      <w:pPr>
        <w:spacing w:after="0" w:line="140" w:lineRule="exact"/>
        <w:rPr>
          <w:rFonts w:ascii="Times New Roman" w:cs="Times New Roman" w:eastAsia="Times New Roman" w:hAnsi="Times New Roman"/>
          <w:sz w:val="18"/>
          <w:szCs w:val="18"/>
          <w:color w:val="auto"/>
        </w:rPr>
      </w:pPr>
    </w:p>
    <w:p>
      <w:pPr>
        <w:jc w:val="both"/>
        <w:ind w:left="1300" w:right="240" w:hanging="648"/>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to Medicare, Medicaid, or other third-party payers that are false or fraudulent, or making a false statement or</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00" w:right="40"/>
        <w:spacing w:after="0" w:line="274" w:lineRule="auto"/>
        <w:rPr>
          <w:sz w:val="20"/>
          <w:szCs w:val="20"/>
          <w:color w:val="auto"/>
        </w:rPr>
      </w:pPr>
      <w:r>
        <w:rPr>
          <w:rFonts w:ascii="Times New Roman" w:cs="Times New Roman" w:eastAsia="Times New Roman" w:hAnsi="Times New Roman"/>
          <w:sz w:val="17"/>
          <w:szCs w:val="17"/>
          <w:color w:val="auto"/>
        </w:rPr>
        <w:t>record material to payment of a false claim or avoiding, decreasing, or concealing an obligation to pay money owed to the federal government. In addition, the government may assert that a claim including items and services resulting from a violation of the federal Anti-Kickback Statute constitutes a false or fraudulent claim for purposes of the FCA. Manufacturers can be held liable under the federal False Claims Act even when they do not submit claims directly to government payers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119" w:lineRule="exact"/>
        <w:rPr>
          <w:sz w:val="20"/>
          <w:szCs w:val="20"/>
          <w:color w:val="auto"/>
        </w:rPr>
      </w:pPr>
    </w:p>
    <w:p>
      <w:pPr>
        <w:ind w:left="1300" w:hanging="648"/>
        <w:spacing w:after="0" w:line="258"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federal Health Insurance Portability and Accountability Act of 1996, or HIPAA, which created new federal criminal statutes, referred to as the “HIPAA All-payer Fraud Prohibition,” that prohibit knowingly and willfully executing a scheme to defraud any healthcare benefit program and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15" w:lineRule="exact"/>
        <w:rPr>
          <w:rFonts w:ascii="Times New Roman" w:cs="Times New Roman" w:eastAsia="Times New Roman" w:hAnsi="Times New Roman"/>
          <w:sz w:val="18"/>
          <w:szCs w:val="18"/>
          <w:color w:val="auto"/>
        </w:rPr>
      </w:pPr>
    </w:p>
    <w:p>
      <w:pPr>
        <w:ind w:left="1300" w:right="120" w:hanging="648"/>
        <w:spacing w:after="0" w:line="258"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transparency laws, including the federal Physician Payment Sunshine Act, which require manufacturers of certain drugs and biologics to track and disclose payments and other transfers of value they make to U.S. physicians (currently defined to include doctors, dentists, optometrists, podiatrists and chiropractors), other licensed health care practitioners and teaching hospitals as well as physician ownership and investment interests in the manufacturer, and that such information is subsequently made publicly available in a searchable format on a CMS website;</w:t>
      </w:r>
    </w:p>
    <w:p>
      <w:pPr>
        <w:spacing w:after="0" w:line="115" w:lineRule="exact"/>
        <w:rPr>
          <w:rFonts w:ascii="Times New Roman" w:cs="Times New Roman" w:eastAsia="Times New Roman" w:hAnsi="Times New Roman"/>
          <w:sz w:val="18"/>
          <w:szCs w:val="18"/>
          <w:color w:val="auto"/>
        </w:rPr>
      </w:pPr>
    </w:p>
    <w:p>
      <w:pPr>
        <w:ind w:left="1300" w:right="40" w:hanging="648"/>
        <w:spacing w:after="0" w:line="253"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HIPAA, as amended by the Health Information Technology for Economic and Clinical Health Act and its implementing regulations, which imposes certain requirements relating to the privacy, security and transmission of individually identifiable health information, and also includes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35" w:lineRule="exact"/>
        <w:rPr>
          <w:rFonts w:ascii="Times New Roman" w:cs="Times New Roman" w:eastAsia="Times New Roman" w:hAnsi="Times New Roman"/>
          <w:sz w:val="18"/>
          <w:szCs w:val="18"/>
          <w:color w:val="auto"/>
        </w:rPr>
      </w:pPr>
    </w:p>
    <w:p>
      <w:pPr>
        <w:ind w:left="1300" w:right="440" w:hanging="648"/>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94" w:lineRule="exact"/>
        <w:rPr>
          <w:rFonts w:ascii="Times New Roman" w:cs="Times New Roman" w:eastAsia="Times New Roman" w:hAnsi="Times New Roman"/>
          <w:sz w:val="18"/>
          <w:szCs w:val="18"/>
          <w:color w:val="auto"/>
        </w:rPr>
      </w:pPr>
    </w:p>
    <w:p>
      <w:pPr>
        <w:ind w:left="1300" w:right="340" w:hanging="648"/>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94" w:lineRule="exact"/>
        <w:rPr>
          <w:rFonts w:ascii="Times New Roman" w:cs="Times New Roman" w:eastAsia="Times New Roman" w:hAnsi="Times New Roman"/>
          <w:sz w:val="18"/>
          <w:szCs w:val="18"/>
          <w:color w:val="auto"/>
        </w:rPr>
      </w:pPr>
    </w:p>
    <w:p>
      <w:pPr>
        <w:ind w:left="1300" w:right="20" w:hanging="648"/>
        <w:spacing w:after="0" w:line="254"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state law equivalents of each of the above federal laws, such as anti-kickback and false claims laws which may apply to items or services reimbursed by any third-party payer, including commercial insurers, state transparency reporting and compliance laws; and state laws governing the privacy and security of health information in certain circumstances, many of which differ from each other in significant ways and which may not have the same effect, thus complicating compliance efforts. These state-equivalent laws may also apply to our business practices, including, but not limited to, research, distribution, and sales or marketing arrangements.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w:t>
      </w:r>
    </w:p>
    <w:p>
      <w:pPr>
        <w:spacing w:after="0" w:line="161" w:lineRule="exact"/>
        <w:rPr>
          <w:sz w:val="20"/>
          <w:szCs w:val="20"/>
          <w:color w:val="auto"/>
        </w:rPr>
      </w:pPr>
    </w:p>
    <w:p>
      <w:pPr>
        <w:ind w:right="440" w:firstLine="644"/>
        <w:spacing w:after="0" w:line="261" w:lineRule="auto"/>
        <w:rPr>
          <w:sz w:val="20"/>
          <w:szCs w:val="20"/>
          <w:color w:val="auto"/>
        </w:rPr>
      </w:pPr>
      <w:r>
        <w:rPr>
          <w:rFonts w:ascii="Times New Roman" w:cs="Times New Roman" w:eastAsia="Times New Roman" w:hAnsi="Times New Roman"/>
          <w:sz w:val="18"/>
          <w:szCs w:val="18"/>
          <w:color w:val="auto"/>
        </w:rPr>
        <w:t>If our drug candidates become commercialized, it is possible that governmental authorities will conclude that our business practices may not comply with current or future statutes, regulations, agency guidance or case law involving applicable fraud and abuse or other healthcare laws and regulations. If our operations are found to be in violation of any of these laws or any other governmental regulations that may apply to us, we may be subject to significant civil, criminal, and</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administrative penalties, damages, fines, disgorgement, exclusion from government-funded healthcare programs, such as Medicare and Medicaid, integrity and oversight agreements to resolve allegations of non-compliance, contractual damages, reputational harm, diminished profits and future earnings, and the curtailment or restructuring of our operations, any of which could adversely affect our ability to operate our business and our results of operations.</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54"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In each country or jurisdiction outside of the U.S. in which we seek and receive regulatory approval to commercialize our products, we will be subject to additional laws and regulations specific to those locations. These regulations and laws will also impact, among other things, our proposed sales and marketing programs in those jurisdictions.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Legislative and Regulatory Landscape</w:t>
      </w:r>
    </w:p>
    <w:p>
      <w:pPr>
        <w:spacing w:after="0" w:line="187"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marketing, coverage and reimbursement of products regulated by the FDA or other government agencies. In addition to new legislation, FDA and healthcare fraud and abuse and coverage and reimbursement regulations and policies are often revised or interpreted by the agency in ways that may significantly affect our business and our products. For example, in 2010, the United States Congress enacted the Affordable Care Act, which, among other things, included changes to the coverage and payment for drug products under government health care programs.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the provisions of the Affordable Care Act of importance to potential product candidates are:</w:t>
      </w:r>
    </w:p>
    <w:p>
      <w:pPr>
        <w:spacing w:after="0" w:line="158" w:lineRule="exact"/>
        <w:rPr>
          <w:sz w:val="20"/>
          <w:szCs w:val="20"/>
          <w:color w:val="auto"/>
        </w:rPr>
      </w:pPr>
    </w:p>
    <w:p>
      <w:pPr>
        <w:ind w:left="1300" w:right="600" w:hanging="648"/>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9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thereby potentially increasing a manufacturer’s Medicaid rebate liability;</w:t>
      </w:r>
    </w:p>
    <w:p>
      <w:pPr>
        <w:spacing w:after="0" w:line="17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57" w:lineRule="exact"/>
        <w:rPr>
          <w:rFonts w:ascii="Times New Roman" w:cs="Times New Roman" w:eastAsia="Times New Roman" w:hAnsi="Times New Roman"/>
          <w:sz w:val="18"/>
          <w:szCs w:val="18"/>
          <w:color w:val="auto"/>
        </w:rPr>
      </w:pPr>
    </w:p>
    <w:p>
      <w:pPr>
        <w:ind w:left="1300" w:right="140" w:hanging="648"/>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121" w:lineRule="exact"/>
        <w:rPr>
          <w:rFonts w:ascii="Times New Roman" w:cs="Times New Roman" w:eastAsia="Times New Roman" w:hAnsi="Times New Roman"/>
          <w:sz w:val="18"/>
          <w:szCs w:val="18"/>
          <w:color w:val="auto"/>
        </w:rPr>
      </w:pPr>
    </w:p>
    <w:p>
      <w:pPr>
        <w:ind w:left="1300" w:right="20" w:hanging="648"/>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121" w:lineRule="exact"/>
        <w:rPr>
          <w:sz w:val="20"/>
          <w:szCs w:val="20"/>
          <w:color w:val="auto"/>
        </w:rPr>
      </w:pPr>
    </w:p>
    <w:p>
      <w:pPr>
        <w:ind w:right="240" w:firstLine="644"/>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The Budget Control Act of 2011, among other things, created measures for spending reductions by Congress. This includes aggregate reductions of Medicare payments to providers up to 2% per fiscal year. Subsequent legislation extended the 2% which remains in effect through 2031. The American Taxpayer Relief Act of 2012 further reduced Medicare payments to several types of providers, and increased the statute of limitations period for the government to recover overpayments to providers from three to five years. Due to the Statutory Pay-As-You-Go Act of 2010, estimated</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budget deficit increases resulting from the American Rescue Plan Act of 2021, and subsequent legislation, Medicare payments to providers were further reduced starting on January 1, 2025; however, legislation has been introduced in the U.S. Congress that would, if enacted, reverse these payment reductions. In addition to provider payment cuts under Medicare, the American Rescue Plan Act of 2021 also eliminated the statutory Medicaid drug rebate cap, previously set at 100% of a drug’s average manufacturer price, for single source and innovator multiple source drugs, effective January 1, 2024. These laws may result in additional reductions in Medicare and 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spacing w:after="0" w:line="148"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156"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Furthermore, federal agencies, Congress, state legislatures, and the private sector have shown significant interest in implementing cost containment programs to limit the growth of health care costs, including price controls, restrictions on reimbursement and other fundamental changes to the healthcare delivery system.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Presidents from both political parties in the United States have increasingly relied upon the issuance of executive orders that directly affect prescription drug costs. As a number of these orders and other measures by the executive branch may require authorization through additional legislation to become effective, we will continue to evaluate what effect, if any, these orders and measures will have on our business.</w:t>
      </w:r>
    </w:p>
    <w:p>
      <w:pPr>
        <w:spacing w:after="0" w:line="151"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These measures could reduce the ultimate demand for our products, once approved, or put pressure on our product pricing. Any proposed or actual changes could limit coverage for or the amounts that federal and state governments will pay for health care products and services, which could also result in reduced demand for our products or additional pricing pressures and affect our ultimate profitability.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Regulations</w:t>
      </w:r>
    </w:p>
    <w:p>
      <w:pPr>
        <w:spacing w:after="0" w:line="200"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187" w:lineRule="exact"/>
        <w:rPr>
          <w:sz w:val="20"/>
          <w:szCs w:val="20"/>
          <w:color w:val="auto"/>
        </w:rPr>
      </w:pPr>
    </w:p>
    <w:p>
      <w:pPr>
        <w:ind w:right="120" w:firstLine="360"/>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U.S., sales of our products outside the U.S. are subject to a variety of foreign regulations governing clinical trials and commercial sales and distribution of our product candidates to the extent we choose to develop or sell any product candidates outside of the U.S.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189" w:lineRule="exact"/>
        <w:rPr>
          <w:sz w:val="20"/>
          <w:szCs w:val="20"/>
          <w:color w:val="auto"/>
        </w:rPr>
      </w:pPr>
    </w:p>
    <w:p>
      <w:pPr>
        <w:ind w:right="140" w:firstLine="644"/>
        <w:spacing w:after="0" w:line="254" w:lineRule="auto"/>
        <w:rPr>
          <w:sz w:val="20"/>
          <w:szCs w:val="20"/>
          <w:color w:val="auto"/>
        </w:rPr>
      </w:pPr>
      <w:r>
        <w:rPr>
          <w:rFonts w:ascii="Times New Roman" w:cs="Times New Roman" w:eastAsia="Times New Roman" w:hAnsi="Times New Roman"/>
          <w:sz w:val="18"/>
          <w:szCs w:val="18"/>
          <w:color w:val="auto"/>
        </w:rPr>
        <w:t>We own more than 150 U.S. and 700 foreign patents and a number of pending patent applications that cover various aspects of research and development efforts. We have filed patent applications, and plan to file additional patent applications, covering various aspects of our research and development efforts and our drug candidates. More specifically, our patents and patent applications cover polymer architecture, drug candidates, formulations, methods of making polymers and polymer conjugates, methods of administering our drug candidates, and methods of manufacturing polymers and polymer conjugates. Our patent strategy is to file patent applications on innovations and improvements to cover a significant majority of the major pharmaceutical markets in the world. Generally, patents have a term of twenty years from the earliest non-provisional patent application filing priority date (assuming all maintenance fees are paid). In some instances, patent terms can be increased or decreased, depending on the laws and regulations of the country or jurisdiction that issued the patent.</w:t>
      </w:r>
    </w:p>
    <w:p>
      <w:pPr>
        <w:spacing w:after="0" w:line="15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also rely on trade secret protection for our confidential and proprietary information. No assurance can be given that we can meaningfully protect our trade secrets. Others may independently develop substantially equivalent confidential and proprietary information or otherwise gain access to, or disclose, our trade secrets. Please refer to Item 1A. Risk Factors, including but not limited to “We rely on trade secret protection and other unpatented proprietary rights for important proprietary technologies, and any loss of such rights could harm our business, results of operations and financial condition.” In certain situations in which we work with drugs covered by one or more patents, our ability to develop and commercialize our technologies may be affected by limitations in our access to these proprietary drugs. Even if we believe we are free to work with a proprietary drug, we cannot guarantee that we will not be accused of, or determined to be, infringing a third party’s rights and be prohibited from working with the drug or found liable for damages. Any such restriction on access or liability for damages would have a material adverse effect on our business, results of operations and financial condition.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 xml:space="preserve">The patent positions of pharmaceutical and biotechnology companies, such as ours, are uncertain and involve complex legal and factual issues. There can be no assurance that patents that have issued will be held valid and enforceable in a court of law. Even for patents that are held valid and enforceable, the legal process associated with obtaining such a judgment is time consuming and costly. Additionally, issued patents can be subject to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opposition, reexamination or other proceedings that can result in the revocation of the patent or maintenance of the patent but in an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 We may have to participate in post-grant proceedings before the U.S. Patent and Trademark Office, which could result in a loss of the patent and/or substantial cost to us. Please refer to Item 1A. Risk Factors, including without limitation, “If any of our pending patent applications do not issue, or are deemed invalid following issuance, we may lose valuable intellectual property protection.”</w:t>
      </w:r>
    </w:p>
    <w:p>
      <w:pPr>
        <w:spacing w:after="0" w:line="167"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U.S. and foreign patent rights and other proprietary rights exist that are owned by third parties and relate to pharmaceutical compositions and components of those compositions, as well as equipment and methods for preparation, packaging and delivery of pharmaceutical compositions. We cannot predict with any certainty which, if any, of these rights will be considered relevant to our drug candidates by authorities in the various jurisdictions where such rights exist, nor can we predict with certainty which, if any, of these rights will or may be asserted against us by third parties. We could incur substantial costs in defending ourselves and our partners against any such claims.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third parties. There can be no assurance that we can obtain a license to any technology that we determine we need on reasonable terms, if at all, or that we could develop or otherwise obtain alternative technology. The failure to obtain licenses if needed may have a material adverse effect on our business, results of operations and financial condition. Please refer to Item 1A. Risk Factors, including without limitation, “We may not be able to obtain intellectual property licenses related to the development of our drug candidates on a commercially reasonable basis, if at all.”</w:t>
      </w:r>
    </w:p>
    <w:p>
      <w:pPr>
        <w:spacing w:after="0" w:line="15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It is our policy to require our employees and consultants, outside scientific collaborators, sponsored researchers and other advisors who receive confidential information from us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circumstances. The agreements provide that all inventions conceived by an employee that relate to our business shall be our property. There can be no assurance, however, that these agreements will provide meaningful protection or adequate remedies for our trade secrets in the event of unauthorized use or disclosure of such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Concentrations</w:t>
      </w:r>
    </w:p>
    <w:p>
      <w:pPr>
        <w:spacing w:after="0" w:line="202" w:lineRule="exact"/>
        <w:rPr>
          <w:sz w:val="20"/>
          <w:szCs w:val="20"/>
          <w:color w:val="auto"/>
        </w:rPr>
      </w:pPr>
    </w:p>
    <w:p>
      <w:pPr>
        <w:ind w:right="40" w:firstLine="644"/>
        <w:spacing w:after="0" w:line="248" w:lineRule="auto"/>
        <w:rPr>
          <w:sz w:val="20"/>
          <w:szCs w:val="20"/>
          <w:color w:val="auto"/>
        </w:rPr>
      </w:pPr>
      <w:r>
        <w:rPr>
          <w:rFonts w:ascii="Times New Roman" w:cs="Times New Roman" w:eastAsia="Times New Roman" w:hAnsi="Times New Roman"/>
          <w:sz w:val="18"/>
          <w:szCs w:val="18"/>
          <w:color w:val="auto"/>
        </w:rPr>
        <w:t>Our revenue has been derived from our collaboration agreements with partners, under which we may receive a combination of revenue elements including up-front payments for licensing agreements, clinical research reimbursement or co-funding, milestone payments based on clinical progress, regulatory progress or net sales achievements, royalties and/or, before the sale of the Facility, product sales revenue. Our revenues are concentrated among a limited number of collaboration partners under long-term arrangements. Before the sale of the Facility, we derived the substantial majority of our PEGylation reagent product sales from UCB and Pfizer. Following the 2020 Purchase and Sale Agreement (wherein under a capped return sale arrangement we sold our rights to receive royalties on future worldwide new sales of 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MOVANTIG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/ADYNOVI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as well as REBINYN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specified licensed products), other than our product sales, substantially all of our revenues are non-cash royalty revenues.</w:t>
      </w:r>
    </w:p>
    <w:p>
      <w:pPr>
        <w:spacing w:after="0" w:line="75" w:lineRule="exact"/>
        <w:rPr>
          <w:sz w:val="20"/>
          <w:szCs w:val="20"/>
          <w:color w:val="auto"/>
        </w:rPr>
      </w:pPr>
    </w:p>
    <w:p>
      <w:pPr>
        <w:ind w:right="240" w:firstLine="644"/>
        <w:spacing w:after="0" w:line="266" w:lineRule="auto"/>
        <w:rPr>
          <w:sz w:val="20"/>
          <w:szCs w:val="20"/>
          <w:color w:val="auto"/>
        </w:rPr>
      </w:pPr>
      <w:r>
        <w:rPr>
          <w:rFonts w:ascii="Times New Roman" w:cs="Times New Roman" w:eastAsia="Times New Roman" w:hAnsi="Times New Roman"/>
          <w:sz w:val="18"/>
          <w:szCs w:val="18"/>
          <w:color w:val="auto"/>
        </w:rPr>
        <w:t>Following the termination of our collaboration agreement with Eli Lilly and Company, we do not have a collaboration agreement for rezpegaldesleukin. Therefore, we will not receive collaboration-based revenues for our lead drug candidates, rezpegaldesleukin, NKTR-255 and NKTR-0165, unless we enter into new collaboration agreements for these drug candidates.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Competition in the pharmaceutical and biotechnology industry is intense and characterized by aggressive research and development and rapidly-evolving science, technology, and standards of medical care throughout the world. We frequently compete with pharmaceutical companies and other institutions with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Competition</w:t>
      </w:r>
    </w:p>
    <w:p>
      <w:pPr>
        <w:spacing w:after="0" w:line="202"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We face intense science and technology competition from a multitude of technologies seeking to enhance the efficacy, safety and ease of use of approved drugs and new drug molecule candidates. A number of the drug candidates in our pipeline have direct and indirect competition from large pharmaceutical and biopharmaceutical companies. With our use of proven advanced polymer conjugate technologies, we believe we have competitive advantages relating to factors such as efficacy, safety, ease of use and cost for certain applications and molecules. We constantly monitor scientific and medical developments in order to improve our current technologies, seek licensing opportunities where appropriate, and determine the best applications for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Program Specific Competition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Rezpegaldesleukin</w:t>
      </w:r>
    </w:p>
    <w:p>
      <w:pPr>
        <w:spacing w:after="0" w:line="202"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microbiome-based, or toleragenic-based therapies (Regeneron, Leo Pharma, Eli Lilly and Company, Galderma, Symbiotix, LLC, Janssen Pharmaceuticals, AstraZeneca), regulatory T cell therapies (Sangamo Therapeutics, Inc., Quell Therapeutics, Ltd., Sonoma Biotherapeutics, Inc. GentiBio, Inc., Kyvema Therapeutics, Inc. and Tract Therapeutics, Inc.), or IL-2 based therapies (Amgen, Inc., BMS (through its acquisition of Delnia, Inc.), Novartis, Inc., ILTOO Pharma, Xencor, inc., Merck &amp; Co (through its acquisition of Pandion Therapeutics), and Sanofi SA).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NKTR-255</w:t>
      </w:r>
    </w:p>
    <w:p>
      <w:pPr>
        <w:spacing w:after="0" w:line="189"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There are numerous companies engaged in developing immunotherapies with different approaches to enhancing NK cell populations which are a key component of the innate immune system. The approaches include engineered biologics targeting the IL-15 pathway as well as autologous and allogenic cell therapy approaches. For NKTR-255, we believe companies that are currently researching and developing engineered IL-15 biologics and cell therapies that could compete with this drug candidate include SOTIO Biotech, Inc., Artiva Biotherapeutics, Fate Therapeutics, ImmunityBio, Inc., Nkarta, Inc., NKMax America, and Roche/Genentech (through its partnership with Xencor, Inc.).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NKTR-0165</w:t>
      </w:r>
    </w:p>
    <w:p>
      <w:pPr>
        <w:spacing w:after="0" w:line="18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Several companies are developing selective TNFR2 agonists as potential therapies for patients with various autoimmune diseases. These companies often employ an antibody or fusion protein to target the TNFR2 pathway and include Dualyx, TRexBio, Inc., Odyssey Therapeutics, Inc., and Pfizer,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research and development expenditures can be disaggregated into the following significant types of expenses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80" w:type="dxa"/>
            <w:vAlign w:val="bottom"/>
          </w:tcPr>
          <w:p>
            <w:pPr>
              <w:spacing w:after="0"/>
              <w:rPr>
                <w:sz w:val="12"/>
                <w:szCs w:val="12"/>
                <w:color w:val="auto"/>
              </w:rPr>
            </w:pPr>
          </w:p>
        </w:tc>
        <w:tc>
          <w:tcPr>
            <w:tcW w:w="100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Third party and direct materials costs</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3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overhead and other costs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3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189"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The Facility we sold to Gannet BioChem manufactures PEG reagents for subsequent conjugation to active pharmaceutical ingredients (APIs). The Facility can be used to produce APIs themselves, as well as form PEG conjugates of APIs. The Facility and associated equipment are designed to be operated to comply with all applicable laws and regulations. As we no longer maintain the capability to directly manufacture PEG reagents for our drug candidates, and do not have the capabilities to manufacture biologics or finished drug products for our development programs, we utilize contract manufacturers to manufacture all components of our drug candidates and our finished drug products. We will utilize the services of contract manufacturers for all phases of clinical development and eventual commercialization. Our contract manufacturers have contractual obligations to comply with all applicable laws and regulations.</w:t>
      </w:r>
    </w:p>
    <w:p>
      <w:pPr>
        <w:spacing w:after="0" w:line="148"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We source drug materials for our manufacturing activities from one or more suppliers. For the drug materials necessary for our drug candidate development, we have agreements for the supply of such drug components with drug manufacturers or suppliers that we believe have sufficient capacity to meet our demands. However, from time to time, we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source critical materials and services from one or a limited number of suppliers and there is a risk that if such supply or services were interrupted, it could materially harm our business. As a result of the sale of the Facility, we are dependent on Gannet BioChem for the supply of the PEG reagents used in the manufacture of rezpegaldesleukin and NKTR-255. In addition, we typically order materials and services on a purchase order basis for early phase clinical development products and enter into long-term supply arrangements only for late-stage products nearing regulatory approval for marketing authorization.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189" w:lineRule="exact"/>
        <w:rPr>
          <w:sz w:val="20"/>
          <w:szCs w:val="20"/>
          <w:color w:val="auto"/>
        </w:rPr>
      </w:pPr>
    </w:p>
    <w:p>
      <w:pPr>
        <w:ind w:right="140" w:firstLine="644"/>
        <w:spacing w:after="0" w:line="254" w:lineRule="auto"/>
        <w:rPr>
          <w:sz w:val="20"/>
          <w:szCs w:val="20"/>
          <w:color w:val="auto"/>
        </w:rPr>
      </w:pPr>
      <w:r>
        <w:rPr>
          <w:rFonts w:ascii="Times New Roman" w:cs="Times New Roman" w:eastAsia="Times New Roman" w:hAnsi="Times New Roman"/>
          <w:sz w:val="18"/>
          <w:szCs w:val="18"/>
          <w:color w:val="auto"/>
        </w:rPr>
        <w:t>Before the sale of the Facility, as a manufacturer of PEG reagents for clinical drug candidates and commercial drug products, we were subject to inspections generally applicable to manufacturers of important components of pharmaceuticals, particularly inspections carried out by the FDA and the U.S. Environmental Protection Agency for compliance with cGMP and other U.S. regulatory requirements, including U.S. federal, state and local regulations regarding environmental protection and hazardous and controlled substance controls, among others. Following the sale of the Facility, we remain subject to inspections, including those brought by the FDA as we are sponsor a number of INDs, and environmental regulators as we maintain office facilities in San Francisco, California. Environmental laws and regulations are complex, change frequently and have tended to become more stringent over time. We incurred significant expenditures to ensure we were in compliance with these laws and regulations. To our knowledge, we complied with all material governmental regulations applicable to our business. We would be subject to significant penalties for failure to comply with these laws and regulations.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As of December 31, 2024, we had 61 employees, of which 35 employees were engaged in research and development activities. Substantially all of our employees are located in the U.S. We have a number of employees who hold advanced degrees, such as a Ph.D. None of our employees are covered by a collective bargaining agreement, and we have experienced no work stoppages. We are committed to attracting, developing, advancing and retaining a diverse and talented workforce. As part of our measures to attract and retain personnel, we offer a total rewards package to our full-time employees consisting of base salary, cash bonuses based on individual and company performance, equity compensation and comprehensive benefits, including health insurance, life insurance, retirement plans, and paid holiday and vacation time. We support our employee’s further development by providing professional development opportunities. We believe that we maintain good relations with our employees.</w:t>
      </w:r>
    </w:p>
    <w:p>
      <w:pPr>
        <w:spacing w:after="0" w:line="148"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To complement our own expert professional staff, we utilize specialists in clinical development, regulatory affairs, pharmacovigilance, process engineering, manufacturing and quality assurance. These individuals include scientific advisors as well as independent consultants.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http://www.nektar.com</w:t>
      </w:r>
      <w:r>
        <w:rPr>
          <w:rFonts w:ascii="Times New Roman" w:cs="Times New Roman" w:eastAsia="Times New Roman" w:hAnsi="Times New Roman"/>
          <w:sz w:val="18"/>
          <w:szCs w:val="18"/>
          <w:color w:val="auto"/>
        </w:rPr>
        <w:t xml:space="preserve">.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Securities Exchange Commission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 The risks described below may not be the only ones relating to our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drug candidates, particularly rezpegaldesleukin (previously referred to as NKTR-358). If these drug candidates fail in clinical development our business will be significantly harmed.</w:t>
      </w:r>
    </w:p>
    <w:p>
      <w:pPr>
        <w:spacing w:after="0" w:line="13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Our future success is highly dependent on the clinical success of our drug candidates, particularly rezpegaldesleukin. In general, most investigational drugs, including drug candidates designed to treat patients suffering from autoimmune disorders, such as rezpegaldesleukin, do not become approved drugs. Accordingly, there is a very meaningful risk that our drug candidates will not succeed in one or more clinical trials sufficient to support one or more regulatory approvals.</w:t>
      </w:r>
    </w:p>
    <w:p>
      <w:pPr>
        <w:spacing w:after="0" w:line="139"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previously relied on Lilly (through the Lilly Agreement) to initiate, properly conduct, and prioritize clinical trials and other development-related activities for rezpegaldesleukin. In February 2023, we announced that the Phase 2 Lupus Study of rezpegaldesleukin in systemic lupus erythematosus (SLE) conducted by Lilly did not meet the study’s primary endpoint and that Lilly did not intend to advance rezpegaldesleukin to Phase 3 development in SLE. On April 27, 2023, we announced that we would be regaining the full rights to rezpegaldesleukin from Lilly, and the Lilly Agreement subsequently terminated. Following the return of our rights to develop rezpegaldesleukin, we bear all costs of development. We have initiated two Phase 2b rezpegaldesleukin studies: one in patients with moderate-to-severe atopic dermatitis, and another in patients with severe-to-very severe alopecia areata, and will collaborate with TrialNet to conduct a Phase 2 study of rezpegaldesleukin in patients with new onset stage 3 TID. We will also explore other autoimmune indications for the development of rezpegaldesleukin. While we believe we currently have the materials that are necessary for us to continue clinical development of rezpegaldesleukin, we may need or benefit from additional materials that Lilly has not yet transferred to us. In the event Lilly fails to promptly and completely transfer to us any additional needed materials or we are not able to independently source these materials, the continued clinical development of rezpegaldesleukin and our business will be significantly harmed. Even if the applicable agreement provides us with enforcement or other curative rights to address the harm caused by Lilly’s action (or failure to act), our efforts in pursuing a remedy would be costly and there is no guarantee that these efforts would succeed or be sufficient to fully address the harm. If continued development of rezpegaldesleukin is not ultimately successful, our market valuation, prospects, financial condition and results of operations would be materially harmed.</w:t>
      </w:r>
    </w:p>
    <w:p>
      <w:pPr>
        <w:spacing w:after="0" w:line="157"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Additionally, promising results from earlier trials may not predict similarly favorable outcomes in subsequent trials. For example, our drug candidates (particularly those being evaluated in the oncology setting) have been tested in clinical trials that utilize an “open-label” trial design. An “open-label” clinical trial is one where both the patient and investigator know whether the patient is receiving the investigational drug candidate or either an existing approved drug or placebo. Most typically, open-label clinical trials test only the investigational drug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drug candidates for which we include an open-label clinical trial when studied in a controlled environment with a placebo or active control. Also, results from “double blinded” studies where both the patient and investigator do not know whether the patient is receiving the investigational drug candidate may not be predictive of future clinical trial results. One or more clinical failures of our drug candidates would jeopardize and could materially harm our business, results of operations and financial condition.</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clinical studies are common and have many causes, and any significant delay in clinical studies being conducted by us or our partners could result in delay in regulatory approvals and jeopardize the ability to proceed to commercialization.</w:t>
      </w:r>
    </w:p>
    <w:p>
      <w:pPr>
        <w:spacing w:after="0" w:line="132" w:lineRule="exact"/>
        <w:rPr>
          <w:sz w:val="20"/>
          <w:szCs w:val="20"/>
          <w:color w:val="auto"/>
        </w:rPr>
      </w:pPr>
    </w:p>
    <w:p>
      <w:pPr>
        <w:ind w:right="120" w:firstLine="644"/>
        <w:spacing w:after="0" w:line="266" w:lineRule="auto"/>
        <w:rPr>
          <w:sz w:val="20"/>
          <w:szCs w:val="20"/>
          <w:color w:val="auto"/>
        </w:rPr>
      </w:pPr>
      <w:r>
        <w:rPr>
          <w:rFonts w:ascii="Times New Roman" w:cs="Times New Roman" w:eastAsia="Times New Roman" w:hAnsi="Times New Roman"/>
          <w:sz w:val="18"/>
          <w:szCs w:val="18"/>
          <w:color w:val="auto"/>
        </w:rPr>
        <w:t>We or our partners may experience delays in conducting clinical trials of our drug candidates. Clinical studies may not begin on time, enroll a sufficient number of patients or be completed on schedule, if at all. Clinical trials for any of our drug candidates could be delayed for a variety of reasons, including:</w:t>
      </w:r>
    </w:p>
    <w:p>
      <w:pPr>
        <w:spacing w:after="0" w:line="108" w:lineRule="exact"/>
        <w:rPr>
          <w:sz w:val="20"/>
          <w:szCs w:val="20"/>
          <w:color w:val="auto"/>
        </w:rPr>
      </w:pPr>
    </w:p>
    <w:p>
      <w:pPr>
        <w:ind w:left="1300" w:hanging="64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clinical study;</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applicable regulatory authorities on a clinical study design;</w:t>
      </w:r>
    </w:p>
    <w:p>
      <w:pPr>
        <w:spacing w:after="0" w:line="17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drug candidates currently or previously partnered with other companies, delays caused by our partner;</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future health epidemics;</w:t>
      </w:r>
    </w:p>
    <w:p>
      <w:pPr>
        <w:spacing w:after="0" w:line="157" w:lineRule="exact"/>
        <w:rPr>
          <w:rFonts w:ascii="Times New Roman" w:cs="Times New Roman" w:eastAsia="Times New Roman" w:hAnsi="Times New Roman"/>
          <w:sz w:val="18"/>
          <w:szCs w:val="18"/>
          <w:color w:val="auto"/>
        </w:rPr>
      </w:pPr>
    </w:p>
    <w:p>
      <w:pPr>
        <w:ind w:left="1300" w:right="520" w:hanging="648"/>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the FDA or other health authorities, which may occur at any time including after any inspection of clinical trial operations or trial sites;</w:t>
      </w:r>
    </w:p>
    <w:p>
      <w:pPr>
        <w:spacing w:after="0" w:line="107" w:lineRule="exact"/>
        <w:rPr>
          <w:rFonts w:ascii="Times New Roman" w:cs="Times New Roman" w:eastAsia="Times New Roman" w:hAnsi="Times New Roman"/>
          <w:sz w:val="18"/>
          <w:szCs w:val="18"/>
          <w:color w:val="auto"/>
        </w:rPr>
      </w:pPr>
    </w:p>
    <w:p>
      <w:pPr>
        <w:ind w:left="1300" w:hanging="648"/>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a clinical study by us, our partners, the FDA or foreign regulatory authorities due to adverse side effects of a drug on subjects in the trial;</w:t>
      </w:r>
    </w:p>
    <w:p>
      <w:pPr>
        <w:spacing w:after="0" w:line="9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a trial;</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7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dropping out of a trial due to the detriment of enrollment rates;</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and delivery of sufficient supply of clinical trial materials;</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authorities policies or guidance applicable to our drug candidates</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changing standards of care or new treatment options; and</w:t>
      </w:r>
    </w:p>
    <w:p>
      <w:pPr>
        <w:spacing w:after="0" w:line="184" w:lineRule="exact"/>
        <w:rPr>
          <w:rFonts w:ascii="Times New Roman" w:cs="Times New Roman" w:eastAsia="Times New Roman" w:hAnsi="Times New Roman"/>
          <w:sz w:val="18"/>
          <w:szCs w:val="18"/>
          <w:color w:val="auto"/>
        </w:rPr>
      </w:pPr>
    </w:p>
    <w:p>
      <w:pPr>
        <w:ind w:left="1300" w:right="100" w:hanging="648"/>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third parties, such as a past collaboration partner, failing to provide us with all the necessary documents, data and materials necessary to conduct clinical trials.</w:t>
      </w:r>
    </w:p>
    <w:p>
      <w:pPr>
        <w:spacing w:after="0" w:line="121" w:lineRule="exact"/>
        <w:rPr>
          <w:sz w:val="20"/>
          <w:szCs w:val="20"/>
          <w:color w:val="auto"/>
        </w:rPr>
      </w:pPr>
    </w:p>
    <w:p>
      <w:pPr>
        <w:ind w:firstLine="644"/>
        <w:spacing w:after="0" w:line="277" w:lineRule="auto"/>
        <w:rPr>
          <w:sz w:val="20"/>
          <w:szCs w:val="20"/>
          <w:color w:val="auto"/>
        </w:rPr>
      </w:pPr>
      <w:r>
        <w:rPr>
          <w:rFonts w:ascii="Times New Roman" w:cs="Times New Roman" w:eastAsia="Times New Roman" w:hAnsi="Times New Roman"/>
          <w:sz w:val="17"/>
          <w:szCs w:val="17"/>
          <w:color w:val="auto"/>
        </w:rPr>
        <w:t>If the initiation or completion of any of the planned clinical studies for our drug candidates is delayed for any of the above or other reasons, results for the studies would be delayed, and consequently the regulatory approval process would be delayed which would also delay the ability to commercialize these drug candidates, which could have a material adverse effect on our business, financial condition and results of operations. Clinical study delays could also shorten any commercial periods during which our products have patent protection and may allow our competitors to bring products to market before we do, which could impair our ability to successfully commercialize our drug candidates and may harm our business and results of operations.</w:t>
      </w:r>
    </w:p>
    <w:p>
      <w:pPr>
        <w:spacing w:after="0" w:line="137" w:lineRule="exact"/>
        <w:rPr>
          <w:sz w:val="20"/>
          <w:szCs w:val="20"/>
          <w:color w:val="auto"/>
        </w:rPr>
      </w:pPr>
    </w:p>
    <w:p>
      <w:pPr>
        <w:ind w:left="34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academic and private non-academic institutions to conduct investigator-sponsored clinical studies or trials of our drug candidates. Any failure by the investigator-sponsor to meet its obligations with respect to the clinical development of our drug candidates may delay or impair our ability to obtain regulatory approval or commercialize for other drug candidates.</w:t>
      </w:r>
    </w:p>
    <w:p>
      <w:pPr>
        <w:spacing w:after="0" w:line="134"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We currently rely on academic and private non-academic institutions to conduct and sponsor clinical studies or trials relating to our drug candidates. We do not control the design or conduct of the investigator-sponsored trials, and it is possible that the FDA or non-U.S. regulatory authorities will not view these investigator-sponsored studies or trials as providing adequate support for future clinical trials, whether controlled by us or independent investigators, for any one or more reasons, including elements of the design or execution of the trials or safety concerns or other trial results.</w:t>
      </w:r>
    </w:p>
    <w:p>
      <w:pPr>
        <w:spacing w:after="0" w:line="139"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Such arrangements will likely provide us certain information concerning our drug candidates with respect to the investigator-sponsored studies or trials, including access to and the ability to use and reference the data, including for our own regulatory filings, resulting from the investigator-sponsored studies or trials. However, we would not have control over the timing and reporting of the data from investigator-sponsored trials, nor would we own the data from the investigator-sponsored studies or trials. If we are unable to confirm or replicate the results from the investigator-sponsored studies or trials or if negative results are obtained, we would likely be further delayed or prevented from advancing further clinical development of our drug candidates. Further, if investigators or institutions breach their obligations with respect to the</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clinical development of our drug candidates, or if the data proves to be inadequate compared to the first-hand knowledge we might have gained had the investigator-sponsored studies or trials been sponsored and conducted by us, then our ability to design and conduct any future clinical trials ourselves may be adversely affected.</w:t>
      </w:r>
    </w:p>
    <w:p>
      <w:pPr>
        <w:spacing w:after="0" w:line="149"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Additionally, the FDA or non-U.S. regulatory authorities may disagree with the sufficiency of our right of reference to the preclinical, manufacturing or clinical data generated by these investigator-sponsored studies or trials or our interpretation of preclinical, manufacturing or clinical data from these investigator-sponsored studies or trials. If so, the FDA or other non-U.S. regulatory authorities may require us to obtain and submit additional preclinical, manufacturing or clinical data before we may initiate our planned clinical trials and/or may not accept such additional data as adequate to initiate our planned clinical trials.</w:t>
      </w:r>
    </w:p>
    <w:p>
      <w:pPr>
        <w:spacing w:after="0" w:line="139" w:lineRule="exact"/>
        <w:rPr>
          <w:sz w:val="20"/>
          <w:szCs w:val="20"/>
          <w:color w:val="auto"/>
        </w:rPr>
      </w:pPr>
    </w:p>
    <w:p>
      <w:pPr>
        <w:ind w:lef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outcomes from the clinical trials of drug candidates from others, and the discovery and development of new potential therapies in immunology and oncology, could have a material and adverse impact on the value of the drug candidates in our research and development pipeline.</w:t>
      </w:r>
    </w:p>
    <w:p>
      <w:pPr>
        <w:spacing w:after="0" w:line="9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research and development of immune-modulatory agents is a very competitive global segment in the biopharmaceutical industry attracting tens of billions of dollars of investment each year. Our clinical trial plans for rezpegaldesleukin, NKTR-255 and other drug candidates face substantial competition from other regimens already approved, and many more that are either ahead of or in parallel development in patient populations where we are studying our drug candidates. As immunotherapy represents a relatively new approach to treatment of autoimmune disorders and cancer and few have successfully completed late stage development, drug development in this area entails substantial risks and uncertainties that include rapidly changing standards of care, identifying contribution of components when therapeutic combinations are employed, patient enrollment competition, evolving regulatory frameworks to evaluate regimens, and varying risk-benefit profiles of competing therapies, any or all of which could have a material and adverse impact on the probability of success of our drug candidates.</w:t>
      </w:r>
    </w:p>
    <w:p>
      <w:pPr>
        <w:spacing w:after="0" w:line="161" w:lineRule="exact"/>
        <w:rPr>
          <w:sz w:val="20"/>
          <w:szCs w:val="20"/>
          <w:color w:val="auto"/>
        </w:rPr>
      </w:pPr>
    </w:p>
    <w:p>
      <w:pPr>
        <w:ind w:left="34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risk of clinical failure for any drug candidate remains high prior to regulatory approval and there can be no assurance that our drug candidates will obtain regulatory approval for any particular indications.</w:t>
      </w:r>
    </w:p>
    <w:p>
      <w:pPr>
        <w:spacing w:after="0" w:line="118"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A number of companies have suffered significant unforeseen failures in clinical studies due to factors such as inconclusive efficacy or safety, even after achieving preclinical proof-of-concept or positive results from earlier clinical studies that were satisfactory both to them and to reviewing regulatory authorities. Clinical study outcomes remain very unpredictable and it is possible that one or more of our clinical studies could fail at any time due to efficacy, safety or other important clinical findings or regulatory requirements. The results from preclinical testing or early clinical trials of a drug candidate may not predict the results that will be obtained in later phase clinical trials of the drug candidate. We, the FDA, an independent Institutional Review Board (IRB), an independent ethics committee (IEC), or other applicable regulatory authorities may suspend clinical trials of a drug candidate at any time for various reasons, including a belief that patients participating in such trials are being exposed to unacceptable health risks or adverse side effects. Similarly, an IRB or IEC may suspend a clinical trial at a particular trial site. If one or more of our drug candidates fail in clinical studies, it could have a material adverse effect on our business, financial condition and results of operations.</w:t>
      </w:r>
    </w:p>
    <w:p>
      <w:pPr>
        <w:spacing w:after="0" w:line="144"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competition could render our partnered and proprietary drugs and drug candidates obsolete or noncompetitive, which would negatively impact our business, results of operations and financial condition.</w:t>
      </w:r>
    </w:p>
    <w:p>
      <w:pPr>
        <w:spacing w:after="0" w:line="132" w:lineRule="exact"/>
        <w:rPr>
          <w:sz w:val="20"/>
          <w:szCs w:val="20"/>
          <w:color w:val="auto"/>
        </w:rPr>
      </w:pPr>
    </w:p>
    <w:p>
      <w:pPr>
        <w:ind w:right="60" w:firstLine="644"/>
        <w:spacing w:after="0" w:line="252" w:lineRule="auto"/>
        <w:rPr>
          <w:sz w:val="20"/>
          <w:szCs w:val="20"/>
          <w:color w:val="auto"/>
        </w:rPr>
      </w:pPr>
      <w:r>
        <w:rPr>
          <w:rFonts w:ascii="Times New Roman" w:cs="Times New Roman" w:eastAsia="Times New Roman" w:hAnsi="Times New Roman"/>
          <w:sz w:val="18"/>
          <w:szCs w:val="18"/>
          <w:color w:val="auto"/>
        </w:rPr>
        <w:t>Our partnered and proprietary products and drug candidates compete with various pharmaceutical and biotechnology companies. For rezpegaldesleukin, 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microbiome-based, or toleragenic-based therapies (Symbiotix, LLC, Janssen, AstraZeneca, and Tizona Therapeutics), regulatory T cell therapies (Sangamo Therapeutics, Inc., Quell Therapeutics, Ltd., TxCell, Inc., Sonoma Biotherapeutics, Inc., GentiBio, Inc., Kyvema Therapeutics, Inc., and Tract Therapeutics, Inc.), or IL-2-based-therapies (Amgen Inc., BMS, Novartis, Inc., ILTOO Pharma, Xencor, Inc., Merck &amp; Co, through its acquisition of Pandion Therapeutics, and Sanofi SA, through its acquisition of Synthorx, Inc.). For NKTR-255, we believe companies that are currently researching and developing engineered IL-15 biologics and cell therapies that could compete with this drug candidate include Artiva Biotherapeutics, Fate Therapeutics, ImmunityBio, Inc., Nkarta Therapeutics, NKMax America, and Roche/Genentech (through its partnership with Xencor, Inc.). For NKTR-0165, we believe companies targeting the TNFR2 pathway for the treatment of patients with autoimmune disease include Dualyx, TRexBio, Inc., Odyssey Therapeutics, Inc., and Pfizer, Inc. There can be no assurance that we or our partners will successfully develop, obtain regulatory approvals for and commercialize next-generation or new products that will successfully compete with those of our competitors. Many of our competitors have greater financial, research and development, marketing and sales, manufacturing and managerial capabilities. We face competition from these companies not just in product development but also in areas such as recruiting employees, acquiring technologies that might enhance our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ability to commercialize products, establishing relationships with certain research and academic institutions, enrolling patients in clinical trials and seeking program partnerships and collaborations with larger pharmaceutical companies. As a result, our competitors may succeed in developing competing technologies, obtaining regulatory approval or gaining market acceptance for products before we do. These developments could make our products or technologies noncompetitive or obsolete.</w:t>
      </w:r>
    </w:p>
    <w:p>
      <w:pPr>
        <w:spacing w:after="0" w:line="149" w:lineRule="exact"/>
        <w:rPr>
          <w:sz w:val="20"/>
          <w:szCs w:val="20"/>
          <w:color w:val="auto"/>
        </w:rPr>
      </w:pPr>
    </w:p>
    <w:p>
      <w:pPr>
        <w:ind w:left="34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and interim data from our clinical studies that we announce or publish from time to time are subject to audit and verification procedures that could result in material changes in the final data and may change as more patient data become available.</w:t>
      </w:r>
    </w:p>
    <w:p>
      <w:pPr>
        <w:spacing w:after="0" w:line="118"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From time to time, we publish preliminary or interim data from our clinical studies. Preliminary data remain subject to audit confirmation and verification procedures that may result in the final data being materially different from the preliminary data we previously published. Interim data are also subject to the risk that one or more of the clinical outcomes may materially change as patient enrollment continues and more patient data become available. As a result, preliminary and interim data should be viewed with caution until the final data are available. Material adverse changes in the final data could significantly harm our business prospects.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cost-savings measures may be necessary following implementation of our strategic reorganization plan and cost restructuring plans.</w:t>
      </w:r>
    </w:p>
    <w:p>
      <w:pPr>
        <w:spacing w:after="0" w:line="189"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Our 2022 and 2023 Restructuring Plans prioritized key research and development efforts that will impact the Company’s future business activities, including activities involving rezpegaldesleukin, NKTR-255, NKTR-0165 and several core research programs. There is no guarantee that these Restructuring Plans and their associated cost restructuring measures will achieve their intended benefits or that our post-restructuring focus will be sufficient for us to achieve success. Consequently, we may need to undertake additional restructuring and cost-saving activities to further prioritize our key research and development efforts and these additional restructuring and cost-saving activities may not be successful, which could have a material adverse effect on our business, financial condition and prospects.</w:t>
      </w:r>
    </w:p>
    <w:p>
      <w:pPr>
        <w:spacing w:after="0" w:line="143" w:lineRule="exact"/>
        <w:rPr>
          <w:sz w:val="20"/>
          <w:szCs w:val="20"/>
          <w:color w:val="auto"/>
        </w:rPr>
      </w:pPr>
    </w:p>
    <w:p>
      <w:pPr>
        <w:ind w:left="34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depend significantly on the ability of our collaboration partners to successfully develop and market drugs and they may fail to do so.</w:t>
      </w:r>
    </w:p>
    <w:p>
      <w:pPr>
        <w:spacing w:after="0" w:line="132" w:lineRule="exact"/>
        <w:rPr>
          <w:sz w:val="20"/>
          <w:szCs w:val="20"/>
          <w:color w:val="auto"/>
        </w:rPr>
      </w:pPr>
    </w:p>
    <w:p>
      <w:pPr>
        <w:ind w:left="660" w:right="600"/>
        <w:spacing w:after="0" w:line="282" w:lineRule="auto"/>
        <w:rPr>
          <w:sz w:val="20"/>
          <w:szCs w:val="20"/>
          <w:color w:val="auto"/>
        </w:rPr>
      </w:pPr>
      <w:r>
        <w:rPr>
          <w:rFonts w:ascii="Times New Roman" w:cs="Times New Roman" w:eastAsia="Times New Roman" w:hAnsi="Times New Roman"/>
          <w:sz w:val="18"/>
          <w:szCs w:val="18"/>
          <w:color w:val="auto"/>
        </w:rPr>
        <w:t>Under our collaboration agreements with various pharmaceutical or biotechnology companies, our collaboration partner is generally solely responsible for:</w:t>
      </w:r>
    </w:p>
    <w:p>
      <w:pPr>
        <w:spacing w:after="0" w:line="121" w:lineRule="exact"/>
        <w:rPr>
          <w:sz w:val="20"/>
          <w:szCs w:val="20"/>
          <w:color w:val="auto"/>
        </w:rPr>
      </w:pPr>
    </w:p>
    <w:p>
      <w:pPr>
        <w:ind w:left="1300" w:hanging="648"/>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conducting large scale clinical studies;</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filing documents necessary to obtain government approvals to sell a given drug candidate; and/or</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the drugs when and if they are approved.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reliance on collaboration partners poses a number of significant risks to our business, including risks that:</w:t>
      </w:r>
    </w:p>
    <w:p>
      <w:pPr>
        <w:spacing w:after="0" w:line="185" w:lineRule="exact"/>
        <w:rPr>
          <w:sz w:val="20"/>
          <w:szCs w:val="20"/>
          <w:color w:val="auto"/>
        </w:rPr>
      </w:pPr>
    </w:p>
    <w:p>
      <w:pPr>
        <w:ind w:left="1300" w:hanging="648"/>
        <w:spacing w:after="0" w:line="258"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little control over the timing and level of resources that our collaboration partners dedicate to commercial marketing efforts such as the amount of investment in sales and marketing personnel, general marketing campaigns, direct-to-consumer advertising, product sampling, pricing agreements and rebate strategies with government and private payers, manufacturing and supply of drug product, and other marketing and selling activities that need to be undertaken and well executed for a drug to have the potential to achieve commercial success;</w:t>
      </w:r>
    </w:p>
    <w:p>
      <w:pPr>
        <w:spacing w:after="0" w:line="156" w:lineRule="exact"/>
        <w:rPr>
          <w:rFonts w:ascii="Times New Roman" w:cs="Times New Roman" w:eastAsia="Times New Roman" w:hAnsi="Times New Roman"/>
          <w:sz w:val="18"/>
          <w:szCs w:val="18"/>
          <w:color w:val="auto"/>
        </w:rPr>
      </w:pPr>
    </w:p>
    <w:p>
      <w:pPr>
        <w:ind w:left="1300" w:right="280" w:hanging="648"/>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when the applicable contract mandates otherwise, collaboration partners with commercial rights may choose to devote fewer resources to the development or marketing of our partnered drugs than they devote to their own drugs or other drugs that they have in-licensed;</w:t>
      </w:r>
    </w:p>
    <w:p>
      <w:pPr>
        <w:spacing w:after="0" w:line="135" w:lineRule="exact"/>
        <w:rPr>
          <w:rFonts w:ascii="Times New Roman" w:cs="Times New Roman" w:eastAsia="Times New Roman" w:hAnsi="Times New Roman"/>
          <w:sz w:val="18"/>
          <w:szCs w:val="18"/>
          <w:color w:val="auto"/>
        </w:rPr>
      </w:pPr>
    </w:p>
    <w:p>
      <w:pPr>
        <w:ind w:left="1300" w:right="220" w:hanging="648"/>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little control over the timing and amount of resources our partners devote to development programs in one or more major markets;</w:t>
      </w:r>
    </w:p>
    <w:p>
      <w:pPr>
        <w:spacing w:after="0" w:line="121" w:lineRule="exact"/>
        <w:rPr>
          <w:rFonts w:ascii="Times New Roman" w:cs="Times New Roman" w:eastAsia="Times New Roman" w:hAnsi="Times New Roman"/>
          <w:sz w:val="18"/>
          <w:szCs w:val="18"/>
          <w:color w:val="auto"/>
        </w:rPr>
      </w:pPr>
    </w:p>
    <w:p>
      <w:pPr>
        <w:ind w:left="1300" w:right="20" w:hanging="648"/>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partners could lead to delays in, or termination of, the research, development or commercialization of drug candidates or to litigation or arbitration proceedings;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right="200" w:hanging="648"/>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or escalate in the future with respect to the ownership of rights to technology or intellectual property developed with partners;</w:t>
      </w:r>
    </w:p>
    <w:p>
      <w:pPr>
        <w:spacing w:after="0" w:line="134" w:lineRule="exact"/>
        <w:rPr>
          <w:rFonts w:ascii="Times New Roman" w:cs="Times New Roman" w:eastAsia="Times New Roman" w:hAnsi="Times New Roman"/>
          <w:sz w:val="18"/>
          <w:szCs w:val="18"/>
          <w:color w:val="auto"/>
        </w:rPr>
      </w:pPr>
    </w:p>
    <w:p>
      <w:pPr>
        <w:ind w:left="1300" w:right="100" w:hanging="648"/>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the ability to unilaterally terminate agreements (or partners may have extension or renewal rights) that we believe are not on commercially reasonable terms or consistent with our current business strategy;</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be unable to pay us as expected;</w:t>
      </w:r>
    </w:p>
    <w:p>
      <w:pPr>
        <w:spacing w:after="0" w:line="184" w:lineRule="exact"/>
        <w:rPr>
          <w:rFonts w:ascii="Times New Roman" w:cs="Times New Roman" w:eastAsia="Times New Roman" w:hAnsi="Times New Roman"/>
          <w:sz w:val="18"/>
          <w:szCs w:val="18"/>
          <w:color w:val="auto"/>
        </w:rPr>
      </w:pPr>
    </w:p>
    <w:p>
      <w:pPr>
        <w:ind w:left="1300" w:right="280" w:hanging="648"/>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terminate their agreements with us unilaterally for any or no reason, in some cases with the payment of a termination fee penalty and in other cases with no termination fee penalty; and</w:t>
      </w:r>
    </w:p>
    <w:p>
      <w:pPr>
        <w:spacing w:after="0" w:line="134" w:lineRule="exact"/>
        <w:rPr>
          <w:rFonts w:ascii="Times New Roman" w:cs="Times New Roman" w:eastAsia="Times New Roman" w:hAnsi="Times New Roman"/>
          <w:sz w:val="18"/>
          <w:szCs w:val="18"/>
          <w:color w:val="auto"/>
        </w:rPr>
      </w:pPr>
    </w:p>
    <w:p>
      <w:pPr>
        <w:ind w:left="1300" w:right="160" w:hanging="648"/>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respond to natural disasters or health epidemics by ceasing all or some of their development responsibilities (including the responsibility to clinical develop our drug candidates).</w:t>
      </w:r>
    </w:p>
    <w:p>
      <w:pPr>
        <w:spacing w:after="0" w:line="121"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Given these risks, the success of our current and future collaboration partnerships is highly unpredictable and can have a substantial negative impact on our business. If the approved drugs fail to achieve commercial success or the drug candidates in development fail to have positive late stage clinical outcomes sufficient to support regulatory approval in major markets, it could significantly impair our access to capital necessary to fund our research and development efforts. If we are unable to obtain sufficient capital resources to advance our drug candidate pipeline, it would negatively impact the value of our business, results of operations and financial condition.</w:t>
      </w:r>
    </w:p>
    <w:p>
      <w:pPr>
        <w:spacing w:after="0" w:line="139" w:lineRule="exact"/>
        <w:rPr>
          <w:sz w:val="20"/>
          <w:szCs w:val="20"/>
          <w:color w:val="auto"/>
        </w:rPr>
      </w:pPr>
    </w:p>
    <w:p>
      <w:pPr>
        <w:ind w:left="340"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future capital requirements and there is a risk that we may not have access to sufficient capital to meet our current business plan. If we do not receive substantial milestone or royalty payments from our existing collaboration agreements, execute new high value collaborations or other arrangements, or are unable to raise additional capital in one or more financing transactions, we would be unable to continue our current level of investment in research and development.</w:t>
      </w:r>
    </w:p>
    <w:p>
      <w:pPr>
        <w:spacing w:after="0" w:line="153"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As of December 31, 2024, we had cash and investments in marketable securities valued at approximately $269.1 million. While we believe that our cash position will be sufficient to meet our liquidity requirements through at least the next 12 months, our future capital requirements will depend upon numerous unpredictable factors, including:</w:t>
      </w:r>
    </w:p>
    <w:p>
      <w:pPr>
        <w:spacing w:after="0" w:line="135" w:lineRule="exact"/>
        <w:rPr>
          <w:sz w:val="20"/>
          <w:szCs w:val="20"/>
          <w:color w:val="auto"/>
        </w:rPr>
      </w:pPr>
    </w:p>
    <w:p>
      <w:pPr>
        <w:ind w:left="1300" w:hanging="64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clinical studies and regulatory reviews of our drug candidates, particularly rezpegaldesleukin;</w:t>
      </w:r>
    </w:p>
    <w:p>
      <w:pPr>
        <w:spacing w:after="0" w:line="184" w:lineRule="exact"/>
        <w:rPr>
          <w:rFonts w:ascii="Times New Roman" w:cs="Times New Roman" w:eastAsia="Times New Roman" w:hAnsi="Times New Roman"/>
          <w:sz w:val="18"/>
          <w:szCs w:val="18"/>
          <w:color w:val="auto"/>
        </w:rPr>
      </w:pPr>
    </w:p>
    <w:p>
      <w:pPr>
        <w:ind w:left="1300" w:right="40" w:hanging="648"/>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we receive potential milestone payments and royalties from our existing collaborations if the drug candidates subject to those collaborations achieve clinical, regulatory or commercial success;</w:t>
      </w:r>
    </w:p>
    <w:p>
      <w:pPr>
        <w:spacing w:after="0" w:line="13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 and results of our clinical development programs;</w:t>
      </w:r>
    </w:p>
    <w:p>
      <w:pPr>
        <w:spacing w:after="0" w:line="184" w:lineRule="exact"/>
        <w:rPr>
          <w:rFonts w:ascii="Times New Roman" w:cs="Times New Roman" w:eastAsia="Times New Roman" w:hAnsi="Times New Roman"/>
          <w:sz w:val="18"/>
          <w:szCs w:val="18"/>
          <w:color w:val="auto"/>
        </w:rPr>
      </w:pPr>
    </w:p>
    <w:p>
      <w:pPr>
        <w:ind w:left="1300" w:right="260" w:hanging="648"/>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progress, timing and costs of our efforts to implement new collaborations, licenses and other transactions that increase our current net cash, such as the sale of additional royalty interests held by us, term loan or other debt arrangements, and the issuance of securities;</w:t>
      </w:r>
    </w:p>
    <w:p>
      <w:pPr>
        <w:spacing w:after="0" w:line="135" w:lineRule="exact"/>
        <w:rPr>
          <w:rFonts w:ascii="Times New Roman" w:cs="Times New Roman" w:eastAsia="Times New Roman" w:hAnsi="Times New Roman"/>
          <w:sz w:val="18"/>
          <w:szCs w:val="18"/>
          <w:color w:val="auto"/>
        </w:rPr>
      </w:pPr>
    </w:p>
    <w:p>
      <w:pPr>
        <w:ind w:left="1300" w:right="760" w:hanging="648"/>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enrollment criteria, primary and secondary endpoints, and the number of clinical studies required by the regulatory authorities in order to consider for approval our drug candidates and those of our collaboration partners;</w:t>
      </w:r>
    </w:p>
    <w:p>
      <w:pPr>
        <w:spacing w:after="0" w:line="13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and administrative expenses, capital expenditures and other uses of cash; and</w:t>
      </w:r>
    </w:p>
    <w:p>
      <w:pPr>
        <w:spacing w:after="0" w:line="184" w:lineRule="exact"/>
        <w:rPr>
          <w:rFonts w:ascii="Times New Roman" w:cs="Times New Roman" w:eastAsia="Times New Roman" w:hAnsi="Times New Roman"/>
          <w:sz w:val="18"/>
          <w:szCs w:val="18"/>
          <w:color w:val="auto"/>
        </w:rPr>
      </w:pPr>
    </w:p>
    <w:p>
      <w:pPr>
        <w:jc w:val="both"/>
        <w:ind w:left="1300" w:hanging="648"/>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patents, proprietary rights, or license and collaboration agreements that could negatively impact our receipt of milestone payments or royalties or require us to make significant payments arising from licenses, settlements, adverse judgments or ongoing royalties.</w:t>
      </w:r>
    </w:p>
    <w:p>
      <w:pPr>
        <w:spacing w:after="0" w:line="135"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A significant multi-year capital commitment is required to advance our drug candidates through the various stages of research and development in order to generate sufficient data to enable high value collaboration partnerships with significant upfront payments or to successfully achieve regulatory approval. In the event we do not enter into any new collaboration partnerships with significant upfront payments and we choose to continue to advance our drug candidates to later stage research and development, we may need to pursue financing alternatives, including dilutive equity-based financings, such as an offering of convertible debt or common stock, which would dilute the percentage ownership of our current common stockholders and could significantly lower the market value of our common stock. If sufficient capital is not available to us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or is not available on commercially reasonable terms, it could require us to delay or reduce one or more of our research and development programs. If we are unable to sufficiently advance our research and development programs, it could substantially impair the value of such programs and result in a material adverse effect on our business, financial condition and results of operations.</w:t>
      </w:r>
    </w:p>
    <w:p>
      <w:pPr>
        <w:spacing w:after="0" w:line="145"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18"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It is very difficult to estimate the commercial potential of drug candidates due to important factors such as safety and efficacy compared to other available treatments, including changing standards of care, third party payer reimbursement standards, patient and physician preferences, the availability of competitive alternatives that may emerge either during the long drug development process or after commercial introduction, and the availability of generic and biosimilar versions of our drug candidates following approval by regulatory authorities based on the expiration of regulatory exclusivity or our inability to prevent generic or biosimilar versions from coming to market by asserting our patents. If due to one or more of these risks the market potential for a drug candidate is lower than we anticipated, it could significantly and negatively impact the commercial potential of the drug candidate, the commercial terms of any collaboration partnership potential for such drug candidate, or if we have already entered into a collaboration for such drug candidate, the revenue potential from royalty and milestone payments could be significantly diminished and this would negatively impact our business, financial condition and results of operations. We may also depend on our relationships with other companies for sales and marketing performance and the commercialization of drug candidates. Poor performance by these companies, or disputes with these companies, could negatively impact our revenue and financial condition.</w:t>
      </w:r>
    </w:p>
    <w:p>
      <w:pPr>
        <w:spacing w:after="0" w:line="150"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government and private insurance programs do not provide payment or reimbursement for our partnered drug or proprietary drugs, those drugs will not be widely accepted, which would have a negative impact on our business, results of operations and financial condition.</w:t>
      </w:r>
    </w:p>
    <w:p>
      <w:pPr>
        <w:spacing w:after="0" w:line="132" w:lineRule="exact"/>
        <w:rPr>
          <w:sz w:val="20"/>
          <w:szCs w:val="20"/>
          <w:color w:val="auto"/>
        </w:rPr>
      </w:pPr>
    </w:p>
    <w:p>
      <w:pPr>
        <w:ind w:right="140" w:firstLine="644"/>
        <w:spacing w:after="0" w:line="254"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payers to reimburse all or part of the costs associated with their treatment. In both domestic and foreign markets, sales of our partnered and proprietary products that receive regulatory approval will depend in part on market acceptance among physicians and patients, pricing approvals by government authorities and the availability of coverage and payment or reimbursement from third-party payers, such as government programs, including Medicare and Medicaid in the U.S., managed care providers, private health insurers and other organizations. However, eligibility for coverage does not necessarily signify that a drug candidate will be adequately reimbursed in all cases or at a rate that covers costs related to research, development, manufacture, sale, and distribution. Third-party payers are increasingly challenging the price and cost effectiveness of medical products and services. Therefore, significant uncertainty exists as to the coverage and pricing approvals for, and the payment or reimbursement status of, newly approved healthcare products. For more information, see “Business – Government Regulation – Coverage, Reimbursement, and Pricing.”</w:t>
      </w:r>
    </w:p>
    <w:p>
      <w:pPr>
        <w:spacing w:after="0" w:line="148"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payers tend to follow CMS to a substantial degree.</w:t>
      </w:r>
    </w:p>
    <w:p>
      <w:pPr>
        <w:spacing w:after="0" w:line="143"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Factors payers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spacing w:after="0" w:line="135"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In addition, net prices for drugs may be reduced by mandatory discounts or rebates required by government healthcare programs or private payers and by any future relaxation of laws that presently restrict imports of drugs from countries where they may be sold at lower prices than in the United States.</w:t>
      </w:r>
    </w:p>
    <w:p>
      <w:pPr>
        <w:spacing w:after="0" w:line="121"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Increasingly, third-party payers are requiring that drug companies provide them with predetermined discounts from list prices and are challenging the prices charged for medical products. We cannot be sure that reimbursement will be available for any of our drug candidates that are commercialized and, if reimbursement is available, the level of reimbursement.</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40" w:firstLine="644"/>
        <w:spacing w:after="0" w:line="266" w:lineRule="auto"/>
        <w:rPr>
          <w:sz w:val="20"/>
          <w:szCs w:val="20"/>
          <w:color w:val="auto"/>
        </w:rPr>
      </w:pPr>
      <w:r>
        <w:rPr>
          <w:rFonts w:ascii="Times New Roman" w:cs="Times New Roman" w:eastAsia="Times New Roman" w:hAnsi="Times New Roman"/>
          <w:sz w:val="18"/>
          <w:szCs w:val="18"/>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149"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Moreover, legislation and regulations affecting the pricing of pharmaceuticals may change before regulatory agencies approve our proposed products for marketing and could further limit coverage or pricing approvals for, and reimbursement of, our products from government authorities and third-party payers.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products hold the potential to severely limit market opportunities of such products.</w:t>
      </w:r>
    </w:p>
    <w:p>
      <w:pPr>
        <w:spacing w:after="0" w:line="15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drug candidates. Historically, products launched in the European Union do not follow price structures of the U.S. and generally prices tend to be significantly lower.</w:t>
      </w:r>
    </w:p>
    <w:p>
      <w:pPr>
        <w:spacing w:after="0" w:line="144" w:lineRule="exact"/>
        <w:rPr>
          <w:sz w:val="20"/>
          <w:szCs w:val="20"/>
          <w:color w:val="auto"/>
        </w:rPr>
      </w:pPr>
    </w:p>
    <w:p>
      <w:pPr>
        <w:ind w:left="34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collaboration partnerships on attractive commercial terms, our business, results of operations and financial condition could suffer.</w:t>
      </w:r>
    </w:p>
    <w:p>
      <w:pPr>
        <w:spacing w:after="0" w:line="132"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We intend to continue to seek partnerships with pharmaceutical and biotechnology partners to fund a portion of our research and development capital requirements. The timing of new collaboration partnerships is difficult to predict due to availability of clinical data, the outcomes from our clinical studies, the number of potential partners that need to complete due diligence and approval processes, the definitive agreement negotiation process and numerous other unpredictable factors that can delay, impede or prevent significant transactions. If we are unable to find suitable partners or negotiate collaboration arrangements with favorable commercial terms with respect to our existing and future drug candidates or the licensing of our intellectual property, or if any arrangements we negotiate, or have negotiated, are terminated, it could have a material adverse effect on our business, financial condition and results of operations.</w:t>
      </w:r>
    </w:p>
    <w:p>
      <w:pPr>
        <w:spacing w:after="0" w:line="144" w:lineRule="exact"/>
        <w:rPr>
          <w:sz w:val="20"/>
          <w:szCs w:val="20"/>
          <w:color w:val="auto"/>
        </w:rPr>
      </w:pPr>
    </w:p>
    <w:p>
      <w:pPr>
        <w:ind w:left="34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has historically been exclusively derived from our collaboration agreements, which can result in significant fluctuation in our revenue from period to period, and our past revenue is therefore not necessarily indicative of our future revenue.</w:t>
      </w:r>
    </w:p>
    <w:p>
      <w:pPr>
        <w:spacing w:after="0" w:line="118"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revenue has historically been exclusively derived from our collaboration agreements (whether based on our drug candidates or polymeric reagents), from which we receive upfront fees, research and development reimbursement and funding, milestone and other contingent payments based on clinical progress, regulatory progress or net sales achievements, royalties and product sales. Significant variations in the timing of receipt of cash payments and our recognition of revenue can result from payments based on the execution of new collaboration agreements, the timing of clinical outcomes, regulatory approval, commercial launch or the achievement of certain annual sales thresholds. The amount of our revenue derived from collaboration agreements in any given period will depend on a number of unpredictable factors, including whether and when we or our collaboration partners achieve clinical, regulatory and sales milestones, the timing of regulatory approvals in one or more major markets, reimbursement levels by private and government payers, and the market introduction of new drugs or generic versions of the approved drug, as well as other factors. Our past revenue generated from collaboration agreements is not necessarily indicative of our future revenue. If any of our existing or future collaboration partners fails to develop, obtain regulatory approval for, manufacture or ultimately commercialize any drug candidate under our collaboration agreement, our business, financial condition, and results of operations could be materially and adversely affected.</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expect to continue to incur substantial losses and negative cash flow from operations and may not achieve or sustain profitability in the future.</w:t>
      </w:r>
    </w:p>
    <w:p>
      <w:pPr>
        <w:spacing w:after="0" w:line="202" w:lineRule="exact"/>
        <w:rPr>
          <w:sz w:val="20"/>
          <w:szCs w:val="20"/>
          <w:color w:val="auto"/>
        </w:rPr>
      </w:pPr>
    </w:p>
    <w:p>
      <w:pPr>
        <w:ind w:right="180" w:firstLine="64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reported a net loss of $119.0 million. If and when we achieve profitability depends upon a number of factors, including the timing and recognition of milestones and other contingent payments and royalties received, the timing of revenue under our collaboration agreements, the amount of investments we make in our proprietary drug candidates and the regulatory approval and market success of our drug candidates. We may not be able to achieve and sustain profitability.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factors that will affect whether we achieve and sustain profitability include our ability, alone or together with our partners, to:</w:t>
      </w:r>
    </w:p>
    <w:p>
      <w:pPr>
        <w:spacing w:after="0" w:line="185" w:lineRule="exact"/>
        <w:rPr>
          <w:sz w:val="20"/>
          <w:szCs w:val="20"/>
          <w:color w:val="auto"/>
        </w:rPr>
      </w:pPr>
    </w:p>
    <w:p>
      <w:pPr>
        <w:ind w:left="1300" w:hanging="648"/>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drugs utilizing our technologies, either independently or in collaboration with other pharmaceutical or biotechnology companies;</w:t>
      </w:r>
    </w:p>
    <w:p>
      <w:pPr>
        <w:spacing w:after="0" w:line="198" w:lineRule="exact"/>
        <w:rPr>
          <w:rFonts w:ascii="Times New Roman" w:cs="Times New Roman" w:eastAsia="Times New Roman" w:hAnsi="Times New Roman"/>
          <w:sz w:val="18"/>
          <w:szCs w:val="18"/>
          <w:color w:val="auto"/>
        </w:rPr>
      </w:pPr>
    </w:p>
    <w:p>
      <w:pPr>
        <w:ind w:left="1300" w:right="80" w:hanging="648"/>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estimate and manage clinical development costs, particularly the cost of the clinical studies for rezpegaldesleukin and NKTR-255;</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necessary regulatory and marketing approvals;</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expand manufacturing at necessary levels;</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partnered products;</w:t>
      </w:r>
    </w:p>
    <w:p>
      <w:pPr>
        <w:spacing w:after="0" w:line="184" w:lineRule="exact"/>
        <w:rPr>
          <w:rFonts w:ascii="Times New Roman" w:cs="Times New Roman" w:eastAsia="Times New Roman" w:hAnsi="Times New Roman"/>
          <w:sz w:val="18"/>
          <w:szCs w:val="18"/>
          <w:color w:val="auto"/>
        </w:rPr>
      </w:pPr>
    </w:p>
    <w:p>
      <w:pPr>
        <w:ind w:left="1300" w:right="700" w:hanging="648"/>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revenue or royalties on products that have been approved, marketed or submitted for marketing approval with regulatory authorities; and</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sufficient funds to finance our activities.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Supply and Manufacturing</w:t>
      </w:r>
    </w:p>
    <w:p>
      <w:pPr>
        <w:spacing w:after="0" w:line="185"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contract manufacturers are not able to manufacture biologic substance or substances in sufficient quantities that meet applicable quality standards, it could delay clinical studies, result in reduced sales or constitute a breach of our contractual obligations, any of which could significantly harm our business, financial condition and results of operations.</w:t>
      </w:r>
    </w:p>
    <w:p>
      <w:pPr>
        <w:spacing w:after="0" w:line="134"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If our contract manufacturing organizations (CMOs) are not able to manufacture and supply sufficient drug quantities meeting applicable quality standards required to support large clinical studies or commercial manufacturing in a timely manner, it could delay our or our collaboration partners’ clinical studies or result in a breach of our contractual obligations, which could in turn reduce the potential commercial sales of our or our collaboration partners’ products. As a result, we could incur substantial costs and damages and any product sales or royalty revenue that we would otherwise be entitled to receive could be reduced, delayed or eliminated. In most cases, we rely on CMOs to manufacture and supply drug product for our clinical studies and those of our collaboration partners. As a result of the sale of the Facility, we are currently dependent on Gannet BioChem for the supply of the PEG reagents used in the manufacture of our PEG-conjugate drug candidates, including rezpegaldesleukin and NKTR-255. The manufacturing of biologics involves significant risks and uncertainties related to the demonstration of adequate stability, sufficient purification of the drug substance and drug product, the identification and elimination of impurities, optimal formulations, process and analytical methods validations, and challenges in controlling for all of these variables. We have faced and may in the future face significant difficulties, delays and unexpected expenses as we validate third party CMOs required for drug supply to support our clinical studies and the clinical studies and products of our collaboration partners. Failure by our CMOs to supply API or drug products in sufficient quantities that meet all applicable quality requirements could result in supply shortages for our clinical studies or the clinical studies and commercial activities of our collaboration partners. Such failures could significantly and materially delay clinical trials and regulatory submissions or result in reduced sales, any of which could significantly harm our business prospects, results of operations and financial condition.</w:t>
      </w:r>
    </w:p>
    <w:p>
      <w:pPr>
        <w:spacing w:after="0" w:line="170"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a CMO or require us to obtain a license from such CMO in order to have another CMO manufacture our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67"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Building and validating large scale clinical or commercial-scale manufacturing facilities and processes, recruiting and training qualified personnel and obtaining necessary regulatory approvals is complex, expensive and time consuming. In the past, we have encountered challenges in scaling up manufacturing to meet the requirements of large scale clinical trials without making modifications to the drug formulation, which may cause significant delays in clinical development. There continues to be substantial and unpredictable risk and uncertainty related to manufacturing and supply until such time as the commercial supply chain is validated and proven.</w:t>
      </w:r>
    </w:p>
    <w:p>
      <w:pPr>
        <w:spacing w:after="0" w:line="139" w:lineRule="exact"/>
        <w:rPr>
          <w:sz w:val="20"/>
          <w:szCs w:val="20"/>
          <w:color w:val="auto"/>
        </w:rPr>
      </w:pPr>
    </w:p>
    <w:p>
      <w:pPr>
        <w:ind w:left="34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purchase some of the starting material for biologics and biologic candidates from a single source or a limited number of suppliers, and the partial or complete loss of one of these suppliers could cause production delays, clinical trial delays, potential loss of revenue and contract liability to third parties.</w:t>
      </w:r>
    </w:p>
    <w:p>
      <w:pPr>
        <w:spacing w:after="0" w:line="134"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We often face very limited supply of a critical raw material that can only be obtained from a single, or a limited number of, suppliers, which could cause production delays, clinical trial delays, potential lost revenue opportunities or contract liabilities to third parties. For example, there are only a limited number of qualified suppliers, and in some cases single source suppliers, for the raw materials included in our PEGylation and advanced polymer conjugate drug formulations. Any interruption in supply, diminution in quality of raw materials supplied to us or failure to procure such raw materials on commercially feasible terms could harm our business by delaying our clinical trials, impeding commercialization of approved drugs or increasing our costs.</w:t>
      </w:r>
    </w:p>
    <w:p>
      <w:pPr>
        <w:spacing w:after="0" w:line="152" w:lineRule="exact"/>
        <w:rPr>
          <w:sz w:val="20"/>
          <w:szCs w:val="20"/>
          <w:color w:val="auto"/>
        </w:rPr>
      </w:pPr>
    </w:p>
    <w:p>
      <w:pPr>
        <w:ind w:left="34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operations of our contract manufacturers are subject to laws and other governmental regulatory requirements, which, if not met, would have a material adverse effect on our business, results of operations and financial condition.</w:t>
      </w:r>
    </w:p>
    <w:p>
      <w:pPr>
        <w:spacing w:after="0" w:line="118"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Our CMOs are required in certain cases to maintain compliance with current good manufacturing practices (cGMP), including cGMP guidelines applicable to active pharmaceutical ingredients, and drug products, and with laws and regulations governing manufacture and distribution of controlled substances, and are subject to inspections by the FDA, or comparable agencies in other jurisdictions administering such requirements. We anticipate periodic regulatory inspections of the manufacturing facilities of our CMOs for compliance with applicable regulatory requirements. Any failure of our CMOs to follow and document adherence to such cGMP and other laws and governmental regulations or satisfy other manufacturing and product release regulatory requirements may lead to significant delays in the availability of products for commercial use or clinical study, result in the termination or hold on a clinical study or delay or prevent filing or approval of marketing applications for our products. Failure to comply with applicable laws and regulations may also result in sanctions being imposed on us, including fines, injunctions, civil penalties, failure of regulatory authorities to grant marketing approval of our products, delays, suspension or withdrawal of approvals, license revocation, seizures, administrative detention, or recalls of products, operating restrictions and criminal prosecutions, any of which could harm our business. Regulatory inspections could result in costly manufacturing changes or facility or capital equipment upgrades to satisfy the FDA that our manufacturing and quality control procedures are in substantial compliance with cGMP. Manufacturing delays for our CMOs pending resolution of regulatory deficiencies or suspensions could have a material adverse effect on our business, results of operations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19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the preclinical studies and clinical trials for our drug candidates and any failure of those parties to fulfill their obligations according to protocol standards could harm our development plans and adversely affect our business.</w:t>
      </w:r>
    </w:p>
    <w:p>
      <w:pPr>
        <w:spacing w:after="0" w:line="118" w:lineRule="exact"/>
        <w:rPr>
          <w:sz w:val="20"/>
          <w:szCs w:val="20"/>
          <w:color w:val="auto"/>
        </w:rPr>
      </w:pPr>
    </w:p>
    <w:p>
      <w:pPr>
        <w:ind w:right="720" w:firstLine="644"/>
        <w:spacing w:after="0" w:line="282" w:lineRule="auto"/>
        <w:rPr>
          <w:sz w:val="20"/>
          <w:szCs w:val="20"/>
          <w:color w:val="auto"/>
        </w:rPr>
      </w:pPr>
      <w:r>
        <w:rPr>
          <w:rFonts w:ascii="Times New Roman" w:cs="Times New Roman" w:eastAsia="Times New Roman" w:hAnsi="Times New Roman"/>
          <w:sz w:val="18"/>
          <w:szCs w:val="18"/>
          <w:color w:val="auto"/>
        </w:rPr>
        <w:t>We depend on our collaboration partners, independent clinical investigators, contract research organizations and other third-party service providers to conduct preclinical studies and clinical trials for our drug candidates, including to</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monitor, record, manage and analyze data generated from these studies. We rely heavily on these parties for the successful execution of our preclinical studies and clinical trials. Though we are ultimately responsible for the results of their activities, many aspects of their activities are beyond our control, such as the timing, conduct and management of data developed through these studies and trials. For example, we are responsible for ensuring that each of our clinical trials is conducted in accordance with the general investigational plan and protocols for the trials, but the independent clinical investigators may prioritize other projects over ours or communicate issues regarding our drug candidates to us in an untimely manner. Third parties may not complete activities on schedule or may not conduct our clinical trials in accordance with regulatory requirements, such as good laboratory practice or good clinical practice, or our stated protocols and any subsequent data generated may be deemed unacceptable. We rely on our collaboration partners and other third parties to manage, analyze and transmit clinical data, and those partners and third parties may not carry out the performance of their duties with the required degree of care or skill to ensure valid and scientifically reliable work products. The early termination of any of our clinical trial arrangements, the failure of third parties to comply with the regulations and requirements governing clinical trials, the failure of third parties to properly conduct our clinical trials, or erroneously reported data could hinder or delay the development, approval and commercialization of our product candidates and would adversely affect our business, results of operations and financial condition.</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future depends on the proper management of our current and future business operations and their associated expenses.</w:t>
      </w:r>
    </w:p>
    <w:p>
      <w:pPr>
        <w:spacing w:after="0" w:line="189"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Our business strategy requires us to manage our business to provide for the continued development of our proprietary drug candidates. Our strategy also calls for us to manage the capital necessary to fund key programs through value-enhancing data and other milestones. If we are unable to manage effectively our current operations, our business, financial condition and results of operations may be adversely affected. If we are unable to effectively manage our expenses, we may find it necessary to reduce our personnel-related costs through reductions in our workforce, which could harm our operations, employee morale and impair our ability to retain and recruit talent. Furthermore, if adequate funds are not available, we may be required to obtain funds through arrangements with partners or other sources that may require us to relinquish rights to certain of our technologies, products or future economic rights that we would not otherwise relinquish or require us to enter into other dilutive financing arrangements on unfavorable terms.</w:t>
      </w:r>
    </w:p>
    <w:p>
      <w:pPr>
        <w:spacing w:after="0" w:line="144" w:lineRule="exact"/>
        <w:rPr>
          <w:sz w:val="20"/>
          <w:szCs w:val="20"/>
          <w:color w:val="auto"/>
        </w:rPr>
      </w:pPr>
    </w:p>
    <w:p>
      <w:pPr>
        <w:ind w:left="3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competition for highly qualified technical personnel is intense, we may not be able to attract and retain the personnel we need to support our operations and growth.</w:t>
      </w:r>
    </w:p>
    <w:p>
      <w:pPr>
        <w:spacing w:after="0" w:line="132" w:lineRule="exact"/>
        <w:rPr>
          <w:sz w:val="20"/>
          <w:szCs w:val="20"/>
          <w:color w:val="auto"/>
        </w:rPr>
      </w:pPr>
    </w:p>
    <w:p>
      <w:pPr>
        <w:ind w:right="180" w:firstLine="644"/>
        <w:spacing w:after="0" w:line="253" w:lineRule="auto"/>
        <w:rPr>
          <w:sz w:val="20"/>
          <w:szCs w:val="20"/>
          <w:color w:val="auto"/>
        </w:rPr>
      </w:pPr>
      <w:r>
        <w:rPr>
          <w:rFonts w:ascii="Times New Roman" w:cs="Times New Roman" w:eastAsia="Times New Roman" w:hAnsi="Times New Roman"/>
          <w:sz w:val="18"/>
          <w:szCs w:val="18"/>
          <w:color w:val="auto"/>
        </w:rPr>
        <w:t>We must attract and retain experts in the areas of research, development (including clinical testing), manufacturing, regulatory and finance, and may need to attract and retain commercial, marketing and distribution experts and develop additional expertise in our existing personnel. We face intense competition from other biopharmaceutical companies, research and academic institutions and other organizations for qualified personnel. Many of the organizations with which we compete for qualified personnel have greater resources than we have. Because competition for skilled personnel in our industry is intense, companies such as ours sometimes experience high attrition rates with regard to their skilled employees. Further, in making employment decisions, job candidates often consider the value of the stock awards they are to receive in connection with their employment. Our equity incentive plan and employee benefit plans may not be effective in motivating or retaining our employees or attracting new employees, and significant volatility in the price of our stock may adversely affect our ability to attract or retain qualified personnel. Furthermore, as a result of our 2022 and 2023 Restructuring Plans, our employees may experience distractions or decreases in employee morale and we may experience increased levels of employee attrition and turnover, which would adversely affect our business. If we fail to attract new personnel or to retain and motivate our current personnel, our business and future growth prospects could be severely harmed.</w:t>
      </w:r>
    </w:p>
    <w:p>
      <w:pPr>
        <w:spacing w:after="0" w:line="147"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key technical personnel, and the loss of any key manager or employee may impair our ability to develop our products effectively and may harm our business, operating results and financial condition.</w:t>
      </w:r>
    </w:p>
    <w:p>
      <w:pPr>
        <w:spacing w:after="0" w:line="118"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Our success largely depends on the continued services of our executive officers and other key personnel. The loss of one or more members of our management team or other key employees could seriously harm our business, operating results and financial condition. The relationships that our key managers have cultivated within our industry make us particularly dependent upon their continued employment with us. We are also dependent on the continued services of our technical personnel because of the highly technical nature of our products and the regulatory approval process. Because our executive officers and key employees are not obligated to provide us with continued services, they could terminate their employment with us at any time without penalty. We do not have any post-employment noncompetition agreements with any of our employees and do not maintain key person life insurance policies on any of our executive officers or key employees.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has increased our operating costs and could negatively impact our operations.</w:t>
      </w:r>
    </w:p>
    <w:p>
      <w:pPr>
        <w:spacing w:after="0" w:line="121" w:lineRule="exact"/>
        <w:rPr>
          <w:sz w:val="20"/>
          <w:szCs w:val="20"/>
          <w:color w:val="auto"/>
        </w:rPr>
      </w:pPr>
    </w:p>
    <w:p>
      <w:pPr>
        <w:jc w:val="both"/>
        <w:ind w:right="100" w:firstLine="644"/>
        <w:spacing w:after="0" w:line="266" w:lineRule="auto"/>
        <w:rPr>
          <w:sz w:val="20"/>
          <w:szCs w:val="20"/>
          <w:color w:val="auto"/>
        </w:rPr>
      </w:pPr>
      <w:r>
        <w:rPr>
          <w:rFonts w:ascii="Times New Roman" w:cs="Times New Roman" w:eastAsia="Times New Roman" w:hAnsi="Times New Roman"/>
          <w:sz w:val="18"/>
          <w:szCs w:val="18"/>
          <w:color w:val="auto"/>
        </w:rPr>
        <w:t>Increased price levels resulting from inflation have resulted in increased operating costs. In addition, the United States Federal Reserve has raised and held interest rates at higher levels than in the past decade in response to concerns about inflation. Increases in interest rates, especially if coupled with reduced government spending and volatility in financial markets, may further increase economic uncertainty and heighten these risks.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future health epidemics.</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directly or indirectly, by health epidemics in regions where we have concentrations of clinical trial sites or other business operations,including the manufacturing operations of third parties upon whom we rely. Health epidemics can negatively affect our clinical trials and those run by our collaborators or other third parties through delays in investigator recruitment, clinical site initiation, patient screening, or patient enrollment. In addition, health epidemics may cause disruptions in our supply chain or shortages in raw materials and equipment, which would affect our ability to supply drug candidates for clinical trials.</w:t>
      </w:r>
    </w:p>
    <w:p>
      <w:pPr>
        <w:spacing w:after="0" w:line="11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If the health epidemic is sufficiently severe and widespread, it may require us to change the way in which can conduct our business, which may negatively result in unexpected expenses, decreased employee productivity and availability and employee work culture. Further, a severe and widespread epidemic may have a broad impact on global financial markets and could reduce our ability to access capital, which could in the future negatively affect our liquidity. In addition, a recession or market correction resulting from a health epidemic could materially affect our business and the value of our common stock.</w:t>
      </w:r>
    </w:p>
    <w:p>
      <w:pPr>
        <w:spacing w:after="0" w:line="102"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ultimate effects of health epidemics is uncertain and subject to change and these effects could have a negative impact on our clinical trial timelines, operations, financial condition and prospects.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Litigation and Regulatory Concerns</w:t>
      </w:r>
    </w:p>
    <w:p>
      <w:pPr>
        <w:spacing w:after="0" w:line="158" w:lineRule="exact"/>
        <w:rPr>
          <w:sz w:val="20"/>
          <w:szCs w:val="20"/>
          <w:color w:val="auto"/>
        </w:rPr>
      </w:pPr>
    </w:p>
    <w:p>
      <w:pPr>
        <w:ind w:left="3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do not obtain regulatory approval for our drug candidates on a timely basis, or at all, or if the terms of any approval impose significant restrictions or limitations on use, our business, results of operations and financial condition will be negatively affected.</w:t>
      </w:r>
    </w:p>
    <w:p>
      <w:pPr>
        <w:spacing w:after="0" w:line="118"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or our partners may not obtain regulatory approval for drug candidates on a timely basis, or at all, or the terms of any approval (which in some countries includes pricing approval) may impose significant restrictions or limitations on use. Drug candidates must undergo rigorous animal and human testing and an extensive review process for safety and efficacy by the FDA and equivalent foreign regulatory authorities. The time required for obtaining regulatory decisions is uncertain and difficult to predict. The FDA and other U.S. and foreign regulatory authorities have substantial discretion, at any phase of development, to terminate clinical studies, require additional clinical development or other testing, delay or withhold registration and marketing approval and mandate product withdrawals, including recalls. Further, regulatory authorities have the discretion to analyze data using their own methodologies that may differ from those used by us or our partners, which could lead such authorities to arrive at different conclusions regarding the safety or efficacy of a biologic candidate. In addition, undesirable side effects caused by our drug candidates could cause us or regulatory authorities to interrupt, delay or halt clinical trials and could result in a more restricted label or the delay or denial of regulatory approval by regulatory authorities.</w:t>
      </w:r>
    </w:p>
    <w:p>
      <w:pPr>
        <w:spacing w:after="0" w:line="80"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Even if we or our partners receive regulatory approval of a product, the approval may limit the indicated uses for which the drug may be marketed. Our and our partnered drugs that have obtained regulatory approval, and the manufacturing processes for these products, are subject to continued review and periodic inspections by the FDA and other regulatory authorities. Discovery from such review and inspection of previously unknown problems may result in restrictions on marketed products or on us, including withdrawal or recall of such products from the market, suspension of related manufacturing operations or a more restricted label. The failure to obtain timely regulatory approval of drug candidates, any product marketing limitations or a product withdrawal would negatively impact our business, results of operations and financial condition.</w:t>
      </w:r>
    </w:p>
    <w:p>
      <w:pPr>
        <w:spacing w:after="0" w:line="116" w:lineRule="exact"/>
        <w:rPr>
          <w:sz w:val="20"/>
          <w:szCs w:val="20"/>
          <w:color w:val="auto"/>
        </w:rPr>
      </w:pPr>
    </w:p>
    <w:p>
      <w:pPr>
        <w:ind w:left="34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status or Breakthrough Therapy or Fast Track designations or other designation for one or more of our drug candidates, but even if any such designation or status is granted, it may not lead to a faster development process or regulatory review and may not increase the likelihood that our drug candidates will receive marketing approval, and we may be unable to maintain any benefits associated with such designations or status, including market exclusivity.</w:t>
      </w:r>
    </w:p>
    <w:p>
      <w:pPr>
        <w:spacing w:after="0" w:line="9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have been awarded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 and may seek in the future, Breakthrough Therapy or Fast Track designation for current or future drug candidates. Receipt of a designation to facilitate drug candidate development is within the discretion of the FDA. Accordingly, even if we believe one of our drug candidates meets the criteria for a designation, the FDA may disagree. In any event, the receipt of such a designation for our drug candidates may not result in a faster development process, review, or approval compared to drug candidates considered for approval under conventional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FDA procedures and does not ensure ultimate marketing approval by the FDA. In addition, the FDA may later decide that the product candidates no longer meet the designation conditions.</w:t>
      </w:r>
    </w:p>
    <w:p>
      <w:pPr>
        <w:spacing w:after="0" w:line="8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We may not be able to obtain orphan drug designation for any indications for our drug candidates, and we may not be able to maintain such designations if granted.</w:t>
      </w:r>
    </w:p>
    <w:p>
      <w:pPr>
        <w:spacing w:after="0" w:line="108"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Generally, if a drug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indications for seven years. Even if we are able to obtain orphan drug designation or orphan drug exclusivity, that exclusivity may not effectively protect the product from competition because different drugs can be approved for the same condition. Even after an orphan drug is approved, the FDA can subsequently approve the same drug for the same condition if, among other things, the FDA concludes that the later drug is clinically superior, if it is shown to be safer, more effective or makes a major contribution to patient care. Orphan drug designation does not convey any advantage in or shorten the duration of the regulatory review and approval process. Even if we receive orphan drug designation or orphan drug exclusivity for any of our drug candidates, there is no guarantee that we will enjoy the benefits of such designations or exclusivity periods.</w:t>
      </w:r>
    </w:p>
    <w:p>
      <w:pPr>
        <w:spacing w:after="0" w:line="12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The decision of the U.S. Court of Appeals for the 11th Circuit in </w:t>
      </w:r>
      <w:r>
        <w:rPr>
          <w:rFonts w:ascii="Times New Roman" w:cs="Times New Roman" w:eastAsia="Times New Roman" w:hAnsi="Times New Roman"/>
          <w:sz w:val="18"/>
          <w:szCs w:val="18"/>
          <w:i w:val="1"/>
          <w:iCs w:val="1"/>
          <w:color w:val="auto"/>
        </w:rPr>
        <w:t>Catalyst Pharms., Inc. v. Becerra</w:t>
      </w:r>
      <w:r>
        <w:rPr>
          <w:rFonts w:ascii="Times New Roman" w:cs="Times New Roman" w:eastAsia="Times New Roman" w:hAnsi="Times New Roman"/>
          <w:sz w:val="18"/>
          <w:szCs w:val="18"/>
          <w:color w:val="auto"/>
        </w:rPr>
        <w:t xml:space="preserve">, 14 F.4th 1299 (11th Cir. 2021) has created uncertainty regarding the scope of orphan drug exclusivity. Although the FDA subsequently announced that it intends to continue to apply its longstanding interpretation of the regulations to matters outside of the scope of the </w:t>
      </w:r>
      <w:r>
        <w:rPr>
          <w:rFonts w:ascii="Times New Roman" w:cs="Times New Roman" w:eastAsia="Times New Roman" w:hAnsi="Times New Roman"/>
          <w:sz w:val="18"/>
          <w:szCs w:val="18"/>
          <w:i w:val="1"/>
          <w:iCs w:val="1"/>
          <w:color w:val="auto"/>
        </w:rPr>
        <w:t>Catalyst</w:t>
      </w:r>
      <w:r>
        <w:rPr>
          <w:rFonts w:ascii="Times New Roman" w:cs="Times New Roman" w:eastAsia="Times New Roman" w:hAnsi="Times New Roman"/>
          <w:sz w:val="18"/>
          <w:szCs w:val="18"/>
          <w:color w:val="auto"/>
        </w:rPr>
        <w:t xml:space="preserve"> order and continue tying the scope of orphan drug exclusivity to the uses or indications for which a drug is approved, it is unclear how future litigation, legislation, agency decisions, and administrative actions will impact the scope of the orphan drug exclusivity.</w:t>
      </w:r>
    </w:p>
    <w:p>
      <w:pPr>
        <w:spacing w:after="0" w:line="100" w:lineRule="exact"/>
        <w:rPr>
          <w:sz w:val="20"/>
          <w:szCs w:val="20"/>
          <w:color w:val="auto"/>
        </w:rPr>
      </w:pPr>
    </w:p>
    <w:p>
      <w:pPr>
        <w:ind w:left="34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p>
    <w:p>
      <w:pPr>
        <w:spacing w:after="0" w:line="10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applicable cGMP, GLP and GCP requirements,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spacing w:after="0" w:line="82" w:lineRule="exact"/>
        <w:rPr>
          <w:sz w:val="20"/>
          <w:szCs w:val="20"/>
          <w:color w:val="auto"/>
        </w:rPr>
      </w:pPr>
    </w:p>
    <w:p>
      <w:pPr>
        <w:ind w:left="1300" w:right="640" w:hanging="648"/>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drug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1300" w:right="220" w:hanging="648"/>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300" w:right="220" w:hanging="648"/>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drug candidates; and</w:t>
      </w:r>
    </w:p>
    <w:p>
      <w:pPr>
        <w:spacing w:after="0" w:line="11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Further, if any of our drug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drug candidates, if approved, we could become subject to significant liability, which would materially adversely affect our business and financial condition.</w:t>
      </w:r>
    </w:p>
    <w:p>
      <w:pPr>
        <w:spacing w:after="0" w:line="10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Additionally,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FDA’s and other regulatory authorities’ policies may change and additional government regulations may be enacted that could prevent, limit or delay regulatory approval of our drug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8"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party to numerous collaboration agreements and other significant agreements which contain complex commercial terms that could result in disputes, litigation or indemnification liability that could adversely affect our business, results of operations and financial condition.</w:t>
      </w:r>
    </w:p>
    <w:p>
      <w:pPr>
        <w:spacing w:after="0" w:line="51" w:lineRule="exact"/>
        <w:rPr>
          <w:sz w:val="20"/>
          <w:szCs w:val="20"/>
          <w:color w:val="auto"/>
        </w:rPr>
      </w:pPr>
    </w:p>
    <w:p>
      <w:pPr>
        <w:ind w:right="860" w:firstLine="644"/>
        <w:spacing w:after="0" w:line="282" w:lineRule="auto"/>
        <w:rPr>
          <w:sz w:val="20"/>
          <w:szCs w:val="20"/>
          <w:color w:val="auto"/>
        </w:rPr>
      </w:pPr>
      <w:r>
        <w:rPr>
          <w:rFonts w:ascii="Times New Roman" w:cs="Times New Roman" w:eastAsia="Times New Roman" w:hAnsi="Times New Roman"/>
          <w:sz w:val="18"/>
          <w:szCs w:val="18"/>
          <w:color w:val="auto"/>
        </w:rPr>
        <w:t>We currently derive, and expect to derive in the foreseeable future, substantially all of our revenue from collaboration agreements with biotechnology and pharmaceutical companies. These collaboration agreements contain complex commercial terms, including:</w:t>
      </w:r>
    </w:p>
    <w:p>
      <w:pPr>
        <w:spacing w:after="0" w:line="54" w:lineRule="exact"/>
        <w:rPr>
          <w:sz w:val="20"/>
          <w:szCs w:val="20"/>
          <w:color w:val="auto"/>
        </w:rPr>
      </w:pPr>
    </w:p>
    <w:p>
      <w:pPr>
        <w:ind w:left="1300" w:right="80" w:hanging="648"/>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and commercialization obligations that are based on certain commercial reasonableness performance standards that can often be difficult to enforce if disputes arise as to adequacy of our partner’s performance;</w:t>
      </w:r>
    </w:p>
    <w:p>
      <w:pPr>
        <w:spacing w:after="0" w:line="53" w:lineRule="exact"/>
        <w:rPr>
          <w:rFonts w:ascii="Times New Roman" w:cs="Times New Roman" w:eastAsia="Times New Roman" w:hAnsi="Times New Roman"/>
          <w:sz w:val="18"/>
          <w:szCs w:val="18"/>
          <w:color w:val="auto"/>
        </w:rPr>
      </w:pPr>
    </w:p>
    <w:p>
      <w:pPr>
        <w:ind w:left="1300" w:right="480" w:hanging="648"/>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performance and reimbursement obligations for our personnel and other resources allocated to partnered biologic candidate development programs;</w:t>
      </w:r>
    </w:p>
    <w:p>
      <w:pPr>
        <w:spacing w:after="0" w:line="121" w:lineRule="exact"/>
        <w:rPr>
          <w:rFonts w:ascii="Times New Roman" w:cs="Times New Roman" w:eastAsia="Times New Roman" w:hAnsi="Times New Roman"/>
          <w:sz w:val="18"/>
          <w:szCs w:val="18"/>
          <w:color w:val="auto"/>
        </w:rPr>
      </w:pPr>
    </w:p>
    <w:p>
      <w:pPr>
        <w:ind w:left="1300" w:right="200" w:hanging="648"/>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commercial manufacturing agreements, some of which are priced on an actual cost basis for products supplied by us to our partners with complicated cost allocation formulas and methodologies;</w:t>
      </w:r>
    </w:p>
    <w:p>
      <w:pPr>
        <w:spacing w:after="0" w:line="121" w:lineRule="exact"/>
        <w:rPr>
          <w:rFonts w:ascii="Times New Roman" w:cs="Times New Roman" w:eastAsia="Times New Roman" w:hAnsi="Times New Roman"/>
          <w:sz w:val="18"/>
          <w:szCs w:val="18"/>
          <w:color w:val="auto"/>
        </w:rPr>
      </w:pPr>
    </w:p>
    <w:p>
      <w:pPr>
        <w:ind w:left="1300" w:hanging="648"/>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ownership allocation between us and our partners for improvements and new inventions developed during the course of the collaboration;</w:t>
      </w:r>
    </w:p>
    <w:p>
      <w:pPr>
        <w:spacing w:after="0" w:line="134" w:lineRule="exact"/>
        <w:rPr>
          <w:rFonts w:ascii="Times New Roman" w:cs="Times New Roman" w:eastAsia="Times New Roman" w:hAnsi="Times New Roman"/>
          <w:sz w:val="18"/>
          <w:szCs w:val="18"/>
          <w:color w:val="auto"/>
        </w:rPr>
      </w:pPr>
    </w:p>
    <w:p>
      <w:pPr>
        <w:ind w:left="1300" w:right="560" w:hanging="648"/>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on drug sales based on a number of complex variables, including net sales calculations, geography, scope of patent claim coverage, patent life, generic competitors, bundled pricing and other factors; and</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obligations for intellectual property infringement, product liability and certain other claims.</w:t>
      </w:r>
    </w:p>
    <w:p>
      <w:pPr>
        <w:spacing w:after="0" w:line="185"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We are a party to numerous significant collaboration agreements and other strategic transaction agreements (e.g. financings and asset divestitures) that contain complex representations and warranties, covenants and indemnification obligations. If we are found to have materially breached such agreements, we could be subject to substantial liabilities, which would harm our financial condition.</w:t>
      </w:r>
    </w:p>
    <w:p>
      <w:pPr>
        <w:spacing w:after="0" w:line="149"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litigation matters involving the interpretation and application of complex terms and conditions of our agreements. One or more disputes may arise or escalate in the future regarding our collaboration agreements, transaction documents, or third-party license agreements that may ultimately result in costly litigation and unfavorable interpretation of contract terms, which would have a material adverse effect on our business, financial condition and results of operations.</w:t>
      </w:r>
    </w:p>
    <w:p>
      <w:pPr>
        <w:spacing w:after="0" w:line="135" w:lineRule="exact"/>
        <w:rPr>
          <w:sz w:val="20"/>
          <w:szCs w:val="20"/>
          <w:color w:val="auto"/>
        </w:rPr>
      </w:pPr>
    </w:p>
    <w:p>
      <w:pPr>
        <w:ind w:left="3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intellectual property licenses related to the development of our drug candidates on a commercially reasonable basis, if at all.</w:t>
      </w:r>
    </w:p>
    <w:p>
      <w:pPr>
        <w:spacing w:after="0" w:line="118" w:lineRule="exact"/>
        <w:rPr>
          <w:sz w:val="20"/>
          <w:szCs w:val="20"/>
          <w:color w:val="auto"/>
        </w:rPr>
      </w:pPr>
    </w:p>
    <w:p>
      <w:pPr>
        <w:ind w:right="760" w:firstLine="644"/>
        <w:spacing w:after="0" w:line="282" w:lineRule="auto"/>
        <w:rPr>
          <w:sz w:val="20"/>
          <w:szCs w:val="20"/>
          <w:color w:val="auto"/>
        </w:rPr>
      </w:pPr>
      <w:r>
        <w:rPr>
          <w:rFonts w:ascii="Times New Roman" w:cs="Times New Roman" w:eastAsia="Times New Roman" w:hAnsi="Times New Roman"/>
          <w:sz w:val="18"/>
          <w:szCs w:val="18"/>
          <w:color w:val="auto"/>
        </w:rPr>
        <w:t>Numerous pending and issued U.S. and foreign patent rights and other proprietary rights owned by third parties relate to pharmaceutical compositions, methods of preparation and manufacturing, and methods of use and administration. We</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cannot predict with any certainty which, if any, patent rights will be considered relevant to our or our collaboration partners’ technology or drug candidates by authorities in the various jurisdictions where such rights exist, nor can we predict with certainty which, if any, of these rights will or may be asserted against us by third parties. In certain cases, we have existing licenses or cross-licenses with third parties; however, the sufficiency of the scope and adequacy of these licenses is very uncertain in view of the long development and commercialization cycles for biotechnology and pharmaceutical products. There can be no assurance that we can obtain a license to any technology that we determine we need on reasonable terms, if at all, or that we could develop or otherwise obtain alternate technology to avoid a need to secure a license. If we are required to enter into a license with a third party, our potential economic benefit for the products subject to the license will be diminished. If a license is not available on commercially reasonable terms or at all, we may be prevented from developing and commercializing the biologic, which could significantly harm our business, results of operations, and financial condition.</w:t>
      </w:r>
    </w:p>
    <w:p>
      <w:pPr>
        <w:spacing w:after="0" w:line="157" w:lineRule="exact"/>
        <w:rPr>
          <w:sz w:val="20"/>
          <w:szCs w:val="20"/>
          <w:color w:val="auto"/>
        </w:rPr>
      </w:pPr>
    </w:p>
    <w:p>
      <w:pPr>
        <w:ind w:left="34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pending patent applications do not issue, or are deemed invalid following issuance, we may lose valuable intellectual property protection.</w:t>
      </w:r>
    </w:p>
    <w:p>
      <w:pPr>
        <w:spacing w:after="0" w:line="118"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 xml:space="preserve">The patent positions of pharmaceutical and biotechnology companies, such as ours, are uncertain and involve complex legal and factual issues. We own more than 150 U.S. and 700 foreign patents and have a number of pending patent applications that cover various aspects of our technologies. There can be no assurance that patents that have issued will be held valid and enforceable in a court of law. Even for patents that are held valid and enforceable, the legal process associated with obtaining such a judgment is time consuming and costly. Additionally, issued patents can be subject to opposition,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re-examinations or other proceedings that can result in the revocation of the patent or maintenance of the patent in amended form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potentially in a form that renders the patent without commercially relevant and/or broad coverage). Further, our competitors may be able to circumvent and otherwise design around our patents. Even if a patent is issued and enforceable, because development and commercialization of pharmaceutical products can be subject to substantial delays, patents may expire prior to the commercialization of the biologic. Moreover, even if a patent encompassing a biologic has not expired prior to the biologic’s commercialization, the patent may only provide a short period of protection following the commercialization of the covered product. In addition, our patents may be subject to post grant proceedings, such 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re-examinations, before the U.S. Patent and Trademark Office (or equivalent proceedings in other jurisdictions), which could result in a loss of the patent and/or substantial cost to us.</w:t>
      </w:r>
    </w:p>
    <w:p>
      <w:pPr>
        <w:spacing w:after="0" w:line="151"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We have filed patent applications covering our drug candidates, and we plan to file additional patent applications as we deem appropriate. There can be no assurance that the patent applications for which we apply will actually issue as patents, or do so with commercially relevant and/or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62"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35"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18"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We rely on trade secret protection and other unpatented proprietary rights for our confidential and proprietary information. No assurance can be given that others will not independently develop substantially equivalent confidential and proprietary information or otherwise gain access to our trade secrets or disclose such technology, or that we can meaningfully protect our trade secrets. In addition, unpatented proprietary rights, including trade secrets and know-how, can be difficult to protect and may lose their value if they are independently developed by a third party or if their secrecy is lost. Any loss of trade secret protection or other unpatented proprietary rights could harm our business, results of operations and financial condition.</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w:t>
      </w:r>
    </w:p>
    <w:p>
      <w:pPr>
        <w:spacing w:after="0" w:line="189"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The manufacture, clinical testing, marketing and sale of medical products involve inherent product liability risks. If product liability costs exceed our product liability insurance coverage (or if we cannot secure product liability insurance), we may incur substantial liabilities that could have a severe negative impact on our financial position. Whether or not we are ultimately successful in any product liability litigation, such litigation would consume substantial amounts of our financial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and managerial resources and might result in adverse publicity, all of which would impair our business. Additionally, we may not be able to maintain our clinical trial insurance or product liability insurance at an acceptable cost, if at all, and this insurance may not provide adequate coverage against potential claims or losses.</w:t>
      </w:r>
    </w:p>
    <w:p>
      <w:pPr>
        <w:spacing w:after="0" w:line="145" w:lineRule="exact"/>
        <w:rPr>
          <w:sz w:val="20"/>
          <w:szCs w:val="20"/>
          <w:color w:val="auto"/>
        </w:rPr>
      </w:pPr>
    </w:p>
    <w:p>
      <w:pPr>
        <w:ind w:left="3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current or future collaborators or service providers fail to comply with healthcare laws and regulations, we or they could be subject to enforcement actions and civil or criminal penalties.</w:t>
      </w:r>
    </w:p>
    <w:p>
      <w:pPr>
        <w:spacing w:after="0" w:line="118" w:lineRule="exact"/>
        <w:rPr>
          <w:sz w:val="20"/>
          <w:szCs w:val="20"/>
          <w:color w:val="auto"/>
        </w:rPr>
      </w:pPr>
    </w:p>
    <w:p>
      <w:pPr>
        <w:ind w:right="160" w:firstLine="644"/>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drug candidates, if approved, we will be subject to additional healthcare statutory and regulatory requirements and enforcement by the federal and state governments of the jurisdictions in which we conduct our business. Healthcare providers, physicians and third-party payers play a primary role in the recommendation and prescription of any drug candidates for which we obtain marketing approval. Our current and future arrangements with third-party payers and customers may expose us to broadly applicable fraud and abuse and other healthcare laws and regulations that may constrain the business or financial arrangements and relationships through which we market, sell and distribute our therapeutic candidates for which we obtain marketing approval. For more information, see “Business – Government Regulation - Other Healthcare Laws and Regulations.”</w:t>
      </w:r>
    </w:p>
    <w:p>
      <w:pPr>
        <w:spacing w:after="0" w:line="148"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If our operations are found to be in violation of any such requirements, we may be subject to penalties, including administrative, civil or criminal penalties, imprisonment, monetary damages, the curtailment or restructuring of our operations, or exclusion from participation in government contracting, healthcare reimbursement or other government programs, including Medicare and Medicaid, any of which could adversely affect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 paid healthcare costs, including price controls, restrictions on reimbursement and requirements for substitution of generic products for branded prescription drugs. Governmental policy can also change the commercial potential of our product candidates, including efforts to increase patient access to lower-cost generic and biosimilar drugs. 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Affordable Care Act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For more information regarding the risks related to recently enacted and future legislation please see “</w:t>
      </w:r>
      <w:r>
        <w:rPr>
          <w:rFonts w:ascii="Times New Roman" w:cs="Times New Roman" w:eastAsia="Times New Roman" w:hAnsi="Times New Roman"/>
          <w:sz w:val="18"/>
          <w:szCs w:val="18"/>
          <w:i w:val="1"/>
          <w:iCs w:val="1"/>
          <w:color w:val="auto"/>
        </w:rPr>
        <w:t>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 – Legislative and Regulatory Landscape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39"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to the normal functioning of the FDA and other government agencies could hinder their ability to perform and carry out important roles and activities on which the operation of our business relies, which could negatively impact our business.</w:t>
      </w:r>
    </w:p>
    <w:p>
      <w:pPr>
        <w:spacing w:after="0" w:line="132"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In particular, actions by the Trump administration to limit U.S. federal agency budgets or personnel may result in reductions to the FDA’s budget, employee and operations, which may lead to disruptions, slower response times and longer review periods (notwithstanding Fast Track designation), potentially affecting our ability to progress development of our drug candidates. In the past, average review times at the agency have fluctuated, and this may continue in the future. In addition, government funding of other agencies on which our operations may rely is subject to the political process, which is inherently fluid and unpredictable.</w:t>
      </w:r>
    </w:p>
    <w:p>
      <w:pPr>
        <w:spacing w:after="0" w:line="148" w:lineRule="exact"/>
        <w:rPr>
          <w:sz w:val="20"/>
          <w:szCs w:val="20"/>
          <w:color w:val="auto"/>
        </w:rPr>
      </w:pPr>
    </w:p>
    <w:p>
      <w:pPr>
        <w:ind w:right="200" w:firstLine="644"/>
        <w:spacing w:after="0" w:line="256" w:lineRule="auto"/>
        <w:rPr>
          <w:sz w:val="20"/>
          <w:szCs w:val="20"/>
          <w:color w:val="auto"/>
        </w:rPr>
      </w:pPr>
      <w:r>
        <w:rPr>
          <w:rFonts w:ascii="Times New Roman" w:cs="Times New Roman" w:eastAsia="Times New Roman" w:hAnsi="Times New Roman"/>
          <w:sz w:val="18"/>
          <w:szCs w:val="18"/>
          <w:color w:val="auto"/>
        </w:rPr>
        <w:t>In addition, government shutdowns, if prolonged, could significantly impact the ability of government agencies upon which we rely (such as the FDA and SEC) to timely review and process our regulatory submissions, which could have a material adverse effect on our business. Disruptions at the FDA and other agencies may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43" w:lineRule="exact"/>
        <w:rPr>
          <w:sz w:val="20"/>
          <w:szCs w:val="20"/>
          <w:color w:val="auto"/>
        </w:rPr>
      </w:pPr>
    </w:p>
    <w:p>
      <w:pPr>
        <w:ind w:left="34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legal proceedings and may incur substantial litigation costs and liabilities that will adversely affect our business, financial condition and results of operations.</w:t>
      </w:r>
    </w:p>
    <w:p>
      <w:pPr>
        <w:spacing w:after="0" w:line="13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we are involved in legal proceedings where we or other third parties are enforcing or seeking intellectual property rights, invalidating or limiting patent rights that have already been allowed or issued, or otherwise asserting proprietary rights through one or more potential legal remedies. Third parties have asserted, and may in the future assert, that we or our partners infringe their proprietary rights, such as patents and trade secrets, or have otherwise breached our obligations to them. A third party often bases its assertions on a claim that its patents cover the technology we use or our drug candidates or that we have misappropriated its confidential or proprietary information. Similar assertions of infringement could be based on future patents that may issue to third parties. In certain of our agreements with our partners, we are obligated to indemnify and hold harmless our collaboration partners from intellectual property infringement, product liability and certain other claims, which could cause us to incur substantial costs and liability if we are called upon to defend ourselves and our partners against any claims. We are also regularly involved in opposition proceedings at the European Patent Office and in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re-examination proceedings at the U.S. Patent and Trademark Office where third parties seek to invalidate or limit the scope of our allowed patent applications or issued patents covering (among other things) our drug candidates and technologies. If a third party obtains injunctive or other equitable relief against us or our partners, they could effectively prevent us, or our partners, from developing or commercializing, or deriving revenue from, certain drugs or drug candidates in the U.S. and abroad. Costs associated with litigation, substantial damage claims, indemnification claims or royalties paid for licenses from third parties could have a material adverse effect on our business, financial condition and results of operations.</w:t>
      </w:r>
    </w:p>
    <w:p>
      <w:pPr>
        <w:spacing w:after="0" w:line="147"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From time to time, we may also be involved in legal proceedings other than those related to intellectual property, including securities actions or derivative actions or other complaints.</w:t>
      </w:r>
    </w:p>
    <w:p>
      <w:pPr>
        <w:spacing w:after="0" w:line="121"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On August 7, 2023, we filed a complaint in the United States District Court for the Northern District of California (the Court) against Lilly alleging, among other claims, breach of contract and breach of implied covenant of good faith and fair dealing (the Complaint), in connection with our collaboration with Lilly. Following the denial of its motion to dismiss the Complaint entirely, Lilly filed an answer that included counterclaims against us alleging breach of specified confidentiality provisions and defamation. The case is proceeding.</w:t>
      </w:r>
    </w:p>
    <w:p>
      <w:pPr>
        <w:spacing w:after="0" w:line="153"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The cost to us in initiating or defending any litigation or other proceeding, even if resolved in our favor, could be substantial, and litigation would divert our management’s attention. Uncertainties resulting from the initiation and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continuation of patent litigation or other proceedings could delay our research and development efforts or result in financial implications either in terms of seeking license arrangements or payment of damages or royalties. There is no guarantee that our insurance coverage for damages resulting from any litigation or the settlement would be sufficient and could result in substantial financial risk to the Company.</w:t>
      </w:r>
    </w:p>
    <w:p>
      <w:pPr>
        <w:spacing w:after="0" w:line="149"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Given the nature of lawsuits and complaints, we cannot reasonably estimate a potential future loss or a range of potential future losses for any of the legal proceedings we may be involved in. However, an unfavorable resolution could potentially have a material adverse effect on our business, financial condition, and results of operations or prospects, and potentially result in paying monetary damages. We have recorded no liability for any litigation matters in our Consolidated Balance Sheets at December 31, 2024.</w:t>
      </w:r>
    </w:p>
    <w:p>
      <w:pPr>
        <w:spacing w:after="0" w:line="135" w:lineRule="exact"/>
        <w:rPr>
          <w:sz w:val="20"/>
          <w:szCs w:val="20"/>
          <w:color w:val="auto"/>
        </w:rPr>
      </w:pPr>
    </w:p>
    <w:p>
      <w:pPr>
        <w:ind w:left="34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privacy and data protection laws, we may be required to pay penalties, be subjected to scrutiny by regulators or governmental entities, or be suspended from participation in government healthcare programs, which may adversely affect our business, financial condition and results of operations.</w:t>
      </w:r>
    </w:p>
    <w:p>
      <w:pPr>
        <w:spacing w:after="0" w:line="134"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Our business is subject to many laws and regulations intended to protect the privacy rights of individuals participating in our clinical trials and our employees, among others. For example, with regard to individuals participating in our clinical trials, various laws and regulations govern the safeguarding the privacy, integrity, availability, security and transmission of individually identifiable health information. In addition to federal laws and regulations in the United States, such as the HIPAA requirements relating to the privacy, security and transmission of individually identifiable health information, many state and foreign laws also govern the privacy and security of health information. These laws often differ from each other in significant ways, thus complicating compliance efforts. The global data protection landscape is rapidly evolving, and implementation standards and enforcement practices are likely to remain uncertain for the foreseeable future.</w:t>
      </w:r>
    </w:p>
    <w:p>
      <w:pPr>
        <w:spacing w:after="0" w:line="162"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California Consumer Privacy Act (CCPA) grants California residents expanded rights to access and delete their personal information, limit the sharing, use and disclosure of personal information, and receive detailed information about how their personal information is used. The CCPA provides for civil penalties for violations, as well as a private right of action for certain data breaches that may increase the risk of data breach litigation. The CCPA has increased our compliance costs and may expose us to additional liability. Similarly comprehensive privacy laws have become effective in more than a dozen other U.S. states, including, for example, Colorado, Connecticut, New Jersey, New Hampshire, Utah and Virginia, with several more expected to pass in the coming year. Like the CCPA, these laws grant consumers rights in relation to their personal information and impose new privacy and data security obligations on regulated businesses but contain key differences, including in their scope and application. In addition, certain states have passed or proposed laws to specifically regulate health information. For example, Washington’s My Health My Data Act, which came into force in March 2024, requires regulated entities to obtain consent to collect health information, grants consumers certain rights, including to request deletion, and provides for robust enforcement mechanisms, including enforcement by the Washington state attorney-general and a private right of action for consumer claims. At the federal level, the FTC has used its authority over “unfair or deceptive acts or practices” to impose stringent requirements on the collection and disclosure of sensitive categories of personal information, including health information, which may increase our potential liability and compliance costs and adversely affect our business.</w:t>
      </w:r>
    </w:p>
    <w:p>
      <w:pPr>
        <w:spacing w:after="0" w:line="147"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The European Regulation 2016/679, known as the General Data Protection Regulation (EU GDPR), the implementing legislation of EU Member States, which became effective on May 25, 2018, and the EU GDPR as incorporated into the laws of the United Kingdom (UK GDPR) (together with the EU GDPR, the GDPR) apply to the collection and processing of personal data, including health-related information, by companies located in the EU and UK, or in certain circumstances, by companies located outside of the EU or UK and processing personal information of individuals located in the EU or UK. The GDPR is wide-ranging in scope and imposes strict obligations on the ability to process personal data, including health-related information, in particular in relation to their collection, use, disclosure and transfer. These include several requirements relating to, for example, (i) ensuring a legal basis or condition applies to the processing of personal data and, in some situations where required, obtaining the consent of the individuals to whom the personal data relates, (ii) the information provided to the individuals about how their personal information is used, (iii) responding to data subject requests,</w:t>
      </w:r>
    </w:p>
    <w:p>
      <w:pPr>
        <w:spacing w:after="0" w:line="1" w:lineRule="exact"/>
        <w:rPr>
          <w:sz w:val="20"/>
          <w:szCs w:val="20"/>
          <w:color w:val="auto"/>
        </w:rPr>
      </w:pPr>
    </w:p>
    <w:p>
      <w:pPr>
        <w:ind w:right="100" w:firstLine="8"/>
        <w:spacing w:after="0" w:line="253" w:lineRule="auto"/>
        <w:tabs>
          <w:tab w:leader="none" w:pos="30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requirements to notify the competent national data protection authorities and data subjects of personal data breaches, (v) implementing safeguards in connection with the security and confidentiality of the personal data, (vi) accountability requirements and (vii) taking certain measures when engaging third-party processors. The GDPR prohibits the transfer of personal data to countries outside of the European Economic Area (EEA) and UK, such as the United States, which are not considered by the European Commission to provide an adequate level of data protection. Potential pecuniary fines for noncompliant companies may be up to the greater of €20 million or 4% of annual global revenue.</w:t>
      </w:r>
    </w:p>
    <w:p>
      <w:pPr>
        <w:spacing w:after="0" w:line="146"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 xml:space="preserve">Regulators and legislators in the U.S. are increasingly scrutinizing and restricting certain personal data transfers and transactions involving foreign countries. For example, Executive Order 14117, </w:t>
      </w:r>
      <w:r>
        <w:rPr>
          <w:rFonts w:ascii="Times New Roman" w:cs="Times New Roman" w:eastAsia="Times New Roman" w:hAnsi="Times New Roman"/>
          <w:sz w:val="18"/>
          <w:szCs w:val="18"/>
          <w:i w:val="1"/>
          <w:iCs w:val="1"/>
          <w:color w:val="auto"/>
        </w:rPr>
        <w:t>Preventing Access to Americans’ Bulk Sensitive Personal Data and United States Government-Related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Data by Countries of Concern</w:t>
      </w:r>
      <w:r>
        <w:rPr>
          <w:rFonts w:ascii="Times New Roman" w:cs="Times New Roman" w:eastAsia="Times New Roman" w:hAnsi="Times New Roman"/>
          <w:sz w:val="18"/>
          <w:szCs w:val="18"/>
          <w:color w:val="auto"/>
        </w:rPr>
        <w:t>, as implemented by U.S.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Department of Justice rule dated December 27,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156"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Any actual or alleged failure to comply with data protection law, including with respect to information relating to our employees and/or clinical patients, could result in reputational harm, monetary fines (such as those imposed by the GDPR and CCPA), civil suits, civil penalties or criminal sanctions and requirements to disclose the breach, and the development of our drug candidates could be delayed. In addition, we continue to be subject to new and evolving data protection laws and regulations from a variety of jurisdictions, and there is a risk that our systems and processes for managing and protecting data may be found to be inadequate, which could materially adversely affect our business, financial condition and results of operations.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Like many companies, we may use artificial intelligence (AI) technologies, including generative AI, to efficiently grow and manage our business.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These technologies have increasingly been the focus of attention for lawmakers and regulators around the globe.</w:t>
      </w:r>
    </w:p>
    <w:p>
      <w:pPr>
        <w:spacing w:after="0" w:line="166"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The use of new and evolving technologies, such as AI, may present risks and challenges that can impact our business, including by posing security and other risks to our confidential information and proprietary information. As a result, we may be exposed to reputational harm and liability.</w:t>
      </w:r>
    </w:p>
    <w:p>
      <w:pPr>
        <w:spacing w:after="0" w:line="135"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The use of certain AI technology can give rise to intellectual property risks, including compromises to proprietary intellectual property and intellectual property infringement. Additionally, we expect to see increasing regulation related to AI use and ethics, which may also significantly increase the burden and cost of research, development and compliance in this area. For example, the EU’s Artificial Intelligence Act (AI Act) entered into force on August 1, 2024, with most provisions becoming effective on August 2, 2026. This sweeping legislation, with broad extraterritorial reach, imposes significant obligations on providers and deployers of artificial intelligence systems and encourages ethical principles in the development and use of these systems. If we develop or deploy AI systems that are governed by the AI Act, we may be required to adopt higher standards of data quality, transparency and human oversight, and adhere to specific and potentially burdensome and costly ethical, accountability and administrative requirements.</w:t>
      </w:r>
    </w:p>
    <w:p>
      <w:pPr>
        <w:spacing w:after="0" w:line="148"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Likewise, in the U.S., several states, including Colorado and California, passed laws that will take effect in 2026 to regulate various uses of artificial intelligence, including to make consequential decisions. In addition, various federal regulators have issued guidance and focused enforcement efforts on the use of AI in regulated sectors. The FDA, for example, issued guidance on the use of artificial intelligence in medical devices, requiring detailed risk management and review processes to obtain approvals. If we develop or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148"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rapid evolution of AI will require the application of significant resources to help ensure that AI is implemented in accordance with applicable law and regulation and in a socially responsible manner and to minimize any real or perceived harmful impacts. 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AI, to engage in illegal activities such as the theft and misuse of personal or proprietary information. Any of these effects could damage our reputation, result in the loss of valuable property and information, cause us to breach applicable laws and regulations, and adversely impact our business.</w:t>
      </w:r>
    </w:p>
    <w:p>
      <w:pPr>
        <w:spacing w:after="0" w:line="156"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18"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As a research-based biopharmaceutical company with significant research and development operations, we are subject to extensive environmental, health, and safety laws and regulations, including those governing the use of hazardous materials. Our research and development activities involve the controlled use of chemicals, radioactive compounds, and other hazardous materials. The cost of compliance with environmental, health, and safety regulations (including, but not limited to, the handling and disposal of both our hazardous and non-hazardous waste) is substantial. If an accident involving these materials or an environmental discharge were to occur, we could be held liable for any resulting damages, or face regulatory actions, which could exceed our resources or insurance coverage.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Investment and Securities</w:t>
      </w:r>
    </w:p>
    <w:p>
      <w:pPr>
        <w:spacing w:after="0" w:line="198" w:lineRule="exact"/>
        <w:rPr>
          <w:sz w:val="20"/>
          <w:szCs w:val="20"/>
          <w:color w:val="auto"/>
        </w:rPr>
      </w:pPr>
    </w:p>
    <w:p>
      <w:pPr>
        <w:ind w:left="34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and may continue to fluctuate significantly, which could result in substantial losses for investors and securities class action and shareholder derivative litigation.</w:t>
      </w:r>
    </w:p>
    <w:p>
      <w:pPr>
        <w:spacing w:after="0" w:line="118"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Our stock price is volatile. During the year ended December 31, 2024, based on closing prices on the NASDAQ Capital Market, the closing price of our common stock ranged from $0.49 to $1.83 per share. In response to volatility in the price of our common stock in the past, plaintiffs’ securities litigation firms have sought information from us and/or shareholders as part of their investigation into alleged securities violations and breaches of duties (among other corporate misconduct allegations). Following their investigations, plaintiffs’ securities litigation firms have often initiated legal action, including the filing of class action lawsuits, derivative lawsuits, and other forms of redress. We expect our stock price to remain volatile and we continue to expect the initiation of legal actions by plaintiffs’ securities litigation firms following share price fluctuations. A variety of factors may have a significant effect on the market price of our common stock, including the risks described in this section titled “Risk Factors” and the following:</w:t>
      </w:r>
    </w:p>
    <w:p>
      <w:pPr>
        <w:spacing w:after="0" w:line="148" w:lineRule="exact"/>
        <w:rPr>
          <w:sz w:val="20"/>
          <w:szCs w:val="20"/>
          <w:color w:val="auto"/>
        </w:rPr>
      </w:pPr>
    </w:p>
    <w:p>
      <w:pPr>
        <w:ind w:left="1300" w:hanging="64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our 2022 Restructuring Plan and 2023 Restructuring Plan;</w:t>
      </w:r>
    </w:p>
    <w:p>
      <w:pPr>
        <w:spacing w:after="0" w:line="198" w:lineRule="exact"/>
        <w:rPr>
          <w:rFonts w:ascii="Times New Roman" w:cs="Times New Roman" w:eastAsia="Times New Roman" w:hAnsi="Times New Roman"/>
          <w:sz w:val="18"/>
          <w:szCs w:val="18"/>
          <w:color w:val="auto"/>
        </w:rPr>
      </w:pPr>
    </w:p>
    <w:p>
      <w:pPr>
        <w:ind w:left="1300" w:right="180" w:hanging="648"/>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data from, or material developments in, our clinical studies and those of our collaboration partners, including data regarding efficacy and safety, delays in clinical development, regulatory approval or commercial launch – in particular, the results from clinical studies of bempegaldesleukin and rezpegaldesleukin have had a significant impact on our stock price;</w:t>
      </w:r>
    </w:p>
    <w:p>
      <w:pPr>
        <w:spacing w:after="0" w:line="135" w:lineRule="exact"/>
        <w:rPr>
          <w:rFonts w:ascii="Times New Roman" w:cs="Times New Roman" w:eastAsia="Times New Roman" w:hAnsi="Times New Roman"/>
          <w:sz w:val="18"/>
          <w:szCs w:val="18"/>
          <w:color w:val="auto"/>
        </w:rPr>
      </w:pPr>
    </w:p>
    <w:p>
      <w:pPr>
        <w:ind w:left="1300" w:right="60" w:hanging="648"/>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outcomes from our clinical trials which can be difficult to predict particularly for clinical studies that have event-driven end points such as progression-free survival and overall survival;</w:t>
      </w:r>
    </w:p>
    <w:p>
      <w:pPr>
        <w:spacing w:after="0" w:line="121" w:lineRule="exact"/>
        <w:rPr>
          <w:rFonts w:ascii="Times New Roman" w:cs="Times New Roman" w:eastAsia="Times New Roman" w:hAnsi="Times New Roman"/>
          <w:sz w:val="18"/>
          <w:szCs w:val="18"/>
          <w:color w:val="auto"/>
        </w:rPr>
      </w:pPr>
    </w:p>
    <w:p>
      <w:pPr>
        <w:ind w:left="1300" w:right="120" w:hanging="648"/>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collaboration partners as to their plans or expectations related to drug candidates and approved biologics in which we have a substantial economic interest;</w:t>
      </w:r>
    </w:p>
    <w:p>
      <w:pPr>
        <w:spacing w:after="0" w:line="13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terminations or disputes under our collaboration agreements;</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of operations;</w:t>
      </w:r>
    </w:p>
    <w:p>
      <w:pPr>
        <w:spacing w:after="0" w:line="184" w:lineRule="exact"/>
        <w:rPr>
          <w:rFonts w:ascii="Times New Roman" w:cs="Times New Roman" w:eastAsia="Times New Roman" w:hAnsi="Times New Roman"/>
          <w:sz w:val="18"/>
          <w:szCs w:val="18"/>
          <w:color w:val="auto"/>
        </w:rPr>
      </w:pPr>
    </w:p>
    <w:p>
      <w:pPr>
        <w:ind w:left="1300" w:right="200" w:hanging="648"/>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 including intellectual property litigation or entering into intellectual property license agreements and the costs associated with those arrangements;</w:t>
      </w:r>
    </w:p>
    <w:p>
      <w:pPr>
        <w:spacing w:after="0" w:line="134" w:lineRule="exact"/>
        <w:rPr>
          <w:rFonts w:ascii="Times New Roman" w:cs="Times New Roman" w:eastAsia="Times New Roman" w:hAnsi="Times New Roman"/>
          <w:sz w:val="18"/>
          <w:szCs w:val="18"/>
          <w:color w:val="auto"/>
        </w:rPr>
      </w:pPr>
    </w:p>
    <w:p>
      <w:pPr>
        <w:ind w:left="1300" w:right="420" w:hanging="648"/>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therapeutic products that may compete with our approved partnered products or products under development;</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changes in governmental regulation affecting us or our competitors;</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brought against us or third parties to whom we have indemnification obligations;</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 formulations developed by us or others;</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needs and activities; and</w:t>
      </w:r>
    </w:p>
    <w:p>
      <w:pPr>
        <w:spacing w:after="0" w:line="184" w:lineRule="exact"/>
        <w:rPr>
          <w:rFonts w:ascii="Times New Roman" w:cs="Times New Roman" w:eastAsia="Times New Roman" w:hAnsi="Times New Roman"/>
          <w:sz w:val="18"/>
          <w:szCs w:val="18"/>
          <w:color w:val="auto"/>
        </w:rPr>
      </w:pPr>
    </w:p>
    <w:p>
      <w:pPr>
        <w:ind w:left="1300" w:right="440" w:hanging="648"/>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impacts of rising inflation and interest rates and global geopolitical tensions.</w:t>
      </w:r>
    </w:p>
    <w:p>
      <w:pPr>
        <w:spacing w:after="0" w:line="135" w:lineRule="exact"/>
        <w:rPr>
          <w:sz w:val="20"/>
          <w:szCs w:val="20"/>
          <w:color w:val="auto"/>
        </w:rPr>
      </w:pPr>
    </w:p>
    <w:p>
      <w:pPr>
        <w:jc w:val="both"/>
        <w:ind w:firstLine="644"/>
        <w:spacing w:after="0" w:line="255" w:lineRule="auto"/>
        <w:rPr>
          <w:sz w:val="20"/>
          <w:szCs w:val="20"/>
          <w:color w:val="auto"/>
        </w:rPr>
      </w:pPr>
      <w:r>
        <w:rPr>
          <w:rFonts w:ascii="Times New Roman" w:cs="Times New Roman" w:eastAsia="Times New Roman" w:hAnsi="Times New Roman"/>
          <w:sz w:val="18"/>
          <w:szCs w:val="18"/>
          <w:color w:val="auto"/>
        </w:rPr>
        <w:t>At times, our stock price has been volatile even in the absence of significant news or developments. The stock prices of biotechnology companies and securities markets generally have been subject to dramatic price swings in recent years. In addition, as a result of our lower stock price, we are no longer a well-known seasoned issuer, which otherwise would allow us to, among other things, file automatically effective shelf registration statements. As a result, any attempt to access the public capital markets will be more expensive and subject to delays. Additionally, if our common stock does not maintain a closing bid price of $1.00 per share in order to comply with the continued listing standards of the Nasdaq Capital Market, our common stock may become delisted, which could adversely affect our stock price, the flexibility of our investors to sell our common stock in the secondary market, and our ability to raise capital.</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implemented certain anti-takeover measures, which make it more difficult to acquire us, even though such acquisitions may be beneficial to our stockholders.</w:t>
      </w:r>
    </w:p>
    <w:p>
      <w:pPr>
        <w:spacing w:after="0" w:line="132" w:lineRule="exact"/>
        <w:rPr>
          <w:sz w:val="20"/>
          <w:szCs w:val="20"/>
          <w:color w:val="auto"/>
        </w:rPr>
      </w:pPr>
    </w:p>
    <w:p>
      <w:pPr>
        <w:ind w:right="220" w:firstLine="644"/>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as well as provisions of Delaware law, could make it more difficult for a third party to acquire us, even though such acquisitions may be beneficial to our stockholders. These anti-takeover provisions include:</w:t>
      </w:r>
    </w:p>
    <w:p>
      <w:pPr>
        <w:spacing w:after="0" w:line="121" w:lineRule="exact"/>
        <w:rPr>
          <w:sz w:val="20"/>
          <w:szCs w:val="20"/>
          <w:color w:val="auto"/>
        </w:rPr>
      </w:pPr>
    </w:p>
    <w:p>
      <w:pPr>
        <w:ind w:left="1300" w:hanging="64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classified board of directors such that not all members of the board may be elected at one time;</w:t>
      </w:r>
    </w:p>
    <w:p>
      <w:pPr>
        <w:spacing w:after="0" w:line="184" w:lineRule="exact"/>
        <w:rPr>
          <w:rFonts w:ascii="Times New Roman" w:cs="Times New Roman" w:eastAsia="Times New Roman" w:hAnsi="Times New Roman"/>
          <w:sz w:val="18"/>
          <w:szCs w:val="18"/>
          <w:color w:val="auto"/>
        </w:rPr>
      </w:pPr>
    </w:p>
    <w:p>
      <w:pPr>
        <w:ind w:left="1300" w:right="60" w:hanging="648"/>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 provision for cumulative voting in the election of directors, which would otherwise allow less than a majority of stockholders to elect director candidates;</w:t>
      </w:r>
    </w:p>
    <w:p>
      <w:pPr>
        <w:spacing w:after="0" w:line="134" w:lineRule="exact"/>
        <w:rPr>
          <w:rFonts w:ascii="Times New Roman" w:cs="Times New Roman" w:eastAsia="Times New Roman" w:hAnsi="Times New Roman"/>
          <w:sz w:val="18"/>
          <w:szCs w:val="18"/>
          <w:color w:val="auto"/>
        </w:rPr>
      </w:pPr>
    </w:p>
    <w:p>
      <w:pPr>
        <w:ind w:left="1300" w:right="20" w:hanging="648"/>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authorize the issuance of “blank check” preferred stock to increase the number of outstanding shares and thwart a takeover attempt;</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stockholder action by written consent, thereby requiring all stockholder actions to be taken at a meeting of stockholders;</w:t>
      </w:r>
    </w:p>
    <w:p>
      <w:pPr>
        <w:spacing w:after="0" w:line="184" w:lineRule="exact"/>
        <w:rPr>
          <w:rFonts w:ascii="Times New Roman" w:cs="Times New Roman" w:eastAsia="Times New Roman" w:hAnsi="Times New Roman"/>
          <w:sz w:val="18"/>
          <w:szCs w:val="18"/>
          <w:color w:val="auto"/>
        </w:rPr>
      </w:pPr>
    </w:p>
    <w:p>
      <w:pPr>
        <w:ind w:left="1300" w:right="220" w:hanging="648"/>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advance notice requirements for nominations for election to the board of directors or for proposing matters that can be acted upon by stockholders at stockholder meetings; and</w:t>
      </w:r>
    </w:p>
    <w:p>
      <w:pPr>
        <w:spacing w:after="0" w:line="13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who may call a special meeting of stockholders.</w:t>
      </w:r>
    </w:p>
    <w:p>
      <w:pPr>
        <w:spacing w:after="0" w:line="185"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Further, provisions of Delaware law relating to business combinations with interested stockholders may discourage, delay or prevent a third party from acquiring us. These provisions may also discourage, delay or prevent a third party from acquiring a large portion of our securities or initiating a tender offer or proxy contest, even if our stockholders might receive a premium for their shares in the acquisition over the then-current market prices. We also have a change of control severance benefit plan, which provides for certain cash severance, stock award acceleration and other benefits in the event our employees are terminated (or, in some cases, resign for specified reasons) following an acquisition. This severance plan could discourage a third party from acquiring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98"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significantly rely on information technology systems and infrastructure, and any failure, inadequacy, damage, interruption, compromise or breach, or security lapse of that technology within our internal computer systems and infrastructure, or those of our partners, vendors, CROs, CMOs or other contractors or consultants, may result in a material disruption of our development programs and our operations and financial condition.</w:t>
      </w:r>
    </w:p>
    <w:p>
      <w:pPr>
        <w:spacing w:after="0" w:line="140"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As part of our business, we collect, store and transmit large amounts of confidential information, proprietary or other sensitive information, including intellectual property and personal data. Despite the implementation of security measures, our internal computer systems and infrastructure or those of our partners, vendors, contract research organizations (CROs), contract manufacturing organizations (CMOs) and other contractors and consultants are vulnerable to loss, damage, compromise, interruption, denial-of-service, unauthorized access, or misappropriation.</w:t>
      </w:r>
    </w:p>
    <w:p>
      <w:pPr>
        <w:spacing w:after="0" w:line="139"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Cybersecurity incidents and data breaches have been increasing in frequency, levels of persistence, sophistication and intensity, and can include unauthorized activity by our employees, contractors and other third parties, as well as by third parties who use cyberattack techniques involving malware, ransomware, hacking and social engineering fraud (including phishing attacks) and business email compromises), among others. Additionally, the risk of data breaches, cybersecurity incidents, cyber-attacks or other security events may be heightened as a result of new technologies, including artificial intelligence, and an increase in the number of employees who adopted a remote working environment, which may be less secure and more susceptible to hacking attacks or other security compromises or breaches. Our information technology systems and infrastructure, and those of our partners, vendors, CROs, CMOs or other contractors or consultants are also vulnerable to intentional or inadvertent wrongful conduct by employees and vendors, natural disasters, terrorism, war, telecommunication and electrical failures and the types of interruption, compromise and damage described above. Any such compromise or disruption, no matter the origin, may cause an interruption of our operations. For instance, the loss or misappropriation of preclinical data or data from any clinical trial involving our drug candidates could result in delays in our development and regulatory filing efforts and significantly increase our costs. In addition, the loss, corruption or unauthorized disclosure or misuse of our trade secrets, personal data or other confidential and/or proprietary or sensitive information could compromise the commercial viability of one or more of our programs, which would negatively affect our business. Also, the costs to us to investigate, mitigate and remediate cybersecurity incidents or compromises and comply with</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applicable legal obligations, including breach notification obligations to individuals, regulators, partners and others, could be significant and our reputation could be materially damaged. We could also be exposed to litigation or regulatory investigations or actions by state and federal governmental authorities and non-U.S. authorities, including fines, penalties, and other legal and financial exposure and liabilities.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89"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Our business is subject to numerous international, federal, state, and other governmental laws, rules, and regulations that may adversely affect our operating results, including, taxation and tax policy changes, tax rate changes, new tax laws, or revised tax law interpretations, which individually or in combination may cause our effective tax rate to increase. In the U.S., the rules dealing with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such changes have been made and changes are likely to continue to occur in the future. Future changes in tax laws could have a material adverse effect on our business, cash flow, financial condition or results of operations.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may negatively affect us and may magnify certain risks that affect our business.</w:t>
      </w:r>
    </w:p>
    <w:p>
      <w:pPr>
        <w:spacing w:after="0" w:line="202"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Our operations and performance may be affected by global economic and political conditions. For example, our operations and performance (or the operations and performance of our partners and service providers) may be negatively affected by political or civil unrest or military action, terrorist activity, and unstable governments and legal systems. For example, in late February 2022, Russia commenced a military invasion of Ukraine, and the sustained conflict in Ukraine, including the potential effects of sanctions and retaliatory cyber-attacks on the world economy and markets, has contributed to increased market volatility and uncertainty. In particular, sanctions imposed by the U.S., EU and other countries in response to the conflict between Russia and Ukraine and the potential response to such sanctions may have an adverse impact on our business, including our clinical trials, the financial markets and the global economy. In addition, in October 2023, conflicts arose in Israel and Gaza following terrorist attacks in Israel. As the conflicts between Ukraine and Russia and escalating conflicts in the Middle East continue, further sanctions, retaliatory attacks, market volatility and uncertainty may occur, any of which could have a material adverse effect on our business.</w:t>
      </w:r>
    </w:p>
    <w:p>
      <w:pPr>
        <w:spacing w:after="0" w:line="148"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As a result of global economic and political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have led and could continue to lead to reduced demand for our and our collaboration partners’ drug products, which could have a material adverse effect on our product sales, business and results of operations.</w:t>
      </w:r>
    </w:p>
    <w:p>
      <w:pPr>
        <w:spacing w:after="0" w:line="147"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U.S. Tariffs, trade restrictions or sanctions imposed by the U.S. or other countries could increase the prices of our and our collaboration partners’ drug products, affect our and our collaboration partners’ ability to commercialize such drug products, or create adverse tax consequences in the U.S. or other countries. As a result, changes in international trade policy, changes in trade agreements and the imposition of tariffs or sanctions by the U.S. or other countries could materially adversely affect our results of operations and financial condition.</w:t>
      </w:r>
    </w:p>
    <w:p>
      <w:pPr>
        <w:spacing w:after="0" w:line="160"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Given that policy impacts from U.S. elections in November 2024 have not yet been determined, the future geopolitical landscape remains uncertain. Any resulting changes in international trade relations, legislation and regulations, including those related to taxation and importation, or economic and monetary policies, or heightened diplomatic tensions or political and civil unrest, among other potential impacts, could adversely impact the global economy and our operating results.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sustainability matters.</w:t>
      </w:r>
    </w:p>
    <w:p>
      <w:pPr>
        <w:spacing w:after="0" w:line="189"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There is an increased focus from certain investors, employees, and other stakeholders concerning corporate citizenship and sustainability matters, which include environmental concerns and social investments. We could fail to meet, or be perceived to fail to meet, the expectations of these certain investors, employees and other stakeholders concerning corporate citizenship and sustainability matters, thereby resulting in a negative impact to our business.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natural disasters or other catastrophic events strike, our business may be harmed.</w:t>
      </w:r>
    </w:p>
    <w:p>
      <w:pPr>
        <w:spacing w:after="0" w:line="202"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Our corporate headquarters, where the majority of our research and development operations employees are based, are located in the San Francisco Bay Area, a region known for seismic activity and a potential terrorist target. In the event of an earthquake or other natural disaster, catastrophic event caused by climate change, political instability, civil unrest, or terrorist event in the region, our business operations would be significantly disrupted and our financial condition would be harmed. Our collaboration partners and important vendors and suppliers to us or our collaboration partners may also be subject to catastrophic events, such as earthquakes, floods, wildfires, hurricanes, tornadoes and pandemics any of which could harm our business (including, for example, by disrupting supply chains important to the success of our business), results of operations and financial condition. We have not undertaken a systematic analysis of the potential consequences to our business, results of operations and financial condition from a major earthquake or other catastrophic event, such as a fire, sustained loss of power, terrorist activity or other disaster, and do not have a recovery plan for such disasters. In addition, our insurance coverage may not be sufficient to compensate us for actual losses from any interruption of our business that may occur.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18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The Company, under the oversight of the audit committee of the board of directors, has implemented and maintains an enterprise risk management process, which includes periodic assessments of various risk categories, including cyber risks, across the Company. Our process for assessing, identifying, and managing risks from cybersecurity threats is informed by industry standards and supported by cybersecurity technologies, including third-party security solutions, monitoring, and alerting tools, designed to monitor, identify, and address cybersecurity risks.</w:t>
      </w:r>
    </w:p>
    <w:p>
      <w:pPr>
        <w:spacing w:after="0" w:line="153" w:lineRule="exact"/>
        <w:rPr>
          <w:sz w:val="20"/>
          <w:szCs w:val="20"/>
          <w:color w:val="auto"/>
        </w:rPr>
      </w:pPr>
    </w:p>
    <w:p>
      <w:pPr>
        <w:ind w:right="60" w:firstLine="689"/>
        <w:spacing w:after="0" w:line="261" w:lineRule="auto"/>
        <w:rPr>
          <w:sz w:val="20"/>
          <w:szCs w:val="20"/>
          <w:color w:val="auto"/>
        </w:rPr>
      </w:pPr>
      <w:r>
        <w:rPr>
          <w:rFonts w:ascii="Times New Roman" w:cs="Times New Roman" w:eastAsia="Times New Roman" w:hAnsi="Times New Roman"/>
          <w:sz w:val="18"/>
          <w:szCs w:val="18"/>
          <w:color w:val="auto"/>
        </w:rPr>
        <w:t>We leverage a managed security service provider and also engage with other third-party providers and consultants to support our cyber risk management efforts, including through periodic security testing. We have a process to assess and review the cybersecurity practices of information technology third-party vendors and service providers, including through review of applicable certifications, security reports, and vendor questionnaires and contractual requirements, as appropriate.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cyber risk management program and related operations and processes are directed by the Head of IT in consultation with the legal team and our third-party security advisor. Currently, the Head of IT role is held by an individual who has over 20 years of information technology experience. The Head of IT reports to the Chief Legal Officer.</w:t>
      </w:r>
    </w:p>
    <w:p>
      <w:pPr>
        <w:spacing w:after="0" w:line="149"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The Head of IT meets with the Chief Legal Officer periodically to discuss and review our cybersecurity risk management processes and to address matters related to potential cybersecurity and information technology risks, with input from the Company’s third-party technology providers, as appropriate. In addition, the Head of IT has regular meetings with our managed security service provider to inform our cyber risk management processes and reporting to management. The Head of IT, working with the Chief Legal Officer, provides periodic reports on cybersecurity and information technology matters to the audit committee, which is responsible for reviewing and overseeing the Company’s risk management process, including cybersecurity risks.</w:t>
      </w:r>
    </w:p>
    <w:p>
      <w:pPr>
        <w:spacing w:after="0" w:line="147"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The Chief Legal Officer and the audit committee periodically report on cybersecurity risk management to the full board of directors. The board of directors, as a whole and through its committees, has responsibility for the periodic review and oversight of information technology risks, including cybersecurity risks.</w:t>
      </w:r>
    </w:p>
    <w:p>
      <w:pPr>
        <w:spacing w:after="0" w:line="135"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Our enterprise risk management program is overseen by a risk management committee comprised of senior managers across key functional areas that cover cybersecurity and information technology matters. This committee provides periodic reports and updates, as needed, to the board of directors or one of its designated committees. In collecting information on enterprise risk, cybersecurity is included as a designated risk category, and the results of our enterprise risk assessment processes, including risks related to cybersecurity, are also discussed with the audit committee and among senior management on a periodic basis.</w:t>
      </w:r>
    </w:p>
    <w:p>
      <w:pPr>
        <w:spacing w:after="0" w:line="156" w:lineRule="exact"/>
        <w:rPr>
          <w:sz w:val="20"/>
          <w:szCs w:val="20"/>
          <w:color w:val="auto"/>
        </w:rPr>
      </w:pPr>
    </w:p>
    <w:p>
      <w:pPr>
        <w:ind w:right="500" w:firstLine="644"/>
        <w:spacing w:after="0" w:line="266"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For more information regarding cybersecurity risks that may affect or Company, see “Item 1A. Risk Factors” included in this Report.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189"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We lease a 155,215 square foot facility in the Mission Bay Area of San Francisco, California (Mission Bay Facility), under an operating lease which expires in January 2030. The Mission Bay Facility is our corporate headquarters. We also lease 135,936 square feet of office space in San Francisco (the Third Street Facility), under an operating lease which expires in January 2030.</w:t>
      </w:r>
    </w:p>
    <w:p>
      <w:pPr>
        <w:spacing w:after="0" w:line="135"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In connection with our 2022 and 2023 Restructuring Plans, we have consolidated our San Francisco operations in our Mission Bay Facility, and we have vacated our Third Street Facility and certain laboratory and office spaces at our Mission Bay Facility. We have sublet approximately 29,000 square feet of office and laboratory space in our Mission Bay Facility and are seeking to sublease all of the remaining spaces in both Facilities.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Alabama</w:t>
      </w:r>
    </w:p>
    <w:p>
      <w:pPr>
        <w:spacing w:after="0" w:line="189" w:lineRule="exact"/>
        <w:rPr>
          <w:sz w:val="20"/>
          <w:szCs w:val="20"/>
          <w:color w:val="auto"/>
        </w:rPr>
      </w:pPr>
    </w:p>
    <w:p>
      <w:pPr>
        <w:ind w:right="300" w:firstLine="644"/>
        <w:spacing w:after="0" w:line="261" w:lineRule="auto"/>
        <w:rPr>
          <w:sz w:val="20"/>
          <w:szCs w:val="20"/>
          <w:color w:val="auto"/>
        </w:rPr>
      </w:pPr>
      <w:r>
        <w:rPr>
          <w:rFonts w:ascii="Times New Roman" w:cs="Times New Roman" w:eastAsia="Times New Roman" w:hAnsi="Times New Roman"/>
          <w:sz w:val="18"/>
          <w:szCs w:val="18"/>
          <w:color w:val="auto"/>
        </w:rPr>
        <w:t>We previously owned facilities consisting of approximately 124,000 square feet in Huntsville, Alabama, which housed laboratories as well as administrative, clinical and commercial manufacturing facilities for our PEGylation and advanced polymer conjugate technology operations as well as manufacturing of APIs for early clinical studies. These facilities were sold to Gannet BioChem, an affiliate of Ampersand Management LLC d/b/a Ampersand Capital Partners (Ampersand) via the Asset Purchase Agreement (the APA) on December 2,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right="320" w:firstLine="644"/>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proceedings. We are not currently a party to or aware of any proceedings that we believe will have, individually or in the aggregate, a material adverse effect on our business, financial condition or results of operations.</w:t>
      </w:r>
    </w:p>
    <w:p>
      <w:pPr>
        <w:spacing w:after="0" w:line="117"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“NKTR.”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6, 2025, there were approximately 143 holders of record of our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right="680" w:firstLine="644"/>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expect to retain any future earnings for use in the operation and expansion of our business and do not anticipate paying any cash dividends on our common stock in the foreseeable future.</w:t>
      </w:r>
    </w:p>
    <w:p>
      <w:pPr>
        <w:spacing w:after="0" w:line="121"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There were no sales of unregistered securities and there were no common stock repurchases made during the year ended December 31, 2024, other than the issuance of the pre-funded warrant to TCG Crossover Fund II, L.P. (TCG) and the repurchase of the shares issued to Bristol Myers Squibb Company (BMS) as disclosed in Notes 6 and 9, respectively, to our Consolidated Financial Statements and summarized in the following table:</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 Maximum number (or</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 Total number of shares of</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 Approximate average share price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 total number of shares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approximate dollar value) of</w:t>
            </w:r>
          </w:p>
        </w:tc>
        <w:tc>
          <w:tcPr>
            <w:tcW w:w="0" w:type="dxa"/>
            <w:vAlign w:val="bottom"/>
          </w:tcPr>
          <w:p>
            <w:pPr>
              <w:spacing w:after="0"/>
              <w:rPr>
                <w:sz w:val="1"/>
                <w:szCs w:val="1"/>
                <w:color w:val="auto"/>
              </w:rPr>
            </w:pPr>
          </w:p>
        </w:tc>
      </w:tr>
      <w:tr>
        <w:trPr>
          <w:trHeight w:val="216"/>
        </w:trPr>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Period</w:t>
            </w:r>
          </w:p>
        </w:tc>
        <w:tc>
          <w:tcPr>
            <w:tcW w:w="2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common stock purchased</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paid per share of common stock</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 of publicly</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that may yet be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announced plans or programs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purchased under the plans or</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6"/>
              </w:rPr>
              <w:t>February 2024</w:t>
            </w:r>
            <w:r>
              <w:rPr>
                <w:rFonts w:ascii="Times New Roman" w:cs="Times New Roman" w:eastAsia="Times New Roman" w:hAnsi="Times New Roman"/>
                <w:sz w:val="24"/>
                <w:szCs w:val="24"/>
                <w:color w:val="auto"/>
                <w:w w:val="96"/>
                <w:vertAlign w:val="superscript"/>
              </w:rPr>
              <w:t>1</w:t>
            </w:r>
          </w:p>
        </w:tc>
        <w:tc>
          <w:tcPr>
            <w:tcW w:w="23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program</w:t>
            </w:r>
          </w:p>
        </w:tc>
        <w:tc>
          <w:tcPr>
            <w:tcW w:w="0" w:type="dxa"/>
            <w:vAlign w:val="bottom"/>
          </w:tcPr>
          <w:p>
            <w:pPr>
              <w:spacing w:after="0"/>
              <w:rPr>
                <w:sz w:val="1"/>
                <w:szCs w:val="1"/>
                <w:color w:val="auto"/>
              </w:rPr>
            </w:pPr>
          </w:p>
        </w:tc>
      </w:tr>
      <w:tr>
        <w:trPr>
          <w:trHeight w:val="216"/>
        </w:trPr>
        <w:tc>
          <w:tcPr>
            <w:tcW w:w="1300" w:type="dxa"/>
            <w:vAlign w:val="bottom"/>
            <w:vMerge w:val="continue"/>
          </w:tcPr>
          <w:p>
            <w:pPr>
              <w:spacing w:after="0"/>
              <w:rPr>
                <w:sz w:val="18"/>
                <w:szCs w:val="18"/>
                <w:color w:val="auto"/>
              </w:rPr>
            </w:pPr>
          </w:p>
        </w:tc>
        <w:tc>
          <w:tcPr>
            <w:tcW w:w="2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8,284,600</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$0.36212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8,264,600</w:t>
            </w: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$3,000,000</w:t>
            </w:r>
          </w:p>
        </w:tc>
        <w:tc>
          <w:tcPr>
            <w:tcW w:w="0" w:type="dxa"/>
            <w:vAlign w:val="bottom"/>
          </w:tcPr>
          <w:p>
            <w:pPr>
              <w:spacing w:after="0"/>
              <w:rPr>
                <w:sz w:val="1"/>
                <w:szCs w:val="1"/>
                <w:color w:val="auto"/>
              </w:rPr>
            </w:pPr>
          </w:p>
        </w:tc>
      </w:tr>
      <w:tr>
        <w:trPr>
          <w:trHeight w:val="234"/>
        </w:trPr>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Total</w:t>
            </w:r>
          </w:p>
        </w:tc>
        <w:tc>
          <w:tcPr>
            <w:tcW w:w="2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8,284,600</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$0.36212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8,264,600</w:t>
            </w: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$3,000,000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040" w:right="780" w:hanging="2"/>
        <w:spacing w:after="0" w:line="266" w:lineRule="auto"/>
        <w:tabs>
          <w:tab w:leader="none" w:pos="1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announced on February 16, 2024, Nektar entered into a privately negotiated stock repurchase agreement with BMS pursuant to which, among other things, Nektar purchased from BMS 8,284,600 restricted shares of Nektar common stock for an aggregate purchase price of $3,000,000. This repurchase was a standalone transaction that we completed on February 12, 2024.</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plans as of December 31, 2024 is disclosed in Item 12 “Security Ownership of Certain Beneficial Owners and Management and Related Stockholder Matters” of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Measurement Comparison</w:t>
      </w:r>
    </w:p>
    <w:p>
      <w:pPr>
        <w:spacing w:after="0" w:line="202"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The material in this section is being furnished and shall not be deemed “filed” with the SEC for purposes of Section 18 of the Exchange Act or otherwise subject to the liability of that section, nor shall the material in this section be deemed to be incorporated by reference in any registration statement or other document filed with the SEC under the Securities Act or the Exchange Act, except as otherwise expressly stated in such filing.</w:t>
      </w:r>
    </w:p>
    <w:p>
      <w:pPr>
        <w:spacing w:after="0" w:line="135"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The following graph compares, for the five year period ended December 31, 2024, the cumulative total stockholder return (change in stock price plus reinvested dividends) of our common stock with (i) the NASDAQ Composite Index, (ii) the NASDAQ Biotechnology Index and (iii) the RDG SmallCap Biotechnology Index. Measurement points are the last trading day of each of our fiscal years ended December 31, 2020, December 31, 2021, December 31, 2022, December 31, 2023 and December 31, 2024. The graph assumes that $100 was invested on December 31, 2019 in the common stock of the Company, the NASDAQ Composite Index, the NASDAQ Biotechnology Index and the RDG SmallCap Biotechnology Index and assumes reinvestment of any dividends. The stock price performance in the graph is not intended to forecast or indicate future stock price performance.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842645</wp:posOffset>
            </wp:positionV>
            <wp:extent cx="5751830" cy="47745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1830" cy="477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00" w:lineRule="exact"/>
        <w:rPr>
          <w:sz w:val="20"/>
          <w:szCs w:val="20"/>
          <w:color w:val="auto"/>
        </w:rPr>
      </w:pPr>
    </w:p>
    <w:p>
      <w:pPr>
        <w:jc w:val="right"/>
        <w:ind w:right="443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right="100" w:firstLine="64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that involve risks and uncertainties. Our actual results could differ materially from those discussed here. Factors that could cause or contribute to such differences include, but are not limited to, those discussed in this section as well as factors described in “Part I, Item 1A — Risk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Direction of Our Business</w:t>
      </w:r>
    </w:p>
    <w:p>
      <w:pPr>
        <w:spacing w:after="0" w:line="18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Nektar Therapeutics is a clinical stage, research-based drug discovery biopharmaceutical company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We apply our deep understanding of immunology to identify and create innovative drug candidates and use our drug development expertise to advance these molecules through preclinical and clinical development. Our pipeline of clinical-stage and preclinical-stage immunomodulatory agents targets the treatment of autoimmune diseases (e.g. rezpegaldesleukin and NKTR-0165, respectively) and cancer (e.g. NKTR-255). We continue to make significant investments in building and advancing our pipeline of drug candidates as we believe that this is the best strategy to build long-term shareholder value.</w:t>
      </w:r>
    </w:p>
    <w:p>
      <w:pPr>
        <w:spacing w:after="0" w:line="162"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In December 2024, we completed the sale of our manufacturing facility in Huntsville, Alabama (the Facility), and assigned our manufacturing and supply agreements to Gannet BioChem, an affiliate of Ampersand Management LLC d/b/a Ampersand Capital Partners for consideration of $64.7 million in cash, net of transaction costs, and an approximate 20% equity interest at the time of close in Gannet BioChem (the Transactions). See Note 12 to our Consolidated Financial Statements for additional information.</w:t>
      </w:r>
    </w:p>
    <w:p>
      <w:pPr>
        <w:spacing w:after="0" w:line="139"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In April of 2022 and 2023, we implemented the 2022 Restructuring Plan and 2023 Restructuring Plan, respectively, which both prioritized key research and development efforts that will be most impactful to the Company’s future. Central to both plans is the continuation of clinical development of both rezpegaldesleukin (previously referred to as NKTR-358) and NKTR-255 programs as well as our core research programs in immunology that include a separate tumor necrosis factor receptor 2 agonist antibody (NKTR-0165).</w:t>
      </w:r>
    </w:p>
    <w:p>
      <w:pPr>
        <w:spacing w:after="0" w:line="139"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Autoimmune and inflammatory diseases cause the immune system to mistakenly attack and damage healthy cells in a person’s body. A failure of the body’s self-tolerance mechanisms enables the formation of the pathogenic T lymphocytes that conduct this attack. Our drug candidate rezpegaldesleukin is a potential first-in-class resolution therapeutic that may address this underlying immune system imbalance in people with autoimmune disorders and inflammatory diseases. It is designed to target the interleukin-2 (IL-2) receptor complex in the body in order to stimulate proliferation of powerful inhibitory immune cells known as regulatory T cells (Treg cells). By activating these cells, rezpegaldesleukin may act to bring the immune system back into balance. Rezpegaldesleukin is being developed as a once or twice monthly self-administered injection for a number of autoimmune disorders and inflammatory diseases.</w:t>
      </w:r>
    </w:p>
    <w:p>
      <w:pPr>
        <w:spacing w:after="0" w:line="162"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On October 13, 2023, we announced final efficacy data from a Phase 1b study of rezpegaldesleukin in adult patients with atopic dermatitis (Phase 1b AD Study) at the European Academy of Dermatology and Venereolgy conference. The final efficacy data from the Phase 1b AD study showed that patients with moderate-to-severe atopic dermatitis that were treated with rezpegaldesluekin had dose-dependent improvements in the eczema area and severity index (EASI), validated investigated global assessment (vIGA), body surface area (BSA), and itch numeric rating scale (NRS) over twelve weeks of treatment compared to placebo, which were sustained post-treatment over an additional thirty-six weeks. Rezpegaldesleukin was well tolerated with no patients in the rezpegaldesleukin groups experiencing severe, serious, or fatal adverse events, and no anti-rezpegaldesleukin antibodies were detected.</w:t>
      </w:r>
    </w:p>
    <w:p>
      <w:pPr>
        <w:spacing w:after="0" w:line="147"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In late October 2023, we initiated a Phase 2b clinical study of rezpegaldesleukin in patients with moderate-to-severe atopic dermatitis, which remains on track for a topline data readout in the first half of 2025. In March 2024, we initiated a Phase 2b clinical study in patients with severe-to-very severe alopecia areata, which remains on track for a topline data readout in the second half of 2025. We also plan to explore other autoimmune indications for the development of rezpegaldesleukin. On February 11, 2025, we announced that the FDA had granted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w:t>
      </w:r>
    </w:p>
    <w:p>
      <w:pPr>
        <w:spacing w:after="0" w:line="147"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In oncology, we focus on developing medicines that target biological pathways that stimulate and sustain the body’s immune response in order to fight cancer. Our drug candidate NKTR-255 is an investigational biologic that is designed to target the IL-15 pathway in order to activate the body’s innate and adaptive immunity. Through optimal engagement of the IL-15 receptor complex, NKTR-255 is designed to enhance functional NK cell populations and formation of long-term</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immunological memory, which may lead to sustained and durable anti-tumor immune response. We are continuing select developmental studies of NKTR-255 in combination with cell therapies and checkpoint inhibitors while we evaluate additional strategic partnership pathways for the program.</w:t>
      </w:r>
    </w:p>
    <w:p>
      <w:pPr>
        <w:spacing w:after="0" w:line="142" w:lineRule="exact"/>
        <w:rPr>
          <w:sz w:val="20"/>
          <w:szCs w:val="20"/>
          <w:color w:val="auto"/>
        </w:rPr>
      </w:pPr>
    </w:p>
    <w:p>
      <w:pPr>
        <w:ind w:firstLine="644"/>
        <w:spacing w:after="0" w:line="242" w:lineRule="auto"/>
        <w:rPr>
          <w:sz w:val="20"/>
          <w:szCs w:val="20"/>
          <w:color w:val="auto"/>
        </w:rPr>
      </w:pPr>
      <w:r>
        <w:rPr>
          <w:rFonts w:ascii="Times New Roman" w:cs="Times New Roman" w:eastAsia="Times New Roman" w:hAnsi="Times New Roman"/>
          <w:sz w:val="18"/>
          <w:szCs w:val="18"/>
          <w:color w:val="auto"/>
        </w:rPr>
        <w:t>In December 2024, we announced the results of our Phase 2 proof-of-concept study to evaluate NKTR-255 following Yescarta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Breyanzi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CD19 CAR-T cell therapy in patients with large B-cell lymphoma at the 66th ASH Annual Meeting and Exposition in San Diego, California. In the fifteen-person clinical trial, the NKTR-255 combined treatment group demonstrated an improved complete response rate (CRR) at six months, achieving 73% compared to 50% for the placebo, as assessed by a blinded independent central radiology review. Additionally, two patients treated with NKTR-255 converted from stable disease or partial response to complete responses at six months. No conversions from stable disease or partial response to complete response were observed in the placebo arm of the trial. The Fred Hutchinson Cancer Center is evaluating NKTR-255 following Breyanzi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CD19 CAR-T cell therapy in patients with relapsed/refractory large B-cell lymphoma as an investigator sponsored study. We are continuing our oncology clinical collaboration with Merck KGaA to evaluate the maintenance regimen of NKTR-255 in combination with avelumab, a PD-L1 inhibitor, in patients with locally advanced or metastatic urothelial carcinoma in the Phase II JAVELIN Bladder Medley study. We expect to receive topline data from this study in the first half of 2025. We entered into a new clinical study collaboration with AbelZeta Pharma, Inc. (AbelZeta) (formerly known as CBMG Holdings) to study NKTR-255 in combination with its C-TIL051, a tumor-infiltrating lymphocyte (TIL) therapy, in advanced non-small cell lung cancer (NSCLC) patients that are relapsed or refractory to anti-PD-1 therapy. Under the collaboration, we will contribute NKTR-255 and AbelZeta will add NKTR-255 to its ongoing AbelZeta-sponsored Phase 1 clinical trial. We also have an ongoing investigator sponsored study evaluating NKTR-255 in combination with IMFINZI (durvalumab) in patients with unresectable Stage 3 NSCLC who have received chemoradiation.</w:t>
      </w:r>
    </w:p>
    <w:p>
      <w:pPr>
        <w:spacing w:after="0" w:line="159"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We continue to advance our most promising research drug candidates into preclinical development with the objective of advancing these early-stage research programs to human clinical studies over the next several years. Our lead research program, NKTR-0165, is our preclinical tumor necrosis factor (TNF) receptor type II (TNFR2) agonist asset, which we believe is a unique bivalent antibody that selectively stimulates TNFR2 receptor activity, without modulation of the TNFR1 signaling. TNFR2 signaling drives immunoregulatory function and can provide a direct protective effect for tissue cells. TNFR2 is highly expressed on Tregs, neuronal cells and endothelial cells and has been shown to potentiate the suppressive effects and overall functional properties of Tregs. Our focus on TNFR2 antibody candidates that show selective Treg cell binding and signaling profiles that may be developed for treatment of autoimmune diseases, such as ulcerative colitis, multiple sclerosis and vitiligo. We began carrying out Investigational New Drug (IND) enabling studies for this program in 2024, after having exercised an option in December 2023 to gain an exclusive license to specified agonistic antibodies and other materials that were developed pursuant to a research collaboration and license option agreement we entered into with Biolojic Design, Ltd. in 2021.</w:t>
      </w:r>
    </w:p>
    <w:p>
      <w:pPr>
        <w:spacing w:after="0" w:line="154"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We have historically derived substantially all of our revenue and significant amounts of research and development operating capital from our collaboration agreements. In addition to payments received under the Lilly Agreement, we have received upfront and milestone payments and cost-sharing reimbursements under a number of other previous collaboration agreements, and certain of our collaboration partners, have borne substantial costs of developing our drug candidates. We expect we will continue our approach of entering into revenue-generating collaboration agreements to pay in whole or in part the development costs of our drug candidates.</w:t>
      </w:r>
    </w:p>
    <w:p>
      <w:pPr>
        <w:spacing w:after="0" w:line="156"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Several of our historical collaboration agreements have resulted in approved drugs, for which we may be entitled to royalties for net sales of these approved drugs. However, we have sold our rights to receive royalties under these arrangements, including:</w:t>
      </w:r>
    </w:p>
    <w:p>
      <w:pPr>
        <w:spacing w:after="0" w:line="101" w:lineRule="exact"/>
        <w:rPr>
          <w:sz w:val="20"/>
          <w:szCs w:val="20"/>
          <w:color w:val="auto"/>
        </w:rPr>
      </w:pPr>
    </w:p>
    <w:p>
      <w:pPr>
        <w:ind w:left="1300" w:right="200" w:hanging="648"/>
        <w:spacing w:after="0" w:line="230" w:lineRule="auto"/>
        <w:tabs>
          <w:tab w:leader="none" w:pos="13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2012 Purchase and Sale Agreement: In 2012, we sold all of our rights to receive royalties from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Crohn’s disease and other autoimmune indications) and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anemia associated with chronic kidney disease) under our collaborations with UCB Pharma (UCB) and F. Hoffmann-La Roche Ltd, respectively, to RPI Finance Trust (RPI), an affiliate of Royalty Pharma for $124.0 million.</w:t>
      </w:r>
    </w:p>
    <w:p>
      <w:pPr>
        <w:spacing w:after="0" w:line="140" w:lineRule="exact"/>
        <w:rPr>
          <w:rFonts w:ascii="Times New Roman" w:cs="Times New Roman" w:eastAsia="Times New Roman" w:hAnsi="Times New Roman"/>
          <w:sz w:val="15"/>
          <w:szCs w:val="15"/>
          <w:color w:val="auto"/>
        </w:rPr>
      </w:pPr>
    </w:p>
    <w:p>
      <w:pPr>
        <w:ind w:left="1300" w:right="20" w:hanging="648"/>
        <w:spacing w:after="0" w:line="239" w:lineRule="auto"/>
        <w:tabs>
          <w:tab w:leader="none" w:pos="13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2020 Purchase and Sale Agreement: In December 2020, we sold our rights, subject to a cap, to receive royalties from 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MOVENTIG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opioid-induced constipation), 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ADYNOVI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half-life extension product of Factor VIII) and other hemophilia products, under our arrangements with AstraZeneca AB, Baxalta, Inc. (a wholly owned-subsidiary of Takeda Pharmaceutical Company Ltd.), and Novo Nordisk A/S, respectively, for $150.0 million to entities managed by Healthcare Royalty Management, LLC (HCR) under a capped sale arrangement, such that all future royalties were to return to Nektar if HCR receives $210.0 million in royalties by December 31, 2025 (the 2025 Threshold) or $240.0 million if the 2025 Threshold was not met. On March 4, 2024, Nektar and HCR amended the 2020 Purchase and Sale Agreement to remove the cap on the royalties in exchange for $15.0 million. See Note 5 to our Consolidated Financial Statements for additional information.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We continued to manufacture the polymer reagents used in the production of some of the drug products until the sale of the Facility in December 2024. The sale of the Facility does not alter the royalties or other milestones payable under these agreements or our collaboration agreement with UCB for dapirolizumab pegol as further disclosed in Note 9 to our Consolidated Financial Statements.</w:t>
      </w:r>
    </w:p>
    <w:p>
      <w:pPr>
        <w:spacing w:after="0" w:line="149"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including the risks inherent in our development efforts, the results of our clinical trials, our dependence on the marketing efforts by our collaboration partners, uncertainties associated with obtaining and enforcing patents, the lengthy and expensive regulatory approval process and competition from other products. Drug research and development is an inherently uncertain process with a high risk of failure at every stage prior to approval. The timing and outcome of clinical trial results are extremely difficult to predict. Clinical development successes and failures can have a disproportionately positive or negative impact on our scientific and medical prospects, financial condition and prospects, results of operations and market opportunities. For a discussion of these and some of the other key risks and uncertainties affecting our business, see Item 1A “Risk Factors.”</w:t>
      </w:r>
    </w:p>
    <w:p>
      <w:pPr>
        <w:spacing w:after="0" w:line="147"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With respect to financing our near-term business needs, as set forth below in “Key Developments and Trends in Liquidity and Capital Resources,” we estimate we have working capital to fund our current business plans through at least the next twelve months. At December 31, 2024, we had approximately $269.1 million in cash and investments in marketable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results of operations for the years ended December 31, 2024 and 2023 are presented below (in thousands, except percentages).</w:t>
      </w:r>
    </w:p>
    <w:tbl>
      <w:tblPr>
        <w:tblLayout w:type="fixed"/>
        <w:tblInd w:w="0" w:type="dxa"/>
        <w:tblCellMar>
          <w:top w:w="0" w:type="dxa"/>
          <w:left w:w="0" w:type="dxa"/>
          <w:bottom w:w="0" w:type="dxa"/>
          <w:right w:w="0" w:type="dxa"/>
        </w:tblCellMar>
      </w:tblPr>
      <w:tr>
        <w:trPr>
          <w:trHeight w:val="151"/>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2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3"/>
                <w:szCs w:val="13"/>
                <w:color w:val="auto"/>
              </w:rPr>
            </w:pPr>
          </w:p>
        </w:tc>
        <w:tc>
          <w:tcPr>
            <w:tcW w:w="1200" w:type="dxa"/>
            <w:vAlign w:val="bottom"/>
            <w:gridSpan w:val="2"/>
          </w:tcPr>
          <w:p>
            <w:pPr>
              <w:jc w:val="right"/>
              <w:ind w:right="480"/>
              <w:spacing w:after="0" w:line="15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gridSpan w:val="2"/>
          </w:tcPr>
          <w:p>
            <w:pPr>
              <w:jc w:val="right"/>
              <w:ind w:right="520"/>
              <w:spacing w:after="0" w:line="15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33,563</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royalty revenue related to sales of future royalties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68,921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(4,654 )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collaboration and other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2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(3,082 )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(666 )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and impairment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(36,288 )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(76,501 )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the Huntsville manufacturing facility</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(40,390 )</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(40,390 )</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203,625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353,806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(150,181 )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(105,198 )</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(263,684 )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158,486</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on liability related to sale of future royalties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(28,112 )</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(25,334 )</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(2,778 )</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(4,509 )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(390 )</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(6,247 )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(14,002 )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(12,572 )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(1,430 )</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(119,200 )</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(276,256 )</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157,056</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(239 )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(200 )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(118,961 )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(276,056 )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157,095</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-2416810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-2416810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-2416810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-1302385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-1302385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-1302385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-453390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-453390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-453390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2" w:lineRule="exact"/>
        <w:rPr>
          <w:sz w:val="20"/>
          <w:szCs w:val="20"/>
          <w:color w:val="auto"/>
        </w:rPr>
      </w:pPr>
    </w:p>
    <w:p>
      <w:pPr>
        <w:ind w:right="220" w:firstLine="644"/>
        <w:spacing w:after="0" w:line="266" w:lineRule="auto"/>
        <w:rPr>
          <w:sz w:val="20"/>
          <w:szCs w:val="20"/>
          <w:color w:val="auto"/>
        </w:rPr>
      </w:pPr>
      <w:r>
        <w:rPr>
          <w:rFonts w:ascii="Times New Roman" w:cs="Times New Roman" w:eastAsia="Times New Roman" w:hAnsi="Times New Roman"/>
          <w:sz w:val="18"/>
          <w:szCs w:val="18"/>
          <w:color w:val="auto"/>
        </w:rPr>
        <w:t>Our revenue has historically been derived from our collaboration agreements, under which we may receive product sales revenue, royalties, and license fees, as well as development and sales milestones and other contingent payments. We recognize revenue when we transfer promised goods or services to our collaboration partners.</w:t>
      </w:r>
    </w:p>
    <w:p>
      <w:pPr>
        <w:spacing w:after="0" w:line="64" w:lineRule="exact"/>
        <w:rPr>
          <w:sz w:val="20"/>
          <w:szCs w:val="20"/>
          <w:color w:val="auto"/>
        </w:rPr>
      </w:pPr>
    </w:p>
    <w:p>
      <w:pPr>
        <w:ind w:left="1020" w:right="20" w:hanging="503"/>
        <w:spacing w:after="0" w:line="26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sales and Cost of goods sold: </w:t>
      </w:r>
      <w:r>
        <w:rPr>
          <w:rFonts w:ascii="Times New Roman" w:cs="Times New Roman" w:eastAsia="Times New Roman" w:hAnsi="Times New Roman"/>
          <w:sz w:val="18"/>
          <w:szCs w:val="18"/>
          <w:color w:val="auto"/>
        </w:rPr>
        <w:t>Product sales include predominantly fixed price manufacturing and supply agreements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partners and are the result of firm purchase orders from those partners. Accordingly, the revenue recognized in a given period is based solely on the demand and requirements of our collaboration partners and is not ratable throughout the year. Due to the sale of the Facility in December 2024, we do not expect to recognize product sales or costs of goods sold in 2025.</w:t>
      </w:r>
    </w:p>
    <w:p>
      <w:pPr>
        <w:spacing w:after="0" w:line="139" w:lineRule="exact"/>
        <w:rPr>
          <w:rFonts w:ascii="Times New Roman" w:cs="Times New Roman" w:eastAsia="Times New Roman" w:hAnsi="Times New Roman"/>
          <w:sz w:val="18"/>
          <w:szCs w:val="18"/>
          <w:color w:val="auto"/>
        </w:rPr>
      </w:pPr>
    </w:p>
    <w:p>
      <w:pPr>
        <w:ind w:left="10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historically had a manufacturing arrangement with UCB that included a fixed price which was less than the fully burdened manufacturing cost for the reagent. As a result of this arrangement, gross margin was negative for 2023 and earlier periods, as we had negotiated this fixed price in exchange for a higher royalty rate. Accordingly, when evaluating the net realizable value of our inventory for UCB, we include the negotiated increase of the royalties in our analysis, and the aggregate revenue had historically been greater than our manufacturing cost. Due to the decreases in the royalty rates for 2024 as a result of a settlement agreement with UCB, the aggregate revenue was expected to be less than our manufacturing cost, and therefore we recorded a provision for net realizable value during the year ended December 31, 2023. See Note 5 to our Consolidated Financial Statements for additional information on the settlement agreement with UCB.</w:t>
      </w:r>
    </w:p>
    <w:p>
      <w:pPr>
        <w:spacing w:after="0" w:line="148" w:lineRule="exact"/>
        <w:rPr>
          <w:rFonts w:ascii="Times New Roman" w:cs="Times New Roman" w:eastAsia="Times New Roman" w:hAnsi="Times New Roman"/>
          <w:sz w:val="18"/>
          <w:szCs w:val="18"/>
          <w:color w:val="auto"/>
        </w:rPr>
      </w:pPr>
    </w:p>
    <w:p>
      <w:pPr>
        <w:ind w:left="1020" w:right="8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2024, and further formalized in an Amended and Restated Manufacturing and Supply Agreement dated October 18, 2024, we entered into a long-term “take or pay” supply agreement with UCB that increased the selling price of the PEG reagent used in the manufacture of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UCB Supply Agreement). The UCB Supply Agreement also covers UCB’s purchases of the same reagent (at the same price) for use in the manufacture of dapirolizumab pegol. We analyzed the terms of the agreement, including its cancellation provisions, and concluded that it represents a long-term agreement. Since the performance obligations are deliveries of a single reagent, we determined a single sales price for recognition of revenue over the term of the arrangement. Because the billed price was less than the single sales price, we recorded an increase to product sales of $7.8 million during the year ended December 31, 2024. Additionally, we released the provision for net realizable value previously recorded for inventory on hand.</w:t>
      </w:r>
    </w:p>
    <w:p>
      <w:pPr>
        <w:spacing w:after="0" w:line="169" w:lineRule="exact"/>
        <w:rPr>
          <w:rFonts w:ascii="Times New Roman" w:cs="Times New Roman" w:eastAsia="Times New Roman" w:hAnsi="Times New Roman"/>
          <w:sz w:val="18"/>
          <w:szCs w:val="18"/>
          <w:color w:val="auto"/>
        </w:rPr>
      </w:pPr>
    </w:p>
    <w:p>
      <w:pPr>
        <w:ind w:left="102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above and disclosed in Note 1 to our Consolidated Financial Statements, in December 2024, we completed the sale of the Facility which included the assignment of our manufacturing and supply agreements to Gannet BioChem. Upon closing of the Transactions, we derecognized the contract asset and will no longer record product sales and cost of goods sold related to the manufacturing of PEG reagent for UCB or other customers.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Non-cash royalty revenue and Non-cash interest expense: </w:t>
      </w:r>
      <w:r>
        <w:rPr>
          <w:rFonts w:ascii="Times New Roman" w:cs="Times New Roman" w:eastAsia="Times New Roman" w:hAnsi="Times New Roman"/>
          <w:sz w:val="18"/>
          <w:szCs w:val="18"/>
          <w:color w:val="auto"/>
        </w:rPr>
        <w:t>We recognize non-cash royalty revenue and non-cash interest expense resulting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royalties on several products for which we had previously sold our rights to receive royalties under the 2012 and 2020 Purchase and Sale Agreements. See Note 5 to our Consolidated Financial Statements for additional information regarding these agreements. These non-cash revenues and expenses have no effect on our cash flows, and we do not consider them material to our operations. We expect non-cash royalty revenue to decrease for 2025 as compared to 2024 due to the decrease in the royalty rate from UCB and the end of the royalty term for US sales of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late 2024, and we expect non-cash interest expense to decrease as a result of the lower liability balances.</w:t>
      </w:r>
    </w:p>
    <w:p>
      <w:pPr>
        <w:spacing w:after="0" w:line="82" w:lineRule="exact"/>
        <w:rPr>
          <w:rFonts w:ascii="Times New Roman" w:cs="Times New Roman" w:eastAsia="Times New Roman" w:hAnsi="Times New Roman"/>
          <w:sz w:val="18"/>
          <w:szCs w:val="18"/>
          <w:color w:val="auto"/>
        </w:rPr>
      </w:pPr>
    </w:p>
    <w:p>
      <w:pPr>
        <w:ind w:left="1020" w:righ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2024, Nektar and HCR amended the 2020 Purchase and Sale Agreement to remove the cap on the royalties in exchange for a $15.0 million payment to Nektar. See Note 5 to our Consolidated Financial Statements for additional information.</w:t>
      </w:r>
    </w:p>
    <w:p>
      <w:pPr>
        <w:spacing w:after="0" w:line="49" w:lineRule="exact"/>
        <w:rPr>
          <w:rFonts w:ascii="Times New Roman" w:cs="Times New Roman" w:eastAsia="Times New Roman" w:hAnsi="Times New Roman"/>
          <w:sz w:val="18"/>
          <w:szCs w:val="18"/>
          <w:color w:val="auto"/>
        </w:rPr>
      </w:pPr>
    </w:p>
    <w:p>
      <w:pPr>
        <w:ind w:left="1020" w:right="120" w:hanging="503"/>
        <w:spacing w:after="0" w:line="257"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License, collaboration and other revenue: </w:t>
      </w:r>
      <w:r>
        <w:rPr>
          <w:rFonts w:ascii="Times New Roman" w:cs="Times New Roman" w:eastAsia="Times New Roman" w:hAnsi="Times New Roman"/>
          <w:sz w:val="18"/>
          <w:szCs w:val="18"/>
          <w:color w:val="auto"/>
        </w:rPr>
        <w:t>License, collaboration and other revenue includes the recognition of upfront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 and other contingent payments received in connection with our license and collaboration agreements. The amount of revenue depends in part upon the estimated recognition period of the upfront payments allocated to continuing performance obligations, the achievement of milestones and other contingent events, the continuation of existing collaborations, the amount of research and development work, and entering into new collaboration agreements, if any. License, collaboration and other revenue was not material for 2023 or 2024, and, unless we enter into a new collaboration agreement with upfront payments, we do not expect to recognize significant revenue in 2025.</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20" w:right="60"/>
        <w:spacing w:after="0" w:line="282" w:lineRule="auto"/>
        <w:rPr>
          <w:sz w:val="20"/>
          <w:szCs w:val="20"/>
          <w:color w:val="auto"/>
        </w:rPr>
      </w:pPr>
      <w:r>
        <w:rPr>
          <w:rFonts w:ascii="Times New Roman" w:cs="Times New Roman" w:eastAsia="Times New Roman" w:hAnsi="Times New Roman"/>
          <w:sz w:val="18"/>
          <w:szCs w:val="18"/>
          <w:color w:val="auto"/>
        </w:rPr>
        <w:t>The timing and future success of our drug development programs and those of our collaboration partners are subject to a number of risks and uncertainties. See Item 1A. Risk Factors for discussion of the risks associated with the complex nature of our collaboration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consists primarily of clinical study costs, contract manufacturing costs, direct costs of outside research, materials, supplies, licenses and fees as well as personnel costs (including salaries, benefits, and non-cash stock-based compensation). Research and development expense also includes certain overhead allocations consisting of support and facilities-related costs. Where we perform research and development activities under a joint development collaboration, such as our collaboration with BMS, we record the expense reimbursement from our partners as a reduction to research and development expense, and we record our share of our partners’ expenses as an increase to research and development expense.</w:t>
      </w:r>
    </w:p>
    <w:p>
      <w:pPr>
        <w:spacing w:after="0" w:line="147"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The following table presents expenses incurred for direct third-party costs, including clinical and regulatory services, contract manufacturing, clinical supplies, and preclinical study support for each of our drug candidates. The table also presents personnel, overhead and other indirect costs as we utilize our employee and infrastructure resources across multiple development and research programs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86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Clinical Study</w:t>
            </w:r>
          </w:p>
        </w:tc>
        <w:tc>
          <w:tcPr>
            <w:tcW w:w="320" w:type="dxa"/>
            <w:vAlign w:val="bottom"/>
          </w:tcPr>
          <w:p>
            <w:pPr>
              <w:spacing w:after="0"/>
              <w:rPr>
                <w:sz w:val="15"/>
                <w:szCs w:val="15"/>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360" w:type="dxa"/>
            <w:vAlign w:val="bottom"/>
          </w:tcPr>
          <w:p>
            <w:pPr>
              <w:spacing w:after="0"/>
              <w:rPr>
                <w:sz w:val="12"/>
                <w:szCs w:val="12"/>
                <w:color w:val="auto"/>
              </w:rPr>
            </w:pPr>
          </w:p>
        </w:tc>
        <w:tc>
          <w:tcPr>
            <w:tcW w:w="1860" w:type="dxa"/>
            <w:vAlign w:val="bottom"/>
          </w:tcPr>
          <w:p>
            <w:pPr>
              <w:jc w:val="center"/>
              <w:ind w:left="56"/>
              <w:spacing w:after="0" w:line="142" w:lineRule="exact"/>
              <w:rPr>
                <w:sz w:val="20"/>
                <w:szCs w:val="20"/>
                <w:color w:val="auto"/>
              </w:rPr>
            </w:pPr>
            <w:r>
              <w:rPr>
                <w:rFonts w:ascii="Times New Roman" w:cs="Times New Roman" w:eastAsia="Times New Roman" w:hAnsi="Times New Roman"/>
                <w:sz w:val="14"/>
                <w:szCs w:val="14"/>
                <w:b w:val="1"/>
                <w:bCs w:val="1"/>
                <w:color w:val="auto"/>
              </w:rPr>
              <w:t>Status(1)</w:t>
            </w: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Rezpegaldesleukin (cytokine Treg stimulant)(2)</w:t>
            </w:r>
          </w:p>
        </w:tc>
        <w:tc>
          <w:tcPr>
            <w:tcW w:w="1860" w:type="dxa"/>
            <w:vAlign w:val="bottom"/>
            <w:shd w:val="clear" w:color="auto" w:fill="CFF0FC"/>
          </w:tcPr>
          <w:p>
            <w:pPr>
              <w:jc w:val="center"/>
              <w:ind w:left="56"/>
              <w:spacing w:after="0"/>
              <w:rPr>
                <w:sz w:val="20"/>
                <w:szCs w:val="20"/>
                <w:color w:val="auto"/>
              </w:rPr>
            </w:pPr>
            <w:r>
              <w:rPr>
                <w:rFonts w:ascii="Times New Roman" w:cs="Times New Roman" w:eastAsia="Times New Roman" w:hAnsi="Times New Roman"/>
                <w:sz w:val="18"/>
                <w:szCs w:val="18"/>
                <w:color w:val="auto"/>
                <w:w w:val="99"/>
              </w:rPr>
              <w:t>Phase 2b</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49,382</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NKTR-255 (IL-15 receptor agonist)</w:t>
            </w:r>
          </w:p>
        </w:tc>
        <w:tc>
          <w:tcPr>
            <w:tcW w:w="186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7"/>
              </w:rPr>
              <w:t>Phase 1/2</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26,132</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NKTR-0165 (tumor necrosis factor receptor type II agonist)</w:t>
            </w:r>
          </w:p>
        </w:tc>
        <w:tc>
          <w:tcPr>
            <w:tcW w:w="1860" w:type="dxa"/>
            <w:vAlign w:val="bottom"/>
            <w:shd w:val="clear" w:color="auto" w:fill="CFF0FC"/>
          </w:tcPr>
          <w:p>
            <w:pPr>
              <w:jc w:val="center"/>
              <w:ind w:left="56"/>
              <w:spacing w:after="0"/>
              <w:rPr>
                <w:sz w:val="20"/>
                <w:szCs w:val="20"/>
                <w:color w:val="auto"/>
              </w:rPr>
            </w:pPr>
            <w:r>
              <w:rPr>
                <w:rFonts w:ascii="Times New Roman" w:cs="Times New Roman" w:eastAsia="Times New Roman" w:hAnsi="Times New Roman"/>
                <w:sz w:val="18"/>
                <w:szCs w:val="18"/>
                <w:color w:val="auto"/>
                <w:w w:val="98"/>
              </w:rPr>
              <w:t>Preclinical</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 research and other programs</w:t>
            </w:r>
          </w:p>
        </w:tc>
        <w:tc>
          <w:tcPr>
            <w:tcW w:w="186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8"/>
              </w:rPr>
              <w:t>Various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18"/>
                <w:szCs w:val="18"/>
                <w:color w:val="auto"/>
              </w:rPr>
            </w:pPr>
          </w:p>
        </w:tc>
      </w:tr>
      <w:tr>
        <w:trPr>
          <w:trHeight w:val="210"/>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clinical development, contract manufacturing and other third party costs</w:t>
            </w:r>
          </w:p>
        </w:tc>
        <w:tc>
          <w:tcPr>
            <w:tcW w:w="1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76,850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51,893</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overhead and other costs</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45,503</w:t>
            </w:r>
          </w:p>
        </w:tc>
        <w:tc>
          <w:tcPr>
            <w:tcW w:w="100" w:type="dxa"/>
            <w:vAlign w:val="bottom"/>
          </w:tcPr>
          <w:p>
            <w:pPr>
              <w:spacing w:after="0"/>
              <w:rPr>
                <w:sz w:val="18"/>
                <w:szCs w:val="18"/>
                <w:color w:val="auto"/>
              </w:rPr>
            </w:pPr>
          </w:p>
        </w:tc>
      </w:tr>
      <w:tr>
        <w:trPr>
          <w:trHeight w:val="216"/>
        </w:trPr>
        <w:tc>
          <w:tcPr>
            <w:tcW w:w="6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18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6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120,908</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114,162</w:t>
            </w:r>
          </w:p>
        </w:tc>
        <w:tc>
          <w:tcPr>
            <w:tcW w:w="10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19030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45" w:lineRule="exact"/>
        <w:rPr>
          <w:sz w:val="20"/>
          <w:szCs w:val="20"/>
          <w:color w:val="auto"/>
        </w:rPr>
      </w:pPr>
    </w:p>
    <w:p>
      <w:pPr>
        <w:ind w:left="480" w:hanging="472"/>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Study Status as of December 31, 2024. Definitions are provided in Part I, Item 1. Business.</w:t>
      </w:r>
    </w:p>
    <w:p>
      <w:pPr>
        <w:spacing w:after="0" w:line="27" w:lineRule="exact"/>
        <w:rPr>
          <w:rFonts w:ascii="Times New Roman" w:cs="Times New Roman" w:eastAsia="Times New Roman" w:hAnsi="Times New Roman"/>
          <w:sz w:val="18"/>
          <w:szCs w:val="18"/>
          <w:color w:val="auto"/>
        </w:rPr>
      </w:pPr>
    </w:p>
    <w:p>
      <w:pPr>
        <w:ind w:left="480" w:right="20" w:hanging="472"/>
        <w:spacing w:after="0" w:line="260" w:lineRule="auto"/>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include our 25% share of costs incurred by Lilly for the Phase 1b and Phase 2 development of rezpegaldesleukin prior to termination of the Lilly collaboration agreement in 2023. Lilly was responsible for 75% of costs.</w:t>
      </w:r>
    </w:p>
    <w:p>
      <w:pPr>
        <w:spacing w:after="0" w:line="15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for rezpegaldesleukin increased significantly for the full year 2024 as compared to the full year 2023, due to the initiation of the Phase 2b study in patients with moderate-to-severe atopic dermatitis in October 2023 and the Phase 2b study in patients with severe-to-very severe alopecia areata in March 2024. Excluding any potential additional development activities for rezpegaldesleukin dependent on the results of these trials, we expect the costs of development of rezpegaldesleukin for full year 2025 to be consistent with full year 2024 as these Phase 2b studies continue.</w:t>
      </w:r>
    </w:p>
    <w:p>
      <w:pPr>
        <w:spacing w:after="0" w:line="143" w:lineRule="exact"/>
        <w:rPr>
          <w:sz w:val="20"/>
          <w:szCs w:val="20"/>
          <w:color w:val="auto"/>
        </w:rPr>
      </w:pPr>
    </w:p>
    <w:p>
      <w:pPr>
        <w:ind w:right="60" w:firstLine="749"/>
        <w:spacing w:after="0" w:line="233" w:lineRule="auto"/>
        <w:rPr>
          <w:sz w:val="20"/>
          <w:szCs w:val="20"/>
          <w:color w:val="auto"/>
        </w:rPr>
      </w:pPr>
      <w:r>
        <w:rPr>
          <w:rFonts w:ascii="Times New Roman" w:cs="Times New Roman" w:eastAsia="Times New Roman" w:hAnsi="Times New Roman"/>
          <w:sz w:val="18"/>
          <w:szCs w:val="18"/>
          <w:color w:val="auto"/>
        </w:rPr>
        <w:t>Research and development expense for NKTR-255 decreased for the full year 2024 as compared to the full year 2023, as our development activities in 2024 are reduced compared to the prior period, and we expect development expense for the full year 2025 to decrease as compared to 2024 for this same reason. Our development expense for NKTR-255 includes the Nektar-sponsored Phase 2 study to evaluate NKTR-255 following Yescarta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Breyanzi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CD19 CAR-T cell therapy in patients with large B-cell lymphoma, the Fred Hutchinson Cancer Center investigator-sponsored study evaluating NKTR-255 following Breyanzi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CD19 CAR-T cell therapy in patients with relapsed/refractory large B-cell lymphoma, our oncology clinical collaboration with Merck KGaA to evaluate the maintenance regimen of NKTR-255 in combination with avelumab, a PD-L1 inhibitor, in patients with locally advanced or metastatic urothelial carcinoma in the Phase II JAVELIN Bladder Medley study, and an ongoing investigator sponsored study evaluating NKTR-255 in combination with IMFINZI (durvalumab) in patients with unresectable Stage 3 NSCLC who have received chemoradiation. We expect the costs of development of NKTR-255 to decrease for full year 2025 as compared to full year 2024 as we have completed our Phase 2 study in patients with large B-cell lymphoma.</w:t>
      </w:r>
    </w:p>
    <w:p>
      <w:pPr>
        <w:spacing w:after="0" w:line="166"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December 2023, for our NKTR-0165 program, we exercised an option to gain an exclusive license to specified agonistic antibodies and other materials that were developed pursuant to a research collaboration and license option agreement we entered into with Biolojic Design, Ltd. in 2021. Excluding this cost, research and development expense for NKTR-0165 increased significantly for the full year 2024 as compared to the full year 2023, as we began conducting IND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enabling activities for this program in 2024. We expect development expense for NKTR-0165 for full year 2025 to increase slightly as compared to full year 2024 as we continue the IND enabling activities.</w:t>
      </w:r>
    </w:p>
    <w:p>
      <w:pPr>
        <w:spacing w:after="0" w:line="135"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Personnel, overhead and other costs decreased for the full year 2024 as compared to the full year 2023 due to our 2023 Restructuring Plan (as further disclosed in Note 10 to our Consolidated Financial Statements), pursuant to which we reduced our San Francisco-based workforce by approximately 60%, which was substantially completed by June 2023. Additionally, pursuant to the 2023 Restructuring Plan, we decided to sublease our remaining office and laboratory space on Mission Bay Blvd. South (the Mission Bay Facility), and therefore we ceased recording a portion of the related lease expense as research and development expense after June 2023 upon completing the reduction in force. We expect personnel, overhead and other costs for full year 2025 to be consistent with full year 2024.</w:t>
      </w:r>
    </w:p>
    <w:p>
      <w:pPr>
        <w:spacing w:after="0" w:line="147"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Excluding any potential additional development activities for rezpegaldesleukin dependent on the results of our Phase 2b trials, we expect research and development expense in total for full year 2025 to be consistent with 2024.</w:t>
      </w:r>
    </w:p>
    <w:p>
      <w:pPr>
        <w:spacing w:after="0" w:line="12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timing and amount of our future clinical trial expenses will vary significantly based upon our evaluation of ongoing clinical results and the structure, timing, and scope of additional clinical development programs and potential clinical collaboration partnerships (if any) for these programs.</w:t>
      </w:r>
    </w:p>
    <w:p>
      <w:pPr>
        <w:spacing w:after="0" w:line="13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to our drug candidates that we plan to evaluate in clinical development during 2025 and beyond, we believe it is vitally important to continue our substantial investment in a pipeline of new drug candidates to continue to build the value of our drug candidate pipeline and our business. We continue our interest in identifying new drug candidates across a wide range of molecule classes, including small molecules and large proteins, peptides and antibodies, across multiple therapeutic areas. We also plan from time to time to evaluate opportunities to in-license potential drug candidates from third parties to add to our development pipeline. We plan to continue to advance our most promising early research drug candidates into preclinical development with the objective to advance these early-stage research programs to human clinical studies over the next several years.</w:t>
      </w:r>
    </w:p>
    <w:p>
      <w:pPr>
        <w:spacing w:after="0" w:line="14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Our expenditures on current and future preclinical and clinical development programs are subject to numerous uncertainties in timing and cost to completion. In order to advance our drug candidates through clinical development, each drug candidate must be tested in numerous preclinical safety, toxicology and efficacy studies. We then conduct clinical studies for our drug candidates that take several years to complete. The cost and time required to complete clinical trials may vary significantly over the life of a clinical development program as a result of a variety of factors, including but not limited to:</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a given clinical study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clinical study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sites included in the clinical studies;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study designs required by the health authorities (i.e. primary and secondary endpoints as well as the size of the study population needed to demonstrate efficacy and safety outcomes);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changing standards of care for the target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for patient recruitment from competitive drug candidates being studied in the same clinical setting;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producing supplies of the drug candidates needed for clinical trials and regulatory submissions;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profile of the drug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clinical research organizations to assist with the management of the trials;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and the ability to secure, approvals from government health authorities.</w:t>
      </w:r>
    </w:p>
    <w:p>
      <w:pPr>
        <w:spacing w:after="0" w:line="18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Furthermore, our strategy includes the potential of entering into collaborations with third parties to participate in the development and commercialization of some of our drug candidates, or clinical collaborations where we would share costs and operational responsibility with a partner. In certain situations, the clinical development program and process for a drug candidate and the estimated completion date will largely be under the control of that third party and not under our control. We cannot forecast with any degree of certainty which of our drug candidates will be subject to future collaborations or how such arrangements would affect our development plans or capital requirements.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02"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includes the cost of administrative staffing, finance and legal activities, including certain overhead allocations consisting of support and facilities-related costs. Additionally, general and administrative expense includes our lease and other facilities expenses for spaces we have sublet or are seeking to sublease, net of sublease income.</w:t>
      </w:r>
    </w:p>
    <w:p>
      <w:pPr>
        <w:spacing w:after="0" w:line="13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 remained consistent for the full year 2024 as compared to the full year 2023. Personnel costs decreased for the full year 2024 as compared to the full year 2023 because, as discussed in Note 10 to our Consolidated Financial Statements, pursuant our 2023 Restructuring Plan, we reduced our San Francisco-based workforce by approximately 60%, which we substantially completed by June 2023. Stock-based compensation expense decreased due to this reduction in force, as well as a lower valuation on more recent grants due to the decrease in our stock price. As discussed above, as a result of the reduction in force and our decision to seek a sublease for our remaining space in our Mission Bay Blvd. South facility, we ceased recording the related facilities expense as research and development expense after June 2023, resulting in an increase to general and administrative expense. Additionally, general and administrative expense increased for commercial litigation expenses, as further discussed in Note 7 to our Consolidated Financial Statements.</w:t>
      </w:r>
    </w:p>
    <w:p>
      <w:pPr>
        <w:spacing w:after="0" w:line="151" w:lineRule="exact"/>
        <w:rPr>
          <w:sz w:val="20"/>
          <w:szCs w:val="20"/>
          <w:color w:val="auto"/>
        </w:rPr>
      </w:pPr>
    </w:p>
    <w:p>
      <w:pPr>
        <w:ind w:right="220" w:firstLine="644"/>
        <w:spacing w:after="0" w:line="266" w:lineRule="auto"/>
        <w:rPr>
          <w:sz w:val="20"/>
          <w:szCs w:val="20"/>
          <w:color w:val="auto"/>
        </w:rPr>
      </w:pPr>
      <w:r>
        <w:rPr>
          <w:rFonts w:ascii="Times New Roman" w:cs="Times New Roman" w:eastAsia="Times New Roman" w:hAnsi="Times New Roman"/>
          <w:sz w:val="18"/>
          <w:szCs w:val="18"/>
          <w:color w:val="auto"/>
        </w:rPr>
        <w:t>We expect general and administrative expense for full year 2025 to decrease as compared to full year 2024 due to lower amounts of stock-based compensation expense, due to lower valuations on more recent grants due to the decrease in our stock price, as well as lower lease expense due to the impairment charges we recorded in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Impairment</w:t>
      </w:r>
    </w:p>
    <w:p>
      <w:pPr>
        <w:spacing w:after="0" w:line="189"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As discussed in Note 10 to our Consolidated Financial Statements, we have incurred significant costs as a result of our 2022 and 2023 Restructuring Plans. In connection with these events, we reported the following costs in restructuring and impairment as further described and disclosed in Note 10 to our Consolidated Financial Statements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80" w:type="dxa"/>
            <w:vAlign w:val="bottom"/>
            <w:gridSpan w:val="2"/>
          </w:tcPr>
          <w:p>
            <w:pPr>
              <w:spacing w:after="0"/>
              <w:rPr>
                <w:sz w:val="12"/>
                <w:szCs w:val="12"/>
                <w:color w:val="auto"/>
              </w:rPr>
            </w:pPr>
          </w:p>
        </w:tc>
        <w:tc>
          <w:tcPr>
            <w:tcW w:w="11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Severance and benefit expense</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35,328</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sale of other property, plant and equipment, net</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restructuring costs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00" w:type="dxa"/>
            <w:vAlign w:val="bottom"/>
          </w:tcPr>
          <w:p>
            <w:pPr>
              <w:spacing w:after="0"/>
              <w:rPr>
                <w:sz w:val="18"/>
                <w:szCs w:val="18"/>
                <w:color w:val="auto"/>
              </w:rPr>
            </w:pPr>
          </w:p>
        </w:tc>
      </w:tr>
      <w:tr>
        <w:trPr>
          <w:trHeight w:val="250"/>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impairment</w:t>
            </w: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51,958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1020" w:right="24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benefits expense: We recognized $7.9 million for severance and benefit expense in 2023 related to the 2023 Restructuring Plan. We did not recognize expense for either the 2022 or 2023 Restructuring Plans in 2024, and do not expect to recognize any additional expenses for either the 2022 or 2023 Restructuring Plans in 2025.</w:t>
      </w:r>
    </w:p>
    <w:p>
      <w:pPr>
        <w:spacing w:after="0" w:line="6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right-of-use assets and property, plant and equipment: We recognized $35.3 million in non-cash impairment charges for the full year 2023, primarily for the Mission Bay Facility and our office space on Third St. (the Third St. Facility), reflecting deteriorations in both the laboratory and office lease markets. The non-cash impairment charges for the full year 2024 reflect additional impairment charges for these spaces as these lease markets continued to deteriorate. While we continue to seek subleases for our remaining spaces, we will continue to update our estimates based on changes in market conditions, whether or not we are able to enter into subleases and, if we do enter into subleases, the economic terms of those subleases, and we may record incremental non-cash impairment charges in future periods as these estimates change.</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sale or disposal of property, plant and equipment, net: The net loss in 2023 relates to the sale of excess lab equipment.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and other restructuring charges: We recognized $7.3 million and $2.0 million in contract termination costs for the full years 2024 and 2023, respectively, primarily resulting from our 2022 Restructuring Plan. We will continue to recognize expense as our estimates change until final settlement. We recognized $5.5 million for the full year of 2023 for the wind down of the bempegaldesleukin program. Because the amounts have become immaterial, we report these costs within research and development expense for 2024. We expect these costs to remain immaterial in 2025.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02" w:lineRule="exact"/>
        <w:rPr>
          <w:sz w:val="20"/>
          <w:szCs w:val="20"/>
          <w:color w:val="auto"/>
        </w:rPr>
      </w:pPr>
    </w:p>
    <w:p>
      <w:pPr>
        <w:ind w:right="200" w:firstLine="644"/>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11 to our Consolidated Financial Statements, during the three months ended March 31, 2023, our stock price and resulting market capitalization experienced a significant, sustained decline. As a result and in accordance with ASC 350-20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and ASC 820-10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we measured the fair value of the Company based on income and market approaches. Based on this analysis, we wrote off all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in the three months ended March 31, 2023. We had previously recognized goodwill primarily from our acquisitions of Shearwater Corp. and Aerogen, Inc. in 2001 and 2005,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the Huntsville Manufacturing Facility</w:t>
      </w:r>
    </w:p>
    <w:p>
      <w:pPr>
        <w:spacing w:after="0" w:line="189"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As discussed in Note 1 to our Consolidated Financial Statements, we sold the Facility which included the assignment of our manufacturing and supply agreements to Gannet BioChem, an affiliate of Ampersand Capital Partners, for consideration of $64.7 million in cash, net of transaction costs, and an approximate 20% equity interest at the time of close in Gannet BioChem. This resulted in a net gain on sale of $40.4 million, after accounting for the net carrying value of all assets and liabilities sold and closing costs. See Note 12 to our Consolidated Financial Statements for additional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Interest income decreased for the full year 2024 as compared to the full year 2023, primarily due to lower investment balances as we have utilized our cash to fund our operations. We expect interest income to decrease for 2025 due to lower investment balances as we fund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2"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We recorded a net loss of $5.1 million for the reclassification of the cumulative translation adjustment for the wind down of our foreign subsidiaries in the year ended December 31, 2023. We did not recognize significant reclassifications in 2024, and we do not expect to recognize significant reclassification adjustments in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We have financed our operations primarily through revenue from upfront and milestone payments under our strategic collaboration agreements, royalties and product sales, as well as public and private placements of debt and equity securities. As of December 31, 2024, we had approximately $269.1 million in cash and investments in marketable securities.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2024, we entered into the following financing and investing transactions:</w:t>
      </w:r>
    </w:p>
    <w:p>
      <w:pPr>
        <w:spacing w:after="0" w:line="117" w:lineRule="exact"/>
        <w:rPr>
          <w:sz w:val="20"/>
          <w:szCs w:val="20"/>
          <w:color w:val="auto"/>
        </w:rPr>
      </w:pPr>
    </w:p>
    <w:p>
      <w:pPr>
        <w:ind w:left="1020" w:right="1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2024, for total cash consideration paid of $3.0 million, we repurchased the 8.3 million shares previously sold to BMS. See Note 9 to our Consolidated Financial Statements for additional information.</w:t>
      </w:r>
    </w:p>
    <w:p>
      <w:pPr>
        <w:spacing w:after="0" w:line="53"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2024, we entered into a Securities Purchase Agreement with TCG Crossover Fund II, L.P. (TCG), pursuant to which we issued a pre-funded warrant to TCG to purchase 25,000,000 shares of Nektar’s common stock for gross proceeds of $30.0 million (or a purchase price of $1.20 per share of common stock that can be issued upon exercise of the pre-funded warrant). On May 28, 2024, we filed with the SEC a registration statement on Form S-3 (file no. 333-279760) registering for the resale of up to 25,000,000 shares of Nektar’s common stock upon exercise of the pre-funded warrant issued to TCG pursuant to the Securities Purchase Agreement. The registration statement became effective on June 5, 2024. See Note 6 to our Consolidated Financial Statements for additional information.</w:t>
      </w:r>
    </w:p>
    <w:p>
      <w:pPr>
        <w:spacing w:after="0" w:line="79"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2024, for total cash consideration received of $15.0 million, Nektar entered into an amendment with HCR to remove the cap under the 2020 Purchase and Sale Agreement. See Note 5 to our Consolidated Financial Statements for additional information.</w:t>
      </w:r>
    </w:p>
    <w:p>
      <w:pPr>
        <w:spacing w:after="0" w:line="53"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above, in December 2024, we completed the sale of the Facility which included the assignment of our manufacturing and supply agreements to Gannet BioChem, an affiliate of Ampersand Capital Partners, for consideration of $64.7 million in cash, net of transaction costs, and an approximate 20% equity interest at the time of close in Gannet BioChem.</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that we have working capital to fund our current business plans for at least the next twelve months from the date of filing.</w:t>
      </w:r>
    </w:p>
    <w:p>
      <w:pPr>
        <w:spacing w:after="0" w:line="185" w:lineRule="exact"/>
        <w:rPr>
          <w:sz w:val="20"/>
          <w:szCs w:val="20"/>
          <w:color w:val="auto"/>
        </w:rPr>
      </w:pPr>
    </w:p>
    <w:p>
      <w:pPr>
        <w:ind w:right="280" w:firstLine="644"/>
        <w:spacing w:after="0" w:line="266" w:lineRule="auto"/>
        <w:rPr>
          <w:sz w:val="20"/>
          <w:szCs w:val="20"/>
          <w:color w:val="auto"/>
        </w:rPr>
      </w:pPr>
      <w:r>
        <w:rPr>
          <w:rFonts w:ascii="Times New Roman" w:cs="Times New Roman" w:eastAsia="Times New Roman" w:hAnsi="Times New Roman"/>
          <w:sz w:val="18"/>
          <w:szCs w:val="18"/>
          <w:color w:val="auto"/>
        </w:rPr>
        <w:t>We expect the clinical development of our drug candidates, including rezpegaldesleukin, NKTR-255 and NKTR-0165, will continue to require significant investment to continue to advance in clinical development with the objective of obtaining regulatory approval or entering into one or more collaboration partnerships. In the past, we have received a number</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of significant payments from collaboration agreements and other significant transactions, including $1.9 billion in total consideration received under our arrangement with BMS, development cost reimbursements from BMS, and a $150.0 million upfront payment from Lilly for our collaboration agreement for rezpegaldesleukin. Additionally, certain of our collaboration partners, have borne substantial costs of developing our drug candidates. We expect we will continue our approach of entering into revenue-generating collaboration agreements to pay in whole or in part the development costs of our drug candidates.</w:t>
      </w:r>
    </w:p>
    <w:p>
      <w:pPr>
        <w:spacing w:after="0" w:line="156"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Our current business is subject to significant uncertainties and risks as a result of, among other factors, clinical and regulatory outcomes for rezpegaldesleukin, NKTR-255 and NKTR-0165; the sales levels for those products, if and when they are approved; whether, when and on what terms we are able to enter into new collaboration transactions; expenses being higher than anticipated, unplanned expenses and the need to satisfy contingent liabilities, including litigation matters and indemnification obligations; and cash receipts, including sublease income, being lower than anticipated.</w:t>
      </w:r>
    </w:p>
    <w:p>
      <w:pPr>
        <w:spacing w:after="0" w:line="139"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We have no credit facility or any other sources of committed capital. The availability and terms of various financing alternatives, if required in the future, substantially depend on many factors including the success or failure of drug development programs in our pipeline. The availability and terms of financing alternatives and any future significant payments from existing or new collaborations depend on the positive outcome of ongoing or planned clinical studies, whether we or our partners are successful in obtaining regulatory authority approvals in major markets, and if approved, the commercial success of these drugs, as well as general capital market conditions. We may pursue various financing alternatives to fund the expansion of our business as appropriate.</w:t>
      </w:r>
    </w:p>
    <w:p>
      <w:pPr>
        <w:spacing w:after="0" w:line="147"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As a result of our 2022 and 2023 Restructuring Plans, we are seeking to sublease all of our laboratory and office space in the Mission Bay Facility and our office space in Third St. Facility, and we have current subleases for a portion of the Mission Bay Facility. The San Francisco Bay Area office lease market has been negatively impacted by economic uncertainties, particularly impacting the technology industry, and the change in work habits as employees continue to work remotely. Accordingly, for the Third St. Facility, there is significant uncertainty as to whether or when we will be able to enter into a sublease as well as the economic terms of such subleases, if any. Meanwhile, the San Francisco Bay Area life sciences lease market has weakened during 2023 and 2024, including a significant increase in available leasable space in the San Francisco Bay Area. Accordingly, there is increased uncertainty as to whether or when we will be able to enter into a sublease as well as the economic terms of such subleases, if any.</w:t>
      </w:r>
    </w:p>
    <w:p>
      <w:pPr>
        <w:spacing w:after="0" w:line="162"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Due to the potential for adverse developments in the credit markets, we may experience reduced liquidity with respect to some of our investments in marketable securities. These investments are generally held to maturity, which, in accordance with our investment policy, is less than two years. However, if the need arises to liquidate such securities before maturity, we may experience losses on liquidation. To date we have not experienced any liquidity issues with respect to these securities. We believe that, even allowing for potential liquidity issues with respect to these securities and the effect of various conditions on the financial markets, our remaining cash and investments in marketable securities will be sufficient to meet our anticipated cash needs for at least the next twelve months.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flows used in operating activities for the years ended December 31, 2024 and 2023 totaled $175.7 million and $192.6 million, respectively.</w:t>
      </w:r>
    </w:p>
    <w:p>
      <w:pPr>
        <w:spacing w:after="0" w:line="198" w:lineRule="exact"/>
        <w:rPr>
          <w:sz w:val="20"/>
          <w:szCs w:val="20"/>
          <w:color w:val="auto"/>
        </w:rPr>
      </w:pPr>
    </w:p>
    <w:p>
      <w:pPr>
        <w:ind w:right="180" w:firstLine="644"/>
        <w:spacing w:after="0" w:line="282" w:lineRule="auto"/>
        <w:rPr>
          <w:sz w:val="20"/>
          <w:szCs w:val="20"/>
          <w:color w:val="auto"/>
        </w:rPr>
      </w:pPr>
      <w:r>
        <w:rPr>
          <w:rFonts w:ascii="Times New Roman" w:cs="Times New Roman" w:eastAsia="Times New Roman" w:hAnsi="Times New Roman"/>
          <w:sz w:val="18"/>
          <w:szCs w:val="18"/>
          <w:color w:val="auto"/>
        </w:rPr>
        <w:t>We expect that cash flows used in operating activities, excluding upfront, milestone and other contingent payments received, if any, will remain consistent for 2025 as compared to 2024.</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i w:val="1"/>
          <w:iCs w:val="1"/>
          <w:color w:val="auto"/>
        </w:rPr>
        <w:t>ng activities</w:t>
      </w:r>
    </w:p>
    <w:p>
      <w:pPr>
        <w:spacing w:after="0" w:line="189" w:lineRule="exact"/>
        <w:rPr>
          <w:sz w:val="20"/>
          <w:szCs w:val="20"/>
          <w:color w:val="auto"/>
        </w:rPr>
      </w:pPr>
    </w:p>
    <w:p>
      <w:pPr>
        <w:ind w:right="540" w:firstLine="64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maturities of our investments, net of purchases, totaled $78.7 million and $139.2 million, respectively, which we used to fund our operations.</w:t>
      </w:r>
    </w:p>
    <w:p>
      <w:pPr>
        <w:spacing w:after="0" w:line="135" w:lineRule="exact"/>
        <w:rPr>
          <w:sz w:val="20"/>
          <w:szCs w:val="20"/>
          <w:color w:val="auto"/>
        </w:rPr>
      </w:pPr>
    </w:p>
    <w:p>
      <w:pPr>
        <w:jc w:val="both"/>
        <w:ind w:right="300" w:firstLine="644"/>
        <w:spacing w:after="0" w:line="266" w:lineRule="auto"/>
        <w:rPr>
          <w:sz w:val="20"/>
          <w:szCs w:val="20"/>
          <w:color w:val="auto"/>
        </w:rPr>
      </w:pPr>
      <w:r>
        <w:rPr>
          <w:rFonts w:ascii="Times New Roman" w:cs="Times New Roman" w:eastAsia="Times New Roman" w:hAnsi="Times New Roman"/>
          <w:sz w:val="18"/>
          <w:szCs w:val="18"/>
          <w:color w:val="auto"/>
        </w:rPr>
        <w:t>As discussed above, in December 2024, we completed the sale of the Facility which included the assignment of our manufacturing and supply agreements to Gannet BioChem, an affiliate of Ampersand Capital Partners, for consideration of $64.7 million in cash, net of transaction costs, and an approximate 20% equity interest at the time of close in Gannet BioChem.</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other investing activities were not significant for the periods presented.</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02"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Other than the three financing activities described above during the three months ended March 31, 2024, our cash flows from financing activities for the years December 31, 2024 and 2023 were not significant.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60" w:firstLine="644"/>
        <w:spacing w:after="0" w:line="266" w:lineRule="auto"/>
        <w:rPr>
          <w:sz w:val="20"/>
          <w:szCs w:val="20"/>
          <w:color w:val="auto"/>
        </w:rPr>
      </w:pPr>
      <w:r>
        <w:rPr>
          <w:rFonts w:ascii="Times New Roman" w:cs="Times New Roman" w:eastAsia="Times New Roman" w:hAnsi="Times New Roman"/>
          <w:sz w:val="18"/>
          <w:szCs w:val="18"/>
          <w:color w:val="auto"/>
        </w:rPr>
        <w:t>The preparation and presentation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4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We base our estimates on historical experience and on various other assumptions that we believe to be reasonable under the circumstances, the results of which form our basis for making judgments about the carrying value of assets and liabilities that are not readily apparent from other sources. We evaluate our estimates on an ongoing basis. Actual results may differ from those estimates under different assumptions or conditions. We have determined that, for the periods in this report, the following accounting policies and estimates are critical in understanding our financial condition and the results of our operations.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business circumstances indicate that the carrying amounts of the assets may not be fully recoverable. In the case of property, plant and equipment and right-of-use assets for our leases, we determine whether there has been an impairment by comparing the carrying value of the asset to the anticipated undiscounted net cash flows associated with the asset. If such cash flows are less than the carrying value, we write down the asset to its fair value, which may be measured as anticipated discounted net cash flows associated with the asset.</w:t>
      </w:r>
    </w:p>
    <w:p>
      <w:pPr>
        <w:spacing w:after="0" w:line="156"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As discussed in Note 10, in connection with our 2022 and 2023 Restructuring Plans, we have decided to sublease all of our leased spaces on the Third St. and the Mission Bay Blvd. South, and we have sublet 29,000 square feet of space. Accordingly, we evaluated each space for impairment when management decided to sublease the respective space and at each reporting date thereafter, as facts and circumstances change. The significant assumptions in our impairment analysis relate to sublease income, including the length of time to enter into a sublease, sublease rental payments, free rent periods, tenant improvement allowances and broker commissions. When available, we use sublease negotiations or agreements, but in the absence of such information, we develop our own subjective estimates based on current real estate trends and market conditions. Accordingly, our estimates are subject to significant risk, and the terms of sublease agreements, if any, and the resulting amount and timing of sublease income, if ever realized, may be materially different than our estimates.</w:t>
      </w:r>
    </w:p>
    <w:p>
      <w:pPr>
        <w:spacing w:after="0" w:line="151"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As part of our evaluation of each sublease space, we separately compare the estimated undiscounted sublease income, as described above, for each sublease to the net book value of the related long-term assets, which include right-of-use assets and certain property, plant and equipment, primarily for leasehold improvements (collectively, sublease assets). If such sublease income exceeds the net book value of the sublease assets, we do not record an impairment charge. Otherwise, we record an impairment charge by reducing the net book value of the sublease assets to their estimated fair value, which we determined by discounting the estimated sublease income using the estimated borrowing rate of a market participant subtenant. Determination of these key assumptions is complex and highly judgmental.</w:t>
      </w:r>
    </w:p>
    <w:p>
      <w:pPr>
        <w:spacing w:after="0" w:line="147"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For certain impairment charges, we used the terms of active sublease negotiations or agreements to estimate sublease income. However, for the most significant impairment charges we recorded, we developed our estimates of the time to enter into a sublease and sublease payments, including estimated free rent periods, based on current real estate trends and market conditions. Accordingly, if our estimates for the time to enter the sublease and estimated free rent periods were longer (shorter), the impairment charge would be greater (smaller), and if our estimates for the rental rates were lower (higher), the impairment charge would be greater (smaller). Given the current office and life sciences lease market rental conditions in San Francisco and the larger Bay Area, our estimates are subject to significant uncertainty. The ultimate amount of sublease income may be significantly lower or higher than the amounts used to record our impairment charges, and we may record additional impairment charges in future periods as our estimates change or when we enter into sublease negotiations or execute a sublease agreement.</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89"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 xml:space="preserve">When we enter into collaboration agreements with pharmaceutical and biotechnology partners, we assess whether the arrangements fall within the scope of Accounting Standards Codification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based on whether the arrangements involve joint operating activities and whether both parties have active participation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in the arrangement and are exposed to significant risks and rewards. To the extent that the arrangement falls within the scope of ASC 808, we assess whether the payments between us and our collaboration partner fall within the scope of other accounting literature. If we conclude that payments from the collaboration partner to us represent consideration from a customer, such as license fees and contract research and development activities, we account for those payments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However, if we conclude that our collaboration partner is not a customer for certain activities and associated payments, such as for certain collaborative research, development, manufacturing and commercial activities, we record such payments as a reduction of research and development expense or general and administrative expense, based on where we record the underlying expense.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recognize license, collaboration and other research revenue, including the upfront fees and milestone payments based on the facts and circumstances of each contractual agreement. At the inception of each agreement, we determine which promises represent distinct performance obligations, for which management must use significant judgment. Additionally, at inception and at each reporting date thereafter, we must determine and update, as appropriate, the transaction price, which includes variable consideration such as development and commercial launch milestones. We must use judgment to determine when to include the variable consideration for these milestones in the transaction price such that inclusion of such variable consideration will not result in a significant reversal of revenue recognized when the contingency surrounding the variable consideration is resolved. Due to the significant uncertainties involved with clinical development and regulatory approval, we generally do not believe that we would update the transaction price before events that are outside of our control occur, such as the release of clinical trial results, regulatory acceptance of a BLA or similar filing or regulatory approval. However, if these results are positive, we may conclude that certain milestones meet the recognition requirements for inclusion in the transaction price and therefore we would recognize them as revenue before the milestone event occurs and the payment becomes due to us, provided that the achievement of the milestone is within our control.</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Clinical Trial Expenses</w:t>
      </w:r>
    </w:p>
    <w:p>
      <w:pPr>
        <w:spacing w:after="0" w:line="20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record an accrued expense for the estimated unbilled costs of our clinical study activities performed by third parties, and there may be significant delays between these expenses being incurred and the timing of vendor submission of invoices to us. The financial terms of these agreements are subject to negotiation, vary from contract to contract and may result in uneven payment flows to our vendors. Payments under the contracts depend on factors such as the achievement of certain events, successful enrollment of patients and completion of certain clinical trial activities. We generally recognize costs associated with the start-up and reporting phases of the clinical trials as incurred. We generally accrue costs associated with the treatment phase of clinical trials based on the estimated activities performed by our third-party vendors, including our contract research organizations. In specific circumstances, such as for certain time-based costs, we recognize clinical trial expenses ratably over the service period, as we believe that this methodology may be more reflective of the timing of costs incurred.</w:t>
      </w:r>
    </w:p>
    <w:p>
      <w:pPr>
        <w:spacing w:after="0" w:line="151"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We base our estimates on the best information available at the time. However, additional information may become available to us which may allow us to make a more accurate estimate in future periods. In this event, we may be required to record adjustments to research and development expenses in future periods when the actual level of activity becomes more certain. Such increases or decreases in cost are generally considered to be changes in estimates and will be reflected in research and development expenses in the period identified.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2" w:lineRule="exact"/>
        <w:rPr>
          <w:sz w:val="20"/>
          <w:szCs w:val="20"/>
          <w:color w:val="auto"/>
        </w:rPr>
      </w:pPr>
    </w:p>
    <w:p>
      <w:pPr>
        <w:ind w:right="2520" w:firstLine="644"/>
        <w:spacing w:after="0" w:line="546" w:lineRule="auto"/>
        <w:rPr>
          <w:sz w:val="20"/>
          <w:szCs w:val="20"/>
          <w:color w:val="auto"/>
        </w:rPr>
      </w:pPr>
      <w:r>
        <w:rPr>
          <w:rFonts w:ascii="Times New Roman" w:cs="Times New Roman" w:eastAsia="Times New Roman" w:hAnsi="Times New Roman"/>
          <w:sz w:val="18"/>
          <w:szCs w:val="18"/>
          <w:color w:val="auto"/>
        </w:rPr>
        <w:t xml:space="preserve">For information about recent accounting pronouncements, see Note 1 to our Consolidated Financial Statements. </w:t>
      </w:r>
      <w:r>
        <w:rPr>
          <w:rFonts w:ascii="Times New Roman" w:cs="Times New Roman" w:eastAsia="Times New Roman" w:hAnsi="Times New Roman"/>
          <w:sz w:val="18"/>
          <w:szCs w:val="18"/>
          <w:b w:val="1"/>
          <w:bCs w:val="1"/>
          <w:color w:val="auto"/>
        </w:rPr>
        <w:t>Item 7A. Quantitative and Qualitative Disclosures About Market Risk Inflation Risk</w:t>
      </w:r>
    </w:p>
    <w:p>
      <w:pPr>
        <w:spacing w:after="0" w:line="246" w:lineRule="exact"/>
        <w:rPr>
          <w:sz w:val="20"/>
          <w:szCs w:val="20"/>
          <w:color w:val="auto"/>
        </w:rPr>
      </w:pPr>
    </w:p>
    <w:p>
      <w:pPr>
        <w:ind w:right="600" w:firstLine="644"/>
        <w:spacing w:after="0" w:line="282" w:lineRule="auto"/>
        <w:rPr>
          <w:sz w:val="20"/>
          <w:szCs w:val="20"/>
          <w:color w:val="auto"/>
        </w:rPr>
      </w:pPr>
      <w:r>
        <w:rPr>
          <w:rFonts w:ascii="Times New Roman" w:cs="Times New Roman" w:eastAsia="Times New Roman" w:hAnsi="Times New Roman"/>
          <w:sz w:val="18"/>
          <w:szCs w:val="18"/>
          <w:color w:val="auto"/>
        </w:rPr>
        <w:t>We are exposed to the risk of inflation, which has increased significantly during 2023 and continued to increase in 2024, and may result in increases to our 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and Market Risk</w:t>
      </w:r>
    </w:p>
    <w:p>
      <w:pPr>
        <w:spacing w:after="0" w:line="18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at the same time maximizing yields without significantly increasing risk. To achieve this objective, we invest in liquid, high quality debt securities. Our investments in debt securities are subject to interest rate risk. To minimize the exposure due to an adverse shift in interest rates, we invest in securities with maturities of two years or less and maintain a weighted average maturity of one year or less.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A hypothetical 50 basis point increase in interest rates would result in an approximate $0.5 million decrease, less than 1%, in the fair value of our available-for-sale securities at December 31, 2024. This potential change is based on sensitivity analyses performed on our investment securities at December 31, 2024. Actual results may differ materially. The same hypothetical 50 basis point increase in interest rates would have resulted in an approximate $0.6 million decrease, less than 1%, in the fair value of our available-for-sale securities at December 31, 2023.</w:t>
      </w:r>
    </w:p>
    <w:p>
      <w:pPr>
        <w:spacing w:after="0" w:line="153"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As of December 31, 2024, we held $229.3 million of available-for-sale investments, excluding money market funds, with an average time to maturity of five months. To date we have not experienced any liquidity issues with respect to these securities, but should such issues arise, we may be required to hold some, or all, of these securities until maturity. We believe that, even allowing for potential liquidity issues with respect to these securities, our remaining cash, cash equivalents, and investments in marketable securities will be sufficient to meet our anticipated cash needs for at least the next twelve months. Based on our available cash, the timing of the maturities of our investments and our expected operating cash requirements, we currently do not intend to sell these securities prior to maturity and it is more likely than not that we will not be required to sell these securities before we recover the amortized cost basis.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89"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As a result of the sale of our research and development facility in India, we have cash and investment balances in India that we intend to repatriate as part of our closure of this entity. We are subject to foreign currency exchange risk until we repatriate these funds.</w:t>
      </w:r>
    </w:p>
    <w:p>
      <w:pPr>
        <w:spacing w:after="0" w:line="135" w:lineRule="exact"/>
        <w:rPr>
          <w:sz w:val="20"/>
          <w:szCs w:val="20"/>
          <w:color w:val="auto"/>
        </w:rPr>
      </w:pPr>
    </w:p>
    <w:p>
      <w:pPr>
        <w:jc w:val="both"/>
        <w:ind w:right="180" w:firstLine="644"/>
        <w:spacing w:after="0" w:line="266" w:lineRule="auto"/>
        <w:rPr>
          <w:sz w:val="20"/>
          <w:szCs w:val="20"/>
          <w:color w:val="auto"/>
        </w:rPr>
      </w:pPr>
      <w:r>
        <w:rPr>
          <w:rFonts w:ascii="Times New Roman" w:cs="Times New Roman" w:eastAsia="Times New Roman" w:hAnsi="Times New Roman"/>
          <w:sz w:val="18"/>
          <w:szCs w:val="18"/>
          <w:color w:val="auto"/>
        </w:rPr>
        <w:t>The majority of our revenue, expense, and capital purchasing activities are transacted in U.S. dollars. However, we have contracts with contract manufacturing organizations in Europe and incur costs from sites in a variety of international locations which are paid in their respective local currencies. Accordingly, we are subject to foreign currency exchange risk for these transactions.</w:t>
      </w:r>
    </w:p>
    <w:p>
      <w:pPr>
        <w:spacing w:after="0" w:line="135"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international operations are subject to risks typical of international operations, including, but not limited to, differing economic conditions, changes in political climate, differing tax structures, other regulations and restrictions, and foreign exchange rate volatility. We do not utilize derivative financial instruments to manage our exchange rate risks. We do not believe that inflation has had a material adverse impact on our revenues or operations in any of the past two years.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7"/>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rPr>
              <w:t>NEKTAR THERAPEUTICS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180" w:type="dxa"/>
            <w:vAlign w:val="bottom"/>
            <w:gridSpan w:val="9"/>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820" w:type="dxa"/>
            <w:vAlign w:val="bottom"/>
            <w:gridSpan w:val="6"/>
            <w:vMerge w:val="restart"/>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5500" w:type="dxa"/>
            <w:vAlign w:val="bottom"/>
            <w:tcBorders>
              <w:bottom w:val="single" w:sz="8" w:color="0000FF"/>
            </w:tcBorders>
            <w:gridSpan w:val="4"/>
            <w:vMerge w:val="continue"/>
          </w:tcPr>
          <w:p>
            <w:pPr>
              <w:spacing w:after="0"/>
              <w:rPr>
                <w:sz w:val="14"/>
                <w:szCs w:val="14"/>
                <w:color w:val="auto"/>
              </w:rPr>
            </w:pPr>
          </w:p>
        </w:tc>
        <w:tc>
          <w:tcPr>
            <w:tcW w:w="4820" w:type="dxa"/>
            <w:vAlign w:val="bottom"/>
            <w:gridSpan w:val="6"/>
            <w:vMerge w:val="continue"/>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44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at December 31, 2024 and 2023</w:t>
            </w:r>
          </w:p>
        </w:tc>
        <w:tc>
          <w:tcPr>
            <w:tcW w:w="20" w:type="dxa"/>
            <w:vAlign w:val="bottom"/>
            <w:tcBorders>
              <w:bottom w:val="single" w:sz="8" w:color="0000EE"/>
            </w:tcBorders>
          </w:tcPr>
          <w:p>
            <w:pPr>
              <w:spacing w:after="0"/>
              <w:rPr>
                <w:sz w:val="17"/>
                <w:szCs w:val="17"/>
                <w:color w:val="auto"/>
              </w:rPr>
            </w:pPr>
          </w:p>
        </w:tc>
        <w:tc>
          <w:tcPr>
            <w:tcW w:w="586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754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each of the two years in the period ended December 31, 2024</w:t>
            </w:r>
          </w:p>
        </w:tc>
        <w:tc>
          <w:tcPr>
            <w:tcW w:w="20" w:type="dxa"/>
            <w:vAlign w:val="bottom"/>
            <w:tcBorders>
              <w:bottom w:val="single" w:sz="8" w:color="0000EE"/>
            </w:tcBorders>
          </w:tcPr>
          <w:p>
            <w:pPr>
              <w:spacing w:after="0"/>
              <w:rPr>
                <w:sz w:val="17"/>
                <w:szCs w:val="17"/>
                <w:color w:val="auto"/>
              </w:rPr>
            </w:pPr>
          </w:p>
        </w:tc>
        <w:tc>
          <w:tcPr>
            <w:tcW w:w="276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82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Loss for each of the two years in the period ended December 31, 2024</w:t>
            </w:r>
          </w:p>
        </w:tc>
        <w:tc>
          <w:tcPr>
            <w:tcW w:w="20" w:type="dxa"/>
            <w:vAlign w:val="bottom"/>
            <w:tcBorders>
              <w:bottom w:val="single" w:sz="8" w:color="0000EE"/>
            </w:tcBorders>
          </w:tcPr>
          <w:p>
            <w:pPr>
              <w:spacing w:after="0"/>
              <w:rPr>
                <w:sz w:val="17"/>
                <w:szCs w:val="17"/>
                <w:color w:val="auto"/>
              </w:rPr>
            </w:pPr>
          </w:p>
        </w:tc>
        <w:tc>
          <w:tcPr>
            <w:tcW w:w="20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00EE"/>
            </w:tcBorders>
          </w:tcPr>
          <w:p>
            <w:pPr>
              <w:spacing w:after="0"/>
              <w:rPr>
                <w:sz w:val="17"/>
                <w:szCs w:val="17"/>
                <w:color w:val="auto"/>
              </w:rPr>
            </w:pPr>
          </w:p>
        </w:tc>
        <w:tc>
          <w:tcPr>
            <w:tcW w:w="82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each of the two years in the period ended December 31, 2024</w:t>
            </w:r>
          </w:p>
        </w:tc>
        <w:tc>
          <w:tcPr>
            <w:tcW w:w="20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each of the two years in the period ended December 31, 2024</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758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740" w:type="dxa"/>
            <w:vAlign w:val="bottom"/>
            <w:gridSpan w:val="3"/>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906"/>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4400" w:type="dxa"/>
            <w:vAlign w:val="bottom"/>
            <w:gridSpan w:val="4"/>
          </w:tcPr>
          <w:p>
            <w:pPr>
              <w:jc w:val="center"/>
              <w:ind w:left="437"/>
              <w:spacing w:after="0"/>
              <w:rPr>
                <w:sz w:val="20"/>
                <w:szCs w:val="20"/>
                <w:color w:val="auto"/>
              </w:rPr>
            </w:pPr>
            <w:r>
              <w:rPr>
                <w:rFonts w:ascii="Arial" w:cs="Arial" w:eastAsia="Arial" w:hAnsi="Arial"/>
                <w:sz w:val="15"/>
                <w:szCs w:val="15"/>
                <w:color w:val="auto"/>
                <w:w w:val="95"/>
              </w:rPr>
              <w:t>56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360" w:firstLine="3362"/>
        <w:spacing w:after="0" w:line="4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Nektar Therapeutics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Nektar Therapeutics (the Company) as of December 31, 2024 and 2023, the related consolidated statements of operations,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ectPr>
          <w:pgSz w:w="11900" w:h="16838" w:orient="portrait"/>
          <w:cols w:equalWidth="0" w:num="1">
            <w:col w:w="11220"/>
          </w:cols>
          <w:pgMar w:left="320" w:top="117" w:right="359" w:bottom="1440" w:gutter="0" w:footer="0" w:header="0"/>
        </w:sect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discussed in Note 10 to the consolidated financial statements, during 2023 the Company announced a strategic reprioritization and cost restructuring plan (the “2023 Restructuring Plan”). Pursuant to the 2023 Restructuring Plan, the Company reduced their San Francisco based workforce and decided to sublease their remaining office and laboratory space on Mission Bay Blvd. South that was not planned to be sublet previously. This resulted in the recognition of impairment charges at the time of the reorganization. Due to the deteriorating real estate market, the Company recognized additional impairment charges for this space as well as additional office and laboratory space that the Company previously sought to sublease during 2022. For the year ended December 31, 2024, the Company recorded aggregate impairment charges of $8.3 million related to the right-of-use asset and associated property, plant and equipment.</w:t>
      </w:r>
    </w:p>
    <w:p>
      <w:pPr>
        <w:spacing w:after="0" w:line="188" w:lineRule="exact"/>
        <w:rPr>
          <w:sz w:val="20"/>
          <w:szCs w:val="20"/>
          <w:color w:val="auto"/>
        </w:rPr>
      </w:pPr>
    </w:p>
    <w:p>
      <w:pPr>
        <w:sectPr>
          <w:pgSz w:w="11900" w:h="16838" w:orient="portrait"/>
          <w:cols w:equalWidth="0" w:num="2">
            <w:col w:w="2000" w:space="720"/>
            <w:col w:w="8500"/>
          </w:cols>
          <w:pgMar w:left="320" w:top="117" w:right="359" w:bottom="1440" w:gutter="0" w:footer="0" w:header="0"/>
          <w:type w:val="continuous"/>
        </w:sectPr>
      </w:pPr>
    </w:p>
    <w:p>
      <w:pPr>
        <w:ind w:left="2720"/>
        <w:spacing w:after="0" w:line="256" w:lineRule="auto"/>
        <w:rPr>
          <w:sz w:val="20"/>
          <w:szCs w:val="20"/>
          <w:color w:val="auto"/>
        </w:rPr>
      </w:pPr>
      <w:r>
        <w:rPr>
          <w:rFonts w:ascii="Times New Roman" w:cs="Times New Roman" w:eastAsia="Times New Roman" w:hAnsi="Times New Roman"/>
          <w:sz w:val="18"/>
          <w:szCs w:val="18"/>
          <w:color w:val="auto"/>
        </w:rPr>
        <w:t>We identified the impairment of the Company’s right-of-use assets as a critical audit matter. Auditing the Company’s right-of-use asset impairment model was complex due to the subjectivity of certain unobservable assumptions utilized to estimate the fair value of the right-of-use asset. In particular, determining the estimated length of time necessary to obtain a sublease tenant and estimating market rental rates of a market subtenant utilized in the computation of the fair value of the right-of-use-asset involve complexity due to the difficulty in estimating prospective market rental rates and forecasting future real estate trends.</w:t>
      </w:r>
    </w:p>
    <w:p>
      <w:pPr>
        <w:sectPr>
          <w:pgSz w:w="11900" w:h="16838" w:orient="portrait"/>
          <w:cols w:equalWidth="0" w:num="1">
            <w:col w:w="11220"/>
          </w:cols>
          <w:pgMar w:left="320" w:top="117" w:right="359" w:bottom="1440" w:gutter="0" w:footer="0" w:header="0"/>
          <w:type w:val="continuous"/>
        </w:sectPr>
      </w:pPr>
    </w:p>
    <w:p>
      <w:pPr>
        <w:spacing w:after="0" w:line="185"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audit procedures related to management’s computation of the estimated fair value of the right-of-use asset included, among others, evaluating the appropriateness of the methodology utilized by management to estimate the fair value of the right-of-use asset. We evaluated the accuracy and consistency of the application of the Company’s model to estimate the fair value of the right-of-use asset including the estimated length of time necessary to obtain a sublease tenant and the estimated market rental rates. We involved a specialist to assist in evaluating the appropriateness of the estimated rental market rates and estimated length of time to enter into a sublease utilized by the Company in their impairment assessment.</w:t>
      </w:r>
    </w:p>
    <w:p>
      <w:pPr>
        <w:spacing w:after="0" w:line="200" w:lineRule="exact"/>
        <w:rPr>
          <w:sz w:val="20"/>
          <w:szCs w:val="20"/>
          <w:color w:val="auto"/>
        </w:rPr>
      </w:pPr>
    </w:p>
    <w:p>
      <w:pPr>
        <w:sectPr>
          <w:pgSz w:w="11900" w:h="16838" w:orient="portrait"/>
          <w:cols w:equalWidth="0" w:num="2">
            <w:col w:w="2420" w:space="300"/>
            <w:col w:w="8500"/>
          </w:cols>
          <w:pgMar w:left="320" w:top="117" w:right="359"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information)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210,974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261,292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330,701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 in Gannet BioChem</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303,850</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398,033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(including $3,403 and $0, respectively, to a related party)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22,162</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82,696</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98,517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related to the sales of future royalties,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243,113</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267,046</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20" w:type="dxa"/>
            <w:vAlign w:val="bottom"/>
            <w:shd w:val="clear" w:color="auto" w:fill="CFF0FC"/>
          </w:tcPr>
          <w:p>
            <w:pPr>
              <w:ind w:left="3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no shares designated or outstanding</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at December 31, 2024 or 2023, respectively</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 shares authorized; 194,062 shares and 191,384 shares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at December 31, 2024 and 2023, respectively; 185,777 shares and 191,384 shares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at December 31, 2024 and 2023,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3,659,867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3,608,137</w:t>
            </w: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Treasury stock, at cost; 8,285 shares as of December 31, 2024 and none as of December 31, 2023,</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(3,000 )</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(3,596,210 )</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(3,477,249 )</w:t>
            </w:r>
          </w:p>
        </w:tc>
      </w:tr>
      <w:tr>
        <w:trPr>
          <w:trHeight w:val="21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60,737</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303,850</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398,033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-4362450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-3531235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-2673985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-2116455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0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778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33,563</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64,267</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68,921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collaboration and other revenue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8"/>
                <w:szCs w:val="18"/>
                <w:color w:val="auto"/>
              </w:rPr>
            </w:pPr>
          </w:p>
        </w:tc>
      </w:tr>
      <w:tr>
        <w:trPr>
          <w:trHeight w:val="209"/>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(including $277 and $0 from a related party)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114,162</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76,751</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77,417</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and impairment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51,958</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the Huntsville manufacturing facility</w:t>
            </w: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(40,390 )</w:t>
            </w:r>
          </w:p>
        </w:tc>
        <w:tc>
          <w:tcPr>
            <w:tcW w:w="3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203,625</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(105,198 )</w:t>
            </w: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(263,684 )</w:t>
            </w: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on liabilities related to the sales of future royalties</w:t>
            </w: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(28,112 )</w:t>
            </w: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(25,334 )</w:t>
            </w: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(390 )</w:t>
            </w: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(6,247 )</w:t>
            </w:r>
          </w:p>
        </w:tc>
      </w:tr>
      <w:tr>
        <w:trPr>
          <w:trHeight w:val="20"/>
        </w:trPr>
        <w:tc>
          <w:tcPr>
            <w:tcW w:w="7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(14,002 )</w:t>
            </w: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(12,572 )</w:t>
            </w:r>
          </w:p>
        </w:tc>
      </w:tr>
      <w:tr>
        <w:trPr>
          <w:trHeight w:val="20"/>
        </w:trPr>
        <w:tc>
          <w:tcPr>
            <w:tcW w:w="77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(119,200 )</w:t>
            </w: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(276,256 )</w:t>
            </w: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(239 )</w:t>
            </w: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(200 )</w:t>
            </w:r>
          </w:p>
        </w:tc>
      </w:tr>
      <w:tr>
        <w:trPr>
          <w:trHeight w:val="20"/>
        </w:trPr>
        <w:tc>
          <w:tcPr>
            <w:tcW w:w="77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(118,961 )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(276,056 )</w:t>
            </w:r>
          </w:p>
        </w:tc>
      </w:tr>
      <w:tr>
        <w:trPr>
          <w:trHeight w:val="20"/>
        </w:trPr>
        <w:tc>
          <w:tcPr>
            <w:tcW w:w="7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(0.58 )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(1.45 )</w:t>
            </w:r>
          </w:p>
        </w:tc>
      </w:tr>
      <w:tr>
        <w:trPr>
          <w:trHeight w:val="197"/>
        </w:trPr>
        <w:tc>
          <w:tcPr>
            <w:tcW w:w="778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used in computing basic and diluted net loss per share</w:t>
            </w: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205,661</w:t>
            </w:r>
          </w:p>
        </w:tc>
        <w:tc>
          <w:tcPr>
            <w:tcW w:w="3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190,001</w:t>
            </w:r>
          </w:p>
        </w:tc>
        <w:tc>
          <w:tcPr>
            <w:tcW w:w="100" w:type="dxa"/>
            <w:vAlign w:val="bottom"/>
            <w:tcBorders>
              <w:top w:val="single" w:sz="8" w:color="CFF0FC"/>
            </w:tcBorders>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-2879725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-1765300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-916305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-633730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0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(118,961 )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(276,056 )</w:t>
            </w: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available-for-sale investments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(15 )</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3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(4 )</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(19 )</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00" w:type="dxa"/>
            <w:vAlign w:val="bottom"/>
            <w:shd w:val="clear" w:color="auto" w:fill="CFF0FC"/>
          </w:tcPr>
          <w:p>
            <w:pPr>
              <w:spacing w:after="0"/>
              <w:rPr>
                <w:sz w:val="18"/>
                <w:szCs w:val="18"/>
                <w:color w:val="auto"/>
              </w:rPr>
            </w:pPr>
          </w:p>
        </w:tc>
      </w:tr>
      <w:tr>
        <w:trPr>
          <w:trHeight w:val="20"/>
        </w:trPr>
        <w:tc>
          <w:tcPr>
            <w:tcW w:w="77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(118,980 )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(269,069 )</w:t>
            </w:r>
          </w:p>
        </w:tc>
      </w:tr>
      <w:tr>
        <w:trPr>
          <w:trHeight w:val="20"/>
        </w:trPr>
        <w:tc>
          <w:tcPr>
            <w:tcW w:w="7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117" w:lineRule="exact"/>
        <w:rPr>
          <w:sz w:val="20"/>
          <w:szCs w:val="20"/>
          <w:color w:val="auto"/>
        </w:rPr>
      </w:pPr>
    </w:p>
    <w:p>
      <w:pPr>
        <w:ind w:left="260" w:right="140"/>
        <w:spacing w:after="0" w:line="261" w:lineRule="auto"/>
        <w:rPr>
          <w:sz w:val="20"/>
          <w:szCs w:val="20"/>
          <w:color w:val="auto"/>
        </w:rPr>
      </w:pPr>
      <w:r>
        <w:rPr>
          <w:rFonts w:ascii="Times New Roman" w:cs="Times New Roman" w:eastAsia="Times New Roman" w:hAnsi="Times New Roman"/>
          <w:sz w:val="18"/>
          <w:szCs w:val="18"/>
          <w:color w:val="auto"/>
        </w:rPr>
        <w:t>Shares issued under equity compensation plans</w:t>
      </w:r>
    </w:p>
    <w:p>
      <w:pPr>
        <w:ind w:left="260" w:right="960"/>
        <w:spacing w:after="0" w:line="260" w:lineRule="auto"/>
        <w:rPr>
          <w:sz w:val="20"/>
          <w:szCs w:val="20"/>
          <w:color w:val="auto"/>
        </w:rPr>
      </w:pPr>
      <w:r>
        <w:rPr>
          <w:rFonts w:ascii="Times New Roman" w:cs="Times New Roman" w:eastAsia="Times New Roman" w:hAnsi="Times New Roman"/>
          <w:sz w:val="18"/>
          <w:szCs w:val="18"/>
          <w:color w:val="auto"/>
        </w:rPr>
        <w:t>Stock-based compensation Comprehensive income (loss)</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Shares issued under equity compensation</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plans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color w:val="auto"/>
        </w:rPr>
        <w:t>Repurchase of common stock from Bristol-Myers Squibb</w:t>
      </w:r>
    </w:p>
    <w:p>
      <w:pPr>
        <w:spacing w:after="0" w:line="1" w:lineRule="exact"/>
        <w:rPr>
          <w:sz w:val="20"/>
          <w:szCs w:val="20"/>
          <w:color w:val="auto"/>
        </w:rPr>
      </w:pPr>
    </w:p>
    <w:p>
      <w:pPr>
        <w:jc w:val="both"/>
        <w:ind w:left="260" w:right="940"/>
        <w:spacing w:after="0" w:line="290" w:lineRule="auto"/>
        <w:rPr>
          <w:sz w:val="20"/>
          <w:szCs w:val="20"/>
          <w:color w:val="auto"/>
        </w:rPr>
      </w:pPr>
      <w:r>
        <w:rPr>
          <w:rFonts w:ascii="Times New Roman" w:cs="Times New Roman" w:eastAsia="Times New Roman" w:hAnsi="Times New Roman"/>
          <w:sz w:val="17"/>
          <w:szCs w:val="17"/>
          <w:color w:val="auto"/>
        </w:rPr>
        <w:t>Issuance of prefunded warrant Comprehensive income (loss)</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10115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ind w:left="1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Amount</w:t>
      </w:r>
    </w:p>
    <w:tbl>
      <w:tblPr>
        <w:tblLayout w:type="fixed"/>
        <w:tblInd w:w="0" w:type="dxa"/>
        <w:tblCellMar>
          <w:top w:w="0" w:type="dxa"/>
          <w:left w:w="0" w:type="dxa"/>
          <w:bottom w:w="0" w:type="dxa"/>
          <w:right w:w="0" w:type="dxa"/>
        </w:tblCellMar>
      </w:tblPr>
      <w:tr>
        <w:trPr>
          <w:trHeight w:val="191"/>
        </w:trPr>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188,56</w:t>
            </w:r>
          </w:p>
        </w:tc>
        <w:tc>
          <w:tcPr>
            <w:tcW w:w="220" w:type="dxa"/>
            <w:vAlign w:val="bottom"/>
          </w:tcPr>
          <w:p>
            <w:pPr>
              <w:spacing w:after="0"/>
              <w:rPr>
                <w:sz w:val="16"/>
                <w:szCs w:val="16"/>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26"/>
        </w:trPr>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191,38</w:t>
            </w: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26"/>
        </w:trPr>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(8,285 )</w:t>
            </w: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185,77</w:t>
            </w:r>
          </w:p>
        </w:tc>
        <w:tc>
          <w:tcPr>
            <w:tcW w:w="220" w:type="dxa"/>
            <w:vAlign w:val="bottom"/>
          </w:tcPr>
          <w:p>
            <w:pPr>
              <w:spacing w:after="0"/>
              <w:rPr>
                <w:sz w:val="16"/>
                <w:szCs w:val="16"/>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26"/>
        </w:trPr>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2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76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2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0" w:type="dxa"/>
            <w:vAlign w:val="bottom"/>
          </w:tcPr>
          <w:p>
            <w:pPr>
              <w:spacing w:after="0"/>
              <w:rPr>
                <w:sz w:val="1"/>
                <w:szCs w:val="1"/>
                <w:color w:val="auto"/>
              </w:rPr>
            </w:pPr>
          </w:p>
        </w:tc>
      </w:tr>
      <w:tr>
        <w:trPr>
          <w:trHeight w:val="160"/>
        </w:trPr>
        <w:tc>
          <w:tcPr>
            <w:tcW w:w="176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ve</w:t>
            </w:r>
          </w:p>
        </w:tc>
        <w:tc>
          <w:tcPr>
            <w:tcW w:w="0" w:type="dxa"/>
            <w:vAlign w:val="bottom"/>
          </w:tcPr>
          <w:p>
            <w:pPr>
              <w:spacing w:after="0"/>
              <w:rPr>
                <w:sz w:val="1"/>
                <w:szCs w:val="1"/>
                <w:color w:val="auto"/>
              </w:rPr>
            </w:pPr>
          </w:p>
        </w:tc>
      </w:tr>
      <w:tr>
        <w:trPr>
          <w:trHeight w:val="142"/>
        </w:trPr>
        <w:tc>
          <w:tcPr>
            <w:tcW w:w="6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800" w:type="dxa"/>
            <w:vAlign w:val="bottom"/>
            <w:tcBorders>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22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3,574,71</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(6,907 )</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3,608,13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(3,000 )</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3,659,86</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-3291840</wp:posOffset>
            </wp:positionH>
            <wp:positionV relativeFrom="paragraph">
              <wp:posOffset>-2373630</wp:posOffset>
            </wp:positionV>
            <wp:extent cx="7054850"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54850" cy="27432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-1824990</wp:posOffset>
            </wp:positionV>
            <wp:extent cx="705485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-1542415</wp:posOffset>
            </wp:positionV>
            <wp:extent cx="7054850"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54850" cy="27432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-993775</wp:posOffset>
            </wp:positionV>
            <wp:extent cx="705485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-582295</wp:posOffset>
            </wp:positionV>
            <wp:extent cx="705485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54850" cy="137160"/>
                    </a:xfrm>
                    <a:prstGeom prst="rect">
                      <a:avLst/>
                    </a:prstGeom>
                    <a:noFill/>
                  </pic:spPr>
                </pic:pic>
              </a:graphicData>
            </a:graphic>
          </wp:anchor>
        </w:drawing>
        <w:drawing>
          <wp:anchor simplePos="0" relativeHeight="251657728" behindDoc="1" locked="0" layoutInCell="0" allowOverlap="1">
            <wp:simplePos x="0" y="0"/>
            <wp:positionH relativeFrom="column">
              <wp:posOffset>-3291840</wp:posOffset>
            </wp:positionH>
            <wp:positionV relativeFrom="paragraph">
              <wp:posOffset>-299720</wp:posOffset>
            </wp:positionV>
            <wp:extent cx="7054850" cy="3003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5485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48"/>
        </w:trPr>
        <w:tc>
          <w:tcPr>
            <w:tcW w:w="112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(3,201,19</w:t>
            </w: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line="359" w:lineRule="exact"/>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35"/>
                <w:szCs w:val="35"/>
                <w:color w:val="auto"/>
                <w:vertAlign w:val="superscript"/>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$ 366,638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4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(276,056 )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(269,069 )</w:t>
            </w:r>
          </w:p>
        </w:tc>
        <w:tc>
          <w:tcPr>
            <w:tcW w:w="0" w:type="dxa"/>
            <w:vAlign w:val="bottom"/>
          </w:tcPr>
          <w:p>
            <w:pPr>
              <w:spacing w:after="0"/>
              <w:rPr>
                <w:sz w:val="1"/>
                <w:szCs w:val="1"/>
                <w:color w:val="auto"/>
              </w:rPr>
            </w:pPr>
          </w:p>
        </w:tc>
      </w:tr>
      <w:tr>
        <w:trPr>
          <w:trHeight w:val="156"/>
        </w:trPr>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(3,477,24</w:t>
            </w: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140" w:type="dxa"/>
            <w:vAlign w:val="bottom"/>
          </w:tcPr>
          <w:p>
            <w:pPr>
              <w:spacing w:after="0"/>
              <w:rPr>
                <w:sz w:val="24"/>
                <w:szCs w:val="24"/>
                <w:color w:val="auto"/>
              </w:rPr>
            </w:pPr>
          </w:p>
        </w:tc>
        <w:tc>
          <w:tcPr>
            <w:tcW w:w="980" w:type="dxa"/>
            <w:vAlign w:val="bottom"/>
            <w:gridSpan w:val="2"/>
          </w:tcPr>
          <w:p>
            <w:pPr>
              <w:jc w:val="right"/>
              <w:ind w:right="140"/>
              <w:spacing w:after="0" w:line="379" w:lineRule="exact"/>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35"/>
                <w:szCs w:val="35"/>
                <w:color w:val="auto"/>
                <w:vertAlign w:val="superscript"/>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700"/>
        <w:spacing w:after="0"/>
        <w:rPr>
          <w:sz w:val="20"/>
          <w:szCs w:val="20"/>
          <w:color w:val="auto"/>
        </w:rPr>
      </w:pPr>
      <w:r>
        <w:rPr>
          <w:rFonts w:ascii="Times New Roman" w:cs="Times New Roman" w:eastAsia="Times New Roman" w:hAnsi="Times New Roman"/>
          <w:sz w:val="18"/>
          <w:szCs w:val="18"/>
          <w:color w:val="auto"/>
        </w:rPr>
        <w:t>—118</w:t>
      </w:r>
    </w:p>
    <w:p>
      <w:pPr>
        <w:spacing w:after="0" w:line="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—21,612</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(3,000 )</w:t>
      </w:r>
    </w:p>
    <w:p>
      <w:pPr>
        <w:spacing w:after="0" w:line="117" w:lineRule="exact"/>
        <w:rPr>
          <w:sz w:val="20"/>
          <w:szCs w:val="20"/>
          <w:color w:val="auto"/>
        </w:rPr>
      </w:pPr>
    </w:p>
    <w:p>
      <w:pPr>
        <w:ind w:left="240" w:firstLine="465"/>
        <w:spacing w:after="0" w:line="261" w:lineRule="auto"/>
        <w:rPr>
          <w:sz w:val="20"/>
          <w:szCs w:val="20"/>
          <w:color w:val="auto"/>
        </w:rPr>
      </w:pPr>
      <w:r>
        <w:rPr>
          <w:rFonts w:ascii="Times New Roman" w:cs="Times New Roman" w:eastAsia="Times New Roman" w:hAnsi="Times New Roman"/>
          <w:sz w:val="18"/>
          <w:szCs w:val="18"/>
          <w:color w:val="auto"/>
        </w:rPr>
        <w:t>— 30,000 (118,961 ) (118,980 )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2172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tabs>
          <w:tab w:leader="none" w:pos="1100" w:val="left"/>
          <w:tab w:leader="none" w:pos="1380" w:val="left"/>
        </w:tabs>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(3,596,21</w:t>
      </w:r>
      <w:r>
        <w:rPr>
          <w:rFonts w:ascii="Times New Roman" w:cs="Times New Roman" w:eastAsia="Times New Roman" w:hAnsi="Times New Roman"/>
          <w:sz w:val="33"/>
          <w:szCs w:val="33"/>
          <w:color w:val="auto"/>
          <w:vertAlign w:val="subscript"/>
        </w:rPr>
        <w:t>0</w:t>
      </w:r>
      <w:r>
        <w:rPr>
          <w:rFonts w:ascii="Times New Roman" w:cs="Times New Roman" w:eastAsia="Times New Roman" w:hAnsi="Times New Roman"/>
          <w:sz w:val="17"/>
          <w:szCs w:val="17"/>
          <w:color w:val="auto"/>
        </w:rPr>
        <w:t xml:space="preserve"> )</w:t>
      </w:r>
      <w:r>
        <w:rPr>
          <w:sz w:val="20"/>
          <w:szCs w:val="20"/>
          <w:color w:val="auto"/>
        </w:rPr>
        <w:tab/>
      </w:r>
      <w:r>
        <w:rPr>
          <w:rFonts w:ascii="Times New Roman" w:cs="Times New Roman" w:eastAsia="Times New Roman" w:hAnsi="Times New Roman"/>
          <w:sz w:val="18"/>
          <w:szCs w:val="18"/>
          <w:color w:val="auto"/>
        </w:rPr>
        <w:t>$</w:t>
        <w:tab/>
        <w:t>60,737</w:t>
      </w:r>
    </w:p>
    <w:p>
      <w:pPr>
        <w:spacing w:after="0" w:line="304" w:lineRule="exact"/>
        <w:rPr>
          <w:sz w:val="20"/>
          <w:szCs w:val="20"/>
          <w:color w:val="auto"/>
        </w:rPr>
      </w:pPr>
    </w:p>
    <w:p>
      <w:pPr>
        <w:sectPr>
          <w:pgSz w:w="11900" w:h="16838" w:orient="portrait"/>
          <w:cols w:equalWidth="0" w:num="4">
            <w:col w:w="3380" w:space="80"/>
            <w:col w:w="1580" w:space="220"/>
            <w:col w:w="3760" w:space="140"/>
            <w:col w:w="1980"/>
          </w:cols>
          <w:pgMar w:left="320" w:top="117"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(118,961 )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(276,056 )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(64,267 )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(68,921 )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 on liabilities related to sales of future royalties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the Huntsville manufacturing facility</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(40,390 )</w:t>
            </w: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loss on sale or disposal of property, plant and equipment, net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net realizable value of inventory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premiums (discounts), net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(9,245 )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(14,856 )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(3,045 )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 net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(12,905 )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(8,850 )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(4,187 )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(2,884 )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(17,264 )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(175,709 )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(192,606 )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(261,709 )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(511,699 )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340,361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650,883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the Huntsville manufacturing facility,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(1,468 )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(865 )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of property, plant and equipment</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142,570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shares issued under equity compensation plans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pre-funded warrant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future royalties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 from Bristol-Myers Squibb</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(3,000 )</w:t>
            </w: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and cash equivalents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(52,950 )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88,227</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44,252</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Fair value of equity method investment in Gannet BioChem received in exchange for sale of Huntsville</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facility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Transaction costs and net working capital adjustment for sale of Huntsville manufacturing facility</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in accounts payable and accrued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-3534410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-3534410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-2411095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-2411095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-1570990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-1570990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-996950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-979805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-996950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1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Summary of Significant Accounting Policies and Key Transactions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Nektar Therapeutics (Nektar, we) is a clinical stage, research-based drug discovery biopharmaceutical company headquartered in San Francisco, California and incorporated in Delaware,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Our pipeline of clinical-stage and preclinical-stage immunomodulatory agents targets the treatment of autoimmune diseases (e.g. rezpegaldesleukin and NKTR-0165, respectively) and cancer (e.g. NKTR-255). We are conducting Phase 2b trials in rezpegaldesleukin in patients with moderate-to-severe atopic dermatitis which we initiated in October 2023 and in patients with severe-to-very severe alopecia areata which we initiated in March 2024. We announced on February 24, 2025, that we had entered into a collaboration agreement with TrialNet to evaluate rezpegaldesleukin in patients with new onset stage 3 type 1 diabetes mellitus.</w:t>
      </w:r>
    </w:p>
    <w:p>
      <w:pPr>
        <w:spacing w:after="0" w:line="165" w:lineRule="exact"/>
        <w:rPr>
          <w:sz w:val="20"/>
          <w:szCs w:val="20"/>
          <w:color w:val="auto"/>
        </w:rPr>
      </w:pPr>
    </w:p>
    <w:p>
      <w:pPr>
        <w:ind w:right="180" w:firstLine="644"/>
        <w:spacing w:after="0" w:line="261" w:lineRule="auto"/>
        <w:rPr>
          <w:sz w:val="20"/>
          <w:szCs w:val="20"/>
          <w:color w:val="auto"/>
        </w:rPr>
      </w:pPr>
      <w:r>
        <w:rPr>
          <w:rFonts w:ascii="Times New Roman" w:cs="Times New Roman" w:eastAsia="Times New Roman" w:hAnsi="Times New Roman"/>
          <w:sz w:val="18"/>
          <w:szCs w:val="18"/>
          <w:color w:val="auto"/>
        </w:rPr>
        <w:t>Our research and development activities have required significant ongoing investment to date and are expected to continue to require significant investment. As a result, we expect to continue to incur substantial losses and negative cash flows from operations in the future. We have financed our operations primarily through cash generated from licensing, collaboration and manufacturing agreements and financing transactions. At December 31, 2024, we had approximately $269.1 million in cash and investments in marketable securities.</w:t>
      </w:r>
    </w:p>
    <w:p>
      <w:pPr>
        <w:spacing w:after="0" w:line="13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As we continue our research and development activities, we will need additional cash to fund our operations. Accordingly, we may enter into new collaboration agreements or other similar transactions, and we may also seek financing transactions, which may include dilutive equity-based financings, such as an offering of our common stock. There can be no assurance that any additional collaboration agreements or financings will be available to us on commercially reasonable terms. We believe we have sufficient cash and investments in marketable securities to fund operations through at least the next twelve months from the date of issuance of these financial statements.</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Sale of Manufacturing Facility</w:t>
      </w:r>
    </w:p>
    <w:p>
      <w:pPr>
        <w:spacing w:after="0" w:line="202" w:lineRule="exact"/>
        <w:rPr>
          <w:sz w:val="20"/>
          <w:szCs w:val="20"/>
          <w:color w:val="auto"/>
        </w:rPr>
      </w:pPr>
    </w:p>
    <w:p>
      <w:pPr>
        <w:ind w:right="260" w:firstLine="644"/>
        <w:spacing w:after="0" w:line="258" w:lineRule="auto"/>
        <w:rPr>
          <w:sz w:val="20"/>
          <w:szCs w:val="20"/>
          <w:color w:val="auto"/>
        </w:rPr>
      </w:pPr>
      <w:r>
        <w:rPr>
          <w:rFonts w:ascii="Times New Roman" w:cs="Times New Roman" w:eastAsia="Times New Roman" w:hAnsi="Times New Roman"/>
          <w:sz w:val="18"/>
          <w:szCs w:val="18"/>
          <w:color w:val="auto"/>
        </w:rPr>
        <w:t>On December 2, 2024, we completed the sale of our manufacturing facility located in Huntsville, Alabama (the Facility) and certain other manufacturing assets related thereto, including the assignment of our existing manufacturing and supply obligations, to Gannet BioChem, an affiliate of Ampersand Management LLC d/b/a Ampersand Capital Partners (Ampersand), via an Asset Purchase Agreement (the APA), for consideration of $64.7 million in cash, net of transaction costs, and an approximate 20% equity ownership at the time of close in Gannet BioChem. See Note 12 for additional information.</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2024, we entered into the following transactions:</w:t>
      </w:r>
    </w:p>
    <w:p>
      <w:pPr>
        <w:spacing w:after="0" w:line="117" w:lineRule="exact"/>
        <w:rPr>
          <w:sz w:val="20"/>
          <w:szCs w:val="20"/>
          <w:color w:val="auto"/>
        </w:rPr>
      </w:pPr>
    </w:p>
    <w:p>
      <w:pPr>
        <w:ind w:left="1020" w:right="10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2024, for total cash consideration paid of $3.0 million, we repurchased from Bristol Myers Squibb Company (BMS) 8.3 million shares of Nektar’s common stock that were previously sold to BMS, which we report as treasury stock on our Consolidated Balance Sheets. See Note 9 for additional information.</w:t>
      </w:r>
    </w:p>
    <w:p>
      <w:pPr>
        <w:spacing w:after="0" w:line="67"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2024, we entered into a Securities Purchase Agreement with TCG Crossover Fund II, L.P. (TCG), pursuant to which we issued a pre-funded warrant to TCG to purchase 25,000,000 shares of Nektar’s common stock for gross proceeds of $30.0 million (or a purchase price of $1.20 per share of common stock that can be issued upon exercise of the pre-funded warrant). On May 28, 2024, we filed with the SEC a registration statement on Form S-3 (file no. 333-279760) registering for the resale of up to 25,000,000 shares of Nektar’s common stock upon exercise of the pre-funded warrant issued to TCG pursuant to the Securities Purchase Agreement. The registration statement became effective on June 5, 2024. See Note 6 for additional information.</w:t>
      </w:r>
    </w:p>
    <w:p>
      <w:pPr>
        <w:spacing w:after="0" w:line="79"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2024, for total cash consideration received of $15.0 million, we entered into an amendment (the Amendment) with entities managed by Healthcare Royalty Management, LLC (collectively, HCR) to remove the cap on royalties previously sold to HCR under a Purchase and Sale Agreement (the 2020 Purchase and Sale Agreement). See Note 5 for additional information.</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Results of Clinical Trial Programs and Restructuring Plans</w:t>
      </w:r>
    </w:p>
    <w:p>
      <w:pPr>
        <w:spacing w:after="0" w:line="209" w:lineRule="exact"/>
        <w:rPr>
          <w:sz w:val="20"/>
          <w:szCs w:val="20"/>
          <w:color w:val="auto"/>
        </w:rPr>
      </w:pPr>
    </w:p>
    <w:p>
      <w:pPr>
        <w:ind w:firstLine="644"/>
        <w:spacing w:after="0" w:line="242" w:lineRule="auto"/>
        <w:rPr>
          <w:sz w:val="20"/>
          <w:szCs w:val="20"/>
          <w:color w:val="auto"/>
        </w:rPr>
      </w:pPr>
      <w:r>
        <w:rPr>
          <w:rFonts w:ascii="Times New Roman" w:cs="Times New Roman" w:eastAsia="Times New Roman" w:hAnsi="Times New Roman"/>
          <w:sz w:val="18"/>
          <w:szCs w:val="18"/>
          <w:color w:val="auto"/>
        </w:rPr>
        <w:t>In March and April 2022, we announced that our registrational trials of bempegaldesleukin in combination with Opdivo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our Strategic Collaboration Agreement with BMS (BMS Collaboration Agreement) did not meet their primary endpoints. Based on these results, in April 2022, we announced our decision to discontinue all development of bempegaldesleukin and also announced new strategic reorganization and cost restructuring plans (together, the 2022 Restructuring Plan), pursuant to which we completed an approximate 70% reduction of our workforce during 2022 and sold our research facility in India in December 2022. We also decided to sublease certain of our leased premises in San Francisco, CA, including all of our office leased space on Third St. (the Third Street Facility) and portions of our office and laboratory space on Mission Bay Blvd. South (the Mission Bay Facility).</w:t>
      </w:r>
    </w:p>
    <w:p>
      <w:pPr>
        <w:spacing w:after="0" w:line="156"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In February 2023, we announced the topline data from the Phase 2 study of rezpegaldesleukin in adult patients with systemic lupus erythematosus (SLE) (Phase 2 Lupus Study) under our collaboration agreement with Eli Lilly and Company (Lilly). Lilly subsequently notified us that it did not intend to advance rezpegaldesleukin into Phase 3 development for SLE. In April 2023, we announced that we would be regaining the full rights to rezpegaldesleukin from Lilly and also announced a new strategic reprioritization and cost restructuring plan (the 2023 Restructuring Plan). Under the 2023 Restructuring Plan, we reduced our San Francisco-based workforce by approximately 60%, which was substantially completed by June 2023. In addition, under the 2023 Restructuring Plan, we decided to sublease our remaining office and laboratory space on Mission Bay Blvd. South which we had not planned to sublease pursuant to the 2022 Restructuring Plan.</w:t>
      </w:r>
    </w:p>
    <w:p>
      <w:pPr>
        <w:spacing w:after="0" w:line="148"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We have incurred significant costs resulting from the 2022 and 2023 Restructuring Plans. See Note 10 for additional information on the effect of these Plans on our Consolidated Financial Statements.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Principles of Consolidation and Use of Estimates</w:t>
      </w:r>
    </w:p>
    <w:p>
      <w:pPr>
        <w:spacing w:after="0" w:line="189"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include the financial position, results of operations and cash flows of our wholly-owned subsidiaries. In determining whether we are the primary beneficiary of a variable interest entity (VIE),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interests in any variable interest entities of which we are the primary beneficiary. We have eliminated all intercompany accounts and transactions in consolidation.</w:t>
      </w:r>
    </w:p>
    <w:p>
      <w:pPr>
        <w:spacing w:after="0" w:line="143"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denominated in U.S. dollars. Accordingly, changes in exchange rates between the applicable foreign currency and the U.S. dollar will affect the translation of each foreign subsidiary’s financial results into U.S. dollars for purposes of reporting our consolidated financial results. We include translation gains and losses in accumulated other comprehensive income (loss) in the stockholders’ equity section of our Consolidated Balance Sheets. However, if we have concluded that we have substantially liquidated the entity, such as for our subsidiary in India, we recognize subsequent translation gains and losses in other income (expense) in our Consolidated Statement of Operations.</w:t>
      </w:r>
    </w:p>
    <w:p>
      <w:pPr>
        <w:spacing w:after="0" w:line="156" w:lineRule="exact"/>
        <w:rPr>
          <w:sz w:val="20"/>
          <w:szCs w:val="20"/>
          <w:color w:val="auto"/>
        </w:rPr>
      </w:pPr>
    </w:p>
    <w:p>
      <w:pPr>
        <w:ind w:right="300" w:firstLine="644"/>
        <w:spacing w:after="0" w:line="266" w:lineRule="auto"/>
        <w:rPr>
          <w:sz w:val="20"/>
          <w:szCs w:val="20"/>
          <w:color w:val="auto"/>
        </w:rPr>
      </w:pPr>
      <w:r>
        <w:rPr>
          <w:rFonts w:ascii="Times New Roman" w:cs="Times New Roman" w:eastAsia="Times New Roman" w:hAnsi="Times New Roman"/>
          <w:sz w:val="18"/>
          <w:szCs w:val="18"/>
          <w:color w:val="auto"/>
        </w:rPr>
        <w:t>Our comprehensive loss consists of our net loss plus our foreign currency translation gains and losses (to the extent recognized in other comprehensive income (loss)) and unrealized holding gains and losses on available-for-sale securities. Other than as described in Note 3, there were no significant reclassifications out of accumulated other comprehensive loss to the statements of operations for the periods presented.</w:t>
      </w:r>
    </w:p>
    <w:p>
      <w:pPr>
        <w:spacing w:after="0" w:line="135"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Accounting estimates and assumptions are inherently uncertain. Actual results could differ materially from those estimates and assumptions. Our estimates include those related to the selling prices of performance obligations and amounts of variable consideration in collaboration agreements, royalty revenue, and other assumptions required for revenue recognition as described further below; the net realizable value of inventory; the determination of our ability to exercise control or significant influence over our equity method investee; the fair value and impairment of investments in marketable securities, equity method investment, goodwill and long-lived assets; contingencies, accrued clinical trial, contract manufacturing and other expenses; income taxes; non-cash royalty revenue and non-cash interest expense from our liabilities related to our sales of future royalties; our assumptions used in stock-based compensation; and ongoing litigation, among other estimates. We base our estimates on historical experience and on other assumptions, including assumptions as to future events, that management believes are reasonable under the circumstances. These estimates form the basis for making judgments about the carrying values of assets and liabilities when these values are not readily apparent from other sources. As appropriate, we assess estimates each period, update them to reflect current information, and will generally reflect any changes in estimates in the period first identified.</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02"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The recorded amounts of certain financial instruments, including cash and cash equivalents, accounts receivable, accounts payable and accrued liabilities approximate their fair values due to their relatively short maturities. We record available-for-sale investments and cash equivalents at their estimated fair values, which are based on market prices from a variety of industry standard data providers and generally represent quoted prices for similar assets in active markets or have been derived from observable market data.</w:t>
      </w:r>
    </w:p>
    <w:p>
      <w:pPr>
        <w:spacing w:after="0" w:line="13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 xml:space="preserve">Certain assets and liabilities are reported on a recurring basis at fair value, and certain assets and liabilities are subsequently adjusted to their fair values, in accordance with the fair value hierarchy established in ASC 820-10,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71" w:lineRule="exact"/>
        <w:rPr>
          <w:sz w:val="20"/>
          <w:szCs w:val="20"/>
          <w:color w:val="auto"/>
        </w:rPr>
      </w:pPr>
    </w:p>
    <w:p>
      <w:pPr>
        <w:ind w:left="660"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for identical or similar assets or liabilities in markets that are not active; or other inputs that are observable or can be corroborated by observable market data for substantially the full term of the assets or liabilities. For the years ended December 31, 2024 and 2023, there were no transfers between Level 1 and Level 2 of the fair value hierarchy.</w:t>
      </w:r>
    </w:p>
    <w:p>
      <w:pPr>
        <w:spacing w:after="0" w:line="112" w:lineRule="exact"/>
        <w:rPr>
          <w:sz w:val="20"/>
          <w:szCs w:val="20"/>
          <w:color w:val="auto"/>
        </w:rPr>
      </w:pPr>
    </w:p>
    <w:p>
      <w:pPr>
        <w:ind w:left="340" w:right="80" w:firstLine="311"/>
        <w:spacing w:after="0" w:line="462"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Related Parties</w:t>
      </w:r>
    </w:p>
    <w:p>
      <w:pPr>
        <w:spacing w:after="0" w:line="2" w:lineRule="exact"/>
        <w:rPr>
          <w:sz w:val="20"/>
          <w:szCs w:val="20"/>
          <w:color w:val="auto"/>
        </w:rPr>
      </w:pPr>
    </w:p>
    <w:p>
      <w:pPr>
        <w:ind w:right="220" w:firstLine="644"/>
        <w:spacing w:after="0" w:line="261" w:lineRule="auto"/>
        <w:rPr>
          <w:sz w:val="20"/>
          <w:szCs w:val="20"/>
          <w:color w:val="auto"/>
        </w:rPr>
      </w:pPr>
      <w:r>
        <w:rPr>
          <w:rFonts w:ascii="Times New Roman" w:cs="Times New Roman" w:eastAsia="Times New Roman" w:hAnsi="Times New Roman"/>
          <w:sz w:val="18"/>
          <w:szCs w:val="18"/>
          <w:color w:val="auto"/>
        </w:rPr>
        <w:t xml:space="preserve">Transactions between related parties are considered to be related party transactions even though they may not be given accounting recognition.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xml:space="preserve"> (ASC 850) requires that transactions with related parties that would make a difference in decision making shall be disclosed so that users of the financial statements can evaluate their significance. Please see Note 12 regarding our related party transactions with Gannet BioChem.</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 in Marketable Securities</w:t>
      </w:r>
    </w:p>
    <w:p>
      <w:pPr>
        <w:spacing w:after="0" w:line="189" w:lineRule="exact"/>
        <w:rPr>
          <w:sz w:val="20"/>
          <w:szCs w:val="20"/>
          <w:color w:val="auto"/>
        </w:rPr>
      </w:pPr>
    </w:p>
    <w:p>
      <w:pPr>
        <w:jc w:val="both"/>
        <w:ind w:right="60" w:firstLine="644"/>
        <w:spacing w:after="0" w:line="261" w:lineRule="auto"/>
        <w:rPr>
          <w:sz w:val="20"/>
          <w:szCs w:val="20"/>
          <w:color w:val="auto"/>
        </w:rPr>
      </w:pPr>
      <w:r>
        <w:rPr>
          <w:rFonts w:ascii="Times New Roman" w:cs="Times New Roman" w:eastAsia="Times New Roman" w:hAnsi="Times New Roman"/>
          <w:sz w:val="18"/>
          <w:szCs w:val="18"/>
          <w:color w:val="auto"/>
        </w:rPr>
        <w:t>We consider all investments in marketable securities with an original maturity of three months or less when purchased to be cash equivalents. We classify investments in securities with remaining maturities of less than one year, or where our intent is to use the investments to fund current operations or to make them available for current operations, as short-term investments. We classify investments in securities with remaining maturities of over one year as long-term investments.</w:t>
      </w:r>
    </w:p>
    <w:p>
      <w:pPr>
        <w:spacing w:after="0" w:line="153"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Our cash and investments are held or issued by financial institutions that management believes are of high credit quality. However, we are exposed to credit risk in the event of default by the third parties that hold or issue such assets. Our investment policy limits investments to fixed income securities denominated and payable in U.S. dollars such as corporate bonds, corporate commercial paper, U.S. government obligations, and money market funds and places restrictions on maturities and concentrations by type and issuer.</w:t>
      </w:r>
    </w:p>
    <w:p>
      <w:pPr>
        <w:spacing w:after="0" w:line="139"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For our available-for-sale securities, we have significant concentrations of issuers in the banking and financial services industry. While our investment policy requires that we only invest in highly-rated securities and limit our exposure to any single issuer, a variety of factors may materially affect the financial condition of issuers. Additionally, pursuant to our investment policy, we may sell securities before maturity if the issuer’s credit rating has been downgraded below our minimum credit rating requirements, which may result in a loss on the sale. Accordingly, if factors result in downgrades below our minimum credit rating requirements and if we decide to sell these securities, we may experience losses on such sales.</w:t>
      </w:r>
    </w:p>
    <w:p>
      <w:pPr>
        <w:spacing w:after="0" w:line="143"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Investments are designated as available-for-sale and are carried at fair value with unrealized gains and losses reported in stockholders’ equity as accumulated other comprehensive income (loss). We review our portfolio of available-for-sale debt securities, using both quantitative and qualitative factors, to determine if declines in fair value below amortized cost have resulted from a credit-related loss or other factors. If the decline in fair value is due to credit-related factors, we recognize a loss in our Consolidated Statement of Operations, whereas if the decline in fair value is not due to credit-related factors, we recognize the loss in other comprehensive income (loss).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0" w:firstLine="644"/>
        <w:spacing w:after="0" w:line="282" w:lineRule="auto"/>
        <w:rPr>
          <w:sz w:val="20"/>
          <w:szCs w:val="20"/>
          <w:color w:val="auto"/>
        </w:rPr>
      </w:pPr>
      <w:r>
        <w:rPr>
          <w:rFonts w:ascii="Times New Roman" w:cs="Times New Roman" w:eastAsia="Times New Roman" w:hAnsi="Times New Roman"/>
          <w:sz w:val="18"/>
          <w:szCs w:val="18"/>
          <w:color w:val="auto"/>
        </w:rPr>
        <w:t>We include coupon interest on securities classified as available-for-sale, as well as amortization of premiums and accretion of discounts to maturity, in interest income. The cost of securities sold is based on the specific identification method.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Significant Customer Concentrations</w:t>
      </w:r>
    </w:p>
    <w:p>
      <w:pPr>
        <w:spacing w:after="0" w:line="189"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Our customers are primarily pharmaceutical and biotechnology companies with whom we have multi-year arrangements. Our accounts receivable balance contains billed and unbilled trade receivables from product sales, milestones (to the extent that they have been achieved and are due from the counterparty), other contingent payments, as well as reimbursable costs from collaborative research and development agreements. We perform regular reviews of our partners’ credit risk and payment histories when circumstances warrant, including payments made subsequent to year-end. When appropriate, we provide for an allowance for doubtful accounts by reserving for specifically identified doubtful accounts, although historically we have not experienced credit losses from our accounts receivable. We have not recorded provisions for credit losses for any of the periods presented. Accounts receivable at December 31, 2024 are immaterial due to the sale of the Facility.</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Inventory and Significant Supplier Concentrations</w:t>
      </w:r>
    </w:p>
    <w:p>
      <w:pPr>
        <w:spacing w:after="0" w:line="202"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Before the sale of Facility, we generally manufactured inventory upon receipt of firm purchase orders from our partners, and we may have manufactured certain intermediate work-in-process materials and purchased raw materials based on purchase forecasts from our partners. Inventory included direct materials, direct labor, and manufacturing overhead, and we determined cost on a first-in, first-out basis for raw materials and on a specific identification basis for work-in-process and finished goods. We valued inventory at the lower of cost or net realizable value, and we wrote down defective or excess inventory to net realizable value based on historical experience or projected usage. We expensed inventory related to our research and development activities when we purchased or manufactured it. We have no inventory balance at December 31, 2024 due to the sale of the Facility.</w:t>
      </w:r>
    </w:p>
    <w:p>
      <w:pPr>
        <w:spacing w:after="0" w:line="147"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are dependent on our suppliers and contract manufacturers to provide raw materials and drugs of appropriate quality and reliability and to meet applicable contract and regulatory requirements. In certain cases, we rely on single sources of supply of one or more critical materials. As a result of the sale of the Facility, we are dependent on Gannet BioChem for the supply of the polyethylene glycol reagents (PEG reagents) used in the manufacture of rezpegaldesleukin and NKTR-255. Consequently, in the event that supplies are delayed or interrupted for any reason, our ability to develop and produce our drug candidates could be significantly impaired, which could have a material adverse effect on our business, financial condition and results of operations.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02" w:lineRule="exact"/>
        <w:rPr>
          <w:sz w:val="20"/>
          <w:szCs w:val="20"/>
          <w:color w:val="auto"/>
        </w:rPr>
      </w:pPr>
    </w:p>
    <w:p>
      <w:pPr>
        <w:ind w:right="600" w:firstLine="644"/>
        <w:spacing w:after="0" w:line="282" w:lineRule="auto"/>
        <w:rPr>
          <w:sz w:val="20"/>
          <w:szCs w:val="20"/>
          <w:color w:val="auto"/>
        </w:rPr>
      </w:pPr>
      <w:r>
        <w:rPr>
          <w:rFonts w:ascii="Times New Roman" w:cs="Times New Roman" w:eastAsia="Times New Roman" w:hAnsi="Times New Roman"/>
          <w:sz w:val="18"/>
          <w:szCs w:val="18"/>
          <w:color w:val="auto"/>
        </w:rPr>
        <w:t>We recognize restructuring charges related to reorganization plans that have been committed to by management when liabilities have been incurred. In connection with these activities, we record restructuring charges at fair value for:</w:t>
      </w:r>
    </w:p>
    <w:p>
      <w:pPr>
        <w:spacing w:after="0" w:line="94" w:lineRule="exact"/>
        <w:rPr>
          <w:sz w:val="20"/>
          <w:szCs w:val="20"/>
          <w:color w:val="auto"/>
        </w:rPr>
      </w:pPr>
    </w:p>
    <w:p>
      <w:pPr>
        <w:ind w:left="1300" w:right="240" w:hanging="648"/>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employee termination benefits provided that the obligations result from services already rendered based on vested rights to such benefits when the payment of benefits becomes probable and the amount can be reasonably estimated;</w:t>
      </w:r>
    </w:p>
    <w:p>
      <w:pPr>
        <w:spacing w:after="0" w:line="94" w:lineRule="exact"/>
        <w:rPr>
          <w:rFonts w:ascii="Times New Roman" w:cs="Times New Roman" w:eastAsia="Times New Roman" w:hAnsi="Times New Roman"/>
          <w:sz w:val="18"/>
          <w:szCs w:val="18"/>
          <w:color w:val="auto"/>
        </w:rPr>
      </w:pPr>
    </w:p>
    <w:p>
      <w:pPr>
        <w:ind w:left="1300" w:right="180" w:hanging="648"/>
        <w:spacing w:after="0" w:line="266"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employee termination benefits on the communication date from management to the employees provided that management has committed to a plan of termination, the plan identifies the employees and their expected termination dates, the details of termination benefits are complete, and it is unlikely that changes to the plan will be made or the plan will be withdrawn;</w:t>
      </w:r>
    </w:p>
    <w:p>
      <w:pPr>
        <w:spacing w:after="0" w:line="121" w:lineRule="exact"/>
        <w:rPr>
          <w:rFonts w:ascii="Times New Roman" w:cs="Times New Roman" w:eastAsia="Times New Roman" w:hAnsi="Times New Roman"/>
          <w:sz w:val="18"/>
          <w:szCs w:val="18"/>
          <w:color w:val="auto"/>
        </w:rPr>
      </w:pPr>
    </w:p>
    <w:p>
      <w:pPr>
        <w:ind w:left="1300" w:right="580" w:hanging="648"/>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costs when we cancel the contract in accordance with its terms, or for costs to be incurred over the remaining contract term without economic benefit to us at the cease-use date.</w:t>
      </w:r>
    </w:p>
    <w:p>
      <w:pPr>
        <w:spacing w:after="0" w:line="94"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For one-time employee termination benefits, we recognize the liability in full on the communication date when future services are not required or amortize the liability ratably over the service period, if required. The fair value of termination benefits reflects our estimates of expected utilization of certain Company-funded post-employment benefits.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10 for additional information on the severance expense that we recognized for employees terminated in connection with our reductions-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in-force.</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2" w:lineRule="exact"/>
        <w:rPr>
          <w:sz w:val="20"/>
          <w:szCs w:val="20"/>
          <w:color w:val="auto"/>
        </w:rPr>
      </w:pPr>
    </w:p>
    <w:p>
      <w:pPr>
        <w:jc w:val="both"/>
        <w:ind w:right="100" w:firstLine="794"/>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price paid for another entity over the fair value of the assets acquired and liabilities assumed in a business combination. We are organized in one reporting unit and evaluated the goodwill for the Company as a whole. Goodwill has an indefinite useful life and is not amortized, but instead tested for impairment.</w:t>
      </w:r>
    </w:p>
    <w:p>
      <w:pPr>
        <w:spacing w:after="0" w:line="13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Goodwill is assessed for impairment on an annual basis and whenever events and circumstances indicate that it may be impaired. Factors that may indicate potential impairment and trigger an impairment test include, but are not limited to, current economic, market and geopolitical conditions, including a significant, sustained decline in our stock price and market capitalization compared to the net book value; an adverse change in legal factors, business climate or operational performance of the business; or significant changes in the ability of the reporting unit to generate positive cash flows for our strategic business objectives. If the carrying value of the reporting unit, including goodwill, exceeds the reporting unit’s fair value, we will recognize a goodwill impairment loss, and we will write down goodwill such that the carrying value of the reporting unit equals its fair value, provided that we cannot reduce goodwill below zero.</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11 for additional information regarding the goodwill impairment charges we recorded during the year ended December 31, 2023.</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89" w:lineRule="exact"/>
        <w:rPr>
          <w:sz w:val="20"/>
          <w:szCs w:val="20"/>
          <w:color w:val="auto"/>
        </w:rPr>
      </w:pPr>
    </w:p>
    <w:p>
      <w:pPr>
        <w:ind w:right="260" w:firstLine="644"/>
        <w:spacing w:after="0" w:line="261" w:lineRule="auto"/>
        <w:rPr>
          <w:sz w:val="20"/>
          <w:szCs w:val="20"/>
          <w:color w:val="auto"/>
        </w:rPr>
      </w:pPr>
      <w:r>
        <w:rPr>
          <w:rFonts w:ascii="Times New Roman" w:cs="Times New Roman" w:eastAsia="Times New Roman" w:hAnsi="Times New Roman"/>
          <w:sz w:val="18"/>
          <w:szCs w:val="18"/>
          <w:color w:val="auto"/>
        </w:rPr>
        <w:t>We report property, plant and equipment at cost, net of accumulated depreciation. We capitalize major improvements and expense maintenance and repairs as incurred. We generally recognize depreciation on a straight-line basis. We depreciate manufacturing, laboratory and other equipment over their estimated useful lives of generally three to ten years, depreciate buildings over the estimated useful life of generally twenty years and amortize leasehold improvements over the shorter of the estimated useful lives or the remaining term of the related lease.</w:t>
      </w:r>
    </w:p>
    <w:p>
      <w:pPr>
        <w:spacing w:after="0" w:line="13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business circumstances indicate that the carrying amounts of the assets may not be fully recoverable. In the case of property, plant and equipment and right-of-use assets for our leases, we determine whether there has been an impairment by comparing the carrying value of the asset to the anticipated undiscounted net cash flows associated with the asset. If such cash flows are less than the carrying value, we write down the asset to its fair value, which may be measured as anticipated net cash flows associated with the asset, discounted at a rate that we believe a market participant would utilize to reflect the risks associated with the cash flows, such as credit risk.</w:t>
      </w:r>
    </w:p>
    <w:p>
      <w:pPr>
        <w:spacing w:after="0" w:line="156" w:lineRule="exact"/>
        <w:rPr>
          <w:sz w:val="20"/>
          <w:szCs w:val="20"/>
          <w:color w:val="auto"/>
        </w:rPr>
      </w:pPr>
    </w:p>
    <w:p>
      <w:pPr>
        <w:ind w:left="340" w:right="60" w:firstLine="311"/>
        <w:spacing w:after="0" w:line="453" w:lineRule="auto"/>
        <w:rPr>
          <w:sz w:val="20"/>
          <w:szCs w:val="20"/>
          <w:color w:val="auto"/>
        </w:rPr>
      </w:pPr>
      <w:r>
        <w:rPr>
          <w:rFonts w:ascii="Times New Roman" w:cs="Times New Roman" w:eastAsia="Times New Roman" w:hAnsi="Times New Roman"/>
          <w:sz w:val="18"/>
          <w:szCs w:val="18"/>
          <w:color w:val="auto"/>
        </w:rPr>
        <w:t xml:space="preserve">See Note 10 for additional information regarding the impairment charges we recorded for our leased facilities and certain property and equipment. </w:t>
      </w:r>
      <w:r>
        <w:rPr>
          <w:rFonts w:ascii="Times New Roman" w:cs="Times New Roman" w:eastAsia="Times New Roman" w:hAnsi="Times New Roman"/>
          <w:sz w:val="18"/>
          <w:szCs w:val="18"/>
          <w:b w:val="1"/>
          <w:bCs w:val="1"/>
          <w:i w:val="1"/>
          <w:iCs w:val="1"/>
          <w:color w:val="auto"/>
        </w:rPr>
        <w:t>Leases</w:t>
      </w:r>
    </w:p>
    <w:p>
      <w:pPr>
        <w:spacing w:after="0" w:line="2"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We determine if an arrangement contains a lease at the inception of the arrangement. Right-of-use assets represent our right to use an underlying asset for the lease term, and lease liabilities represent our obligation to make lease payments arising from the lease. We recognize operating lease right-of-use assets and liabilities at the lease commencement date based on the present value of lease payments over the expected lease term. In determining the present value of lease payments, we use our incremental borrowing rate based on the information available at the lease commencement date. Our expected lease terms may include options to extend or terminate the lease when it is reasonably certain that we will exercise any such options. We have elected to recognize lease incentives, such as tenant improvement allowances, at the lease commencement date as a reduction of the right-of-use asset and lease liability until paid to us by the lessor to the extent that the lease provides a specified fixed or maximum level of reimbursement and we are reasonably certain to incur reimbursable costs at least equaling such amounts.</w:t>
      </w:r>
    </w:p>
    <w:p>
      <w:pPr>
        <w:spacing w:after="0" w:line="165"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We have elected the practical expedient to account for the lease and non-lease components, such as common area maintenance charges, as a single lease component for our facilities leases, and elected the short-term lease recognition exemption for our short-term leases, under which we do not recognize lease liabilities and right-of-use assets for leases with an original term of twelve months or less.</w:t>
      </w:r>
    </w:p>
    <w:p>
      <w:pPr>
        <w:spacing w:after="0" w:line="135"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We recognize lease expense for our operating leases on a straight-line basis over the expected lease term. However, if we recognize an impairment of our right-of-use assets, the subsequent lease expense of such lease is recognized on an accelerated basis as it includes the recognition of accretion expense on our lease liability, which is higher in earlier periods due to the higher lease liability, and straight-line amortization of the remaining post-impairment right-of-use asset.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Note 4 for additional information regarding our leases.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0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enter into collaboration arrangements with pharmaceutical and biotechnology collaboration partners, under which we may grant licenses to our collaboration partners to further develop and commercialize one of our drug candidates, either alone or in combination with the collaboration partners’ compounds. We may also perform research, development, manufacturing and supply activities under our collaboration agreements. Consideration under these contracts may include an upfront payment, development and regulatory milestones and other contingent payments, expense reimbursements, royalties based on net sales of approved drugs, and commercial sales milestone payments. Additionally, these contracts may provide options for the customer to purchase additional contract research and development services under separate contracts.</w:t>
      </w:r>
    </w:p>
    <w:p>
      <w:pPr>
        <w:spacing w:after="0" w:line="145"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 xml:space="preserve">When we enter into collaboration agreements, we assess whether the arrangements fall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based on whether the arrangements involve joint operating activities and whether both parties have active participation in the arrangement and are exposed to significant risks and rewards of the arrangement. To the extent that the arrangement falls within the scope of ASC 808, we assess whether the payments between us and our collaboration partner fall within the scope of other accounting literature. If we conclude that payments from the collaboration partner to us represent consideration from a customer, such as license fees and contract research and development activities, we account for those payments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However, if we conclude that our collaboration partner is not a customer for certain activities and associated payments, such as for certain collaborative research, development, manufacturing and commercial activities, we present such payments as a reduction of research and development expense or general and administrative expense, based on where we present the underlying expense.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For elements of those arrangements that we determine should be accounted for under ASC 606, we assess which activities in our collaboration agreements are performance obligations that should be accounted for separately and determine the transaction price of the arrangement, which includes the assessment of the probability of achievement of future milestones and other potential consideration. For arrangements that include multiple performance obligations, such as granting a license or performing contract research and development activities or participation on joint steering or other committees, we allocate upfront and milestone payments under a relative standalone selling price method. Accordingly, we develop assumptions that require judgment to determine the standalone selling price for each performance obligation identified in the contract. These key assumptions may include revenue forecasts, clinical development timelines and costs, discount rates and probabilities of clinical and regulatory success.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189"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Product sales were primarily derived from manufacturing and supply agreements we entered into with our customers. We have assessed our manufacturing and supply arrangements and have generally determined that they provided the customer an option to purchase our proprietary PEG reagents. Accordingly, we treated each purchase order as a discrete exercise of the customer’s option (i.e. a separate contract) rather than as a component of the overall arrangement. The pricing for the manufacturing and supply is generally at a fixed price and may be subject to annual producer price index (PPI) adjustments. The “take or pay” arrangement signed with UCB during 2024 resulted in recognition based on a single sales price over multiple years. See Note 9 for additional details.</w:t>
      </w:r>
    </w:p>
    <w:p>
      <w:pPr>
        <w:spacing w:after="0" w:line="160" w:lineRule="exact"/>
        <w:rPr>
          <w:sz w:val="20"/>
          <w:szCs w:val="20"/>
          <w:color w:val="auto"/>
        </w:rPr>
      </w:pPr>
    </w:p>
    <w:p>
      <w:pPr>
        <w:ind w:right="300" w:firstLine="644"/>
        <w:spacing w:after="0" w:line="261" w:lineRule="auto"/>
        <w:rPr>
          <w:sz w:val="20"/>
          <w:szCs w:val="20"/>
          <w:color w:val="auto"/>
        </w:rPr>
      </w:pPr>
      <w:r>
        <w:rPr>
          <w:rFonts w:ascii="Times New Roman" w:cs="Times New Roman" w:eastAsia="Times New Roman" w:hAnsi="Times New Roman"/>
          <w:sz w:val="18"/>
          <w:szCs w:val="18"/>
          <w:color w:val="auto"/>
        </w:rPr>
        <w:t>We invoiced and recognized product sales when title and risk of loss passed to the customer, which generally occurs upon shipment. Customer payments are generally due 30 days from receipt of an invoice. We tested our products for adherence to technical specifications before shipment; accordingly, we have not experienced any significant returns from our customers. We recognize costs related to shipping and handling of product to customers in cost of goods sold.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sale of the Facility, we no longer recognize product sales of PEG reagents.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Non-cash royalty revenue</w:t>
      </w:r>
    </w:p>
    <w:p>
      <w:pPr>
        <w:spacing w:after="0" w:line="202" w:lineRule="exact"/>
        <w:rPr>
          <w:sz w:val="20"/>
          <w:szCs w:val="20"/>
          <w:color w:val="auto"/>
        </w:rPr>
      </w:pPr>
    </w:p>
    <w:p>
      <w:pPr>
        <w:ind w:right="20" w:firstLine="644"/>
        <w:spacing w:after="0" w:line="244" w:lineRule="auto"/>
        <w:rPr>
          <w:sz w:val="20"/>
          <w:szCs w:val="20"/>
          <w:color w:val="auto"/>
        </w:rPr>
      </w:pPr>
      <w:r>
        <w:rPr>
          <w:rFonts w:ascii="Times New Roman" w:cs="Times New Roman" w:eastAsia="Times New Roman" w:hAnsi="Times New Roman"/>
          <w:sz w:val="18"/>
          <w:szCs w:val="18"/>
          <w:color w:val="auto"/>
        </w:rPr>
        <w:t>Generally, for our collaboration arrangements that include sales-based royalties, we have granted our collaboration partner a license to our intellectual property. Pursuant to these arrangements, our collaboration partners are typically obligated to pay a royalty that is based on the net sales of their approved drugs that are sold in the countries where we have intellectual property rights covering their drugs. We have sold our rights to receive sales-based royalties for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REBINYN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further described in Note 5. For collaboration arrangements that include sales-based royalties, we have concluded that the license is the predominant item to which the royalties relate, which include commercial milestone payments based on the level of sales. Accordingly, we recognize royalty revenue when the underlying sales occur based on our best estimates of sales of the drugs. Our aggregate non-cash</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royalty revenue of $64.3 million and $68.9 million for the years ended December 31, 2024 and 2023, respectively, represents revenue for granting licenses for which we had satisfied in prior periods.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 collaboration and other revenue</w:t>
      </w:r>
    </w:p>
    <w:p>
      <w:pPr>
        <w:spacing w:after="0" w:line="187"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i w:val="1"/>
          <w:iCs w:val="1"/>
          <w:color w:val="auto"/>
        </w:rPr>
        <w:t>License Grants</w:t>
      </w:r>
      <w:r>
        <w:rPr>
          <w:rFonts w:ascii="Times New Roman" w:cs="Times New Roman" w:eastAsia="Times New Roman" w:hAnsi="Times New Roman"/>
          <w:sz w:val="18"/>
          <w:szCs w:val="18"/>
          <w:color w:val="auto"/>
        </w:rPr>
        <w:t>: For collaboration arrangements that include a grant of a license to our intellectual property, we consider whether the license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distinct from the other performance obligations included in the arrangement. Generally, we would conclude that the license is distinct if the customer is able to benefit from the license with the resources available to it. For licenses that are distinct, we recognize revenues from nonrefundable, upfront payments and other consideration allocated to the license when the license term has begun and we have provided all necessary information regarding the underlying intellectual property to the customer, which generally occurs at or near the inception of the arrangement.</w:t>
      </w:r>
    </w:p>
    <w:p>
      <w:pPr>
        <w:spacing w:after="0" w:line="143"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the arrangement and at each reporting date thereafter, we assess whether we should include any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or other forms of variable consideration in the transaction price, based on whether a significant reversal of revenue previously recognized is not probable upon resolution of the uncertainty. Since milestone payments may become payable to us upon the initiation of a clinical study, filing for or receipt of regulatory approval or the first commercial sale of a product, we review the relevant facts and circumstances to determine when we should update the transaction price, which may occur before the triggering event. When we do update the transaction price for milestone payments, we allocate it on a relative standalone selling price basis and record revenue on a cumulative catch-up basis, which results in recognizing revenue for previously satisfied performance obligations in such period. If we update the transaction price before the triggering event, we recognize the increase in the transaction price as a contract asset. Our partners generally pay development milestones subsequent to achievement of the triggering event.</w:t>
      </w:r>
    </w:p>
    <w:p>
      <w:pPr>
        <w:spacing w:after="0" w:line="158" w:lineRule="exact"/>
        <w:rPr>
          <w:sz w:val="20"/>
          <w:szCs w:val="20"/>
          <w:color w:val="auto"/>
        </w:rPr>
      </w:pPr>
    </w:p>
    <w:p>
      <w:pPr>
        <w:ind w:right="140" w:firstLine="644"/>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Services</w:t>
      </w:r>
      <w:r>
        <w:rPr>
          <w:rFonts w:ascii="Times New Roman" w:cs="Times New Roman" w:eastAsia="Times New Roman" w:hAnsi="Times New Roman"/>
          <w:sz w:val="18"/>
          <w:szCs w:val="18"/>
          <w:color w:val="auto"/>
        </w:rPr>
        <w:t>: For amounts allocated to our research and development obligations in a collaboration arrangement,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revenue over time using a proportional performance model, representing the transfer of goods or services as we perform activities over the term of the agreement.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salaries, benefits and other operating costs such as outside services, supplies and allocated overhead costs. We perform research and development activities for our drug candidates and technology development and for certain third parties under collaboration agreements. For our drug candidates and our internal technology development programs, we invest our own funds without reimbursement from a third party. Where we perform research and development activities under a joint development collaboration, such as our collaboration with BMS, we record the cost reimbursement from our partner as a reduction to research and development expense when reimbursement amounts are due to us under the agreement.</w:t>
      </w:r>
    </w:p>
    <w:p>
      <w:pPr>
        <w:spacing w:after="0" w:line="160" w:lineRule="exact"/>
        <w:rPr>
          <w:sz w:val="20"/>
          <w:szCs w:val="20"/>
          <w:color w:val="auto"/>
        </w:rPr>
      </w:pPr>
    </w:p>
    <w:p>
      <w:pPr>
        <w:ind w:right="180" w:firstLine="644"/>
        <w:spacing w:after="0" w:line="255" w:lineRule="auto"/>
        <w:rPr>
          <w:sz w:val="20"/>
          <w:szCs w:val="20"/>
          <w:color w:val="auto"/>
        </w:rPr>
      </w:pPr>
      <w:r>
        <w:rPr>
          <w:rFonts w:ascii="Times New Roman" w:cs="Times New Roman" w:eastAsia="Times New Roman" w:hAnsi="Times New Roman"/>
          <w:sz w:val="18"/>
          <w:szCs w:val="18"/>
          <w:color w:val="auto"/>
        </w:rPr>
        <w:t>We record an accrued expense for the estimated unbilled costs of our clinical study activities performed by third parties. The financial terms of these agreements are subject to negotiation, vary from contract to contract and may result in uneven payment flows to our vendors. Payments under the contracts depend on factors such as the achievement of certain events, successful enrollment of patients and completion of certain clinical trial activities. We generally recognize costs associated with the start-up and reporting phases of the clinical trials as incurred. We generally accrue costs associated with the treatment phase of clinical trials based on the estimated activities performed by our third-party vendors, including our contract research organizations. In specific circumstances, such as for certain time-based costs, we recognize clinical trial expenses ratably over the service period, as we believe that this methodology may be more reflective of the timing of costs incurred.</w:t>
      </w:r>
    </w:p>
    <w:p>
      <w:pPr>
        <w:spacing w:after="0" w:line="148"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We capitalize advance payments for goods or services that will be used or rendered for future research and development activities and recognize expense as the related goods are delivered or services performed.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Impairment</w:t>
      </w:r>
    </w:p>
    <w:p>
      <w:pPr>
        <w:spacing w:after="0" w:line="202" w:lineRule="exact"/>
        <w:rPr>
          <w:sz w:val="20"/>
          <w:szCs w:val="20"/>
          <w:color w:val="auto"/>
        </w:rPr>
      </w:pPr>
    </w:p>
    <w:p>
      <w:pPr>
        <w:ind w:right="300" w:firstLine="644"/>
        <w:spacing w:after="0" w:line="282" w:lineRule="auto"/>
        <w:rPr>
          <w:sz w:val="20"/>
          <w:szCs w:val="20"/>
          <w:color w:val="auto"/>
        </w:rPr>
      </w:pPr>
      <w:r>
        <w:rPr>
          <w:rFonts w:ascii="Times New Roman" w:cs="Times New Roman" w:eastAsia="Times New Roman" w:hAnsi="Times New Roman"/>
          <w:sz w:val="18"/>
          <w:szCs w:val="18"/>
          <w:color w:val="auto"/>
        </w:rPr>
        <w:t>Amounts recorded as restructuring and impairment for the years ended December 31, 2024 and 2023 relate to the 2022 and 2023 Restructuring Plans. See Note 10 for additional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on Liabilities Related to the Sales of Future Royalties</w:t>
      </w:r>
    </w:p>
    <w:p>
      <w:pPr>
        <w:spacing w:after="0" w:line="189"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Interest expense on liabilities related to the sales of future royalties is imputed on the unamortized portion using the effective interest method. We periodically assess the estimated royalty payments under our licensees, and, as the amount or timing of such payments of these estimates change, we prospectively adjust the imputed interest rate and the related amortization of the respective liability. The actual interest rate will be affected by the timing of the royalty payments and changes in the forecasted revenue.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0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Our investment in Gannet BioChem is considered a VIE for which we are not the primary beneficiary. We use the equity method of accounting to account for our investment in Gannet BioChem, which is an entity that we do not control, but have the ability to exert significant influence. Judgments regarding the level of influence over the equity method investment include consideration of key factors such as our ownership interest, representation on the board of directors or participation in policy-making decisions.</w:t>
      </w:r>
    </w:p>
    <w:p>
      <w:pPr>
        <w:spacing w:after="0" w:line="139"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Under the equity method of accounting, our investment in Gannet BioChem is initially recorded at fair value on our Consolidated Balance Sheets. We include our share of the net income or loss of the entity in non-operating income (expense), which results in an increase or decrease to the carrying value of the investment. Our share of Gannet BioChem’s gains and losses may reflect Ampersand’s liquidation preferences, including its right to a cumulative preferred dividend, as further disclosed in Note 12, and we will record our share of the equity method investment’s results of operation on a lag basis. Our maximum exposure to loss in Gannet BioChem is limited to the value of our investment. No income or loss from our investment in Gannet BioChem has been recorded for the year ended December 31, 2024. The amount not recognized for the month ended December 31, 2024, is immaterial.</w:t>
      </w:r>
    </w:p>
    <w:p>
      <w:pPr>
        <w:spacing w:after="0" w:line="147" w:lineRule="exact"/>
        <w:rPr>
          <w:sz w:val="20"/>
          <w:szCs w:val="20"/>
          <w:color w:val="auto"/>
        </w:rPr>
      </w:pPr>
    </w:p>
    <w:p>
      <w:pPr>
        <w:jc w:val="both"/>
        <w:ind w:right="80" w:firstLine="644"/>
        <w:spacing w:after="0" w:line="261" w:lineRule="auto"/>
        <w:rPr>
          <w:sz w:val="20"/>
          <w:szCs w:val="20"/>
          <w:color w:val="auto"/>
        </w:rPr>
      </w:pPr>
      <w:r>
        <w:rPr>
          <w:rFonts w:ascii="Times New Roman" w:cs="Times New Roman" w:eastAsia="Times New Roman" w:hAnsi="Times New Roman"/>
          <w:sz w:val="18"/>
          <w:szCs w:val="18"/>
          <w:color w:val="auto"/>
        </w:rPr>
        <w:t>We evaluate our equity method investments at the end of each reporting period to determine whether events or changes in business circumstances indicate that the carrying value of the investments may not be recoverable. This evaluation consists of several qualitative and quantitative factors that may include recent financial results, projected financial results and operating trends of the investees and other publicly available information that may affect the value of our investments.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Stock-based compensation arrangements include grants of stock options, restricted stock units (RSUs), performance stock units (PSUs) under our equity incentive plans, as well as shares issued under our Employee Stock Purchase Plan (ESPP), through which employees may purchase our common stock at a discount to the market price.</w:t>
      </w:r>
    </w:p>
    <w:p>
      <w:pPr>
        <w:spacing w:after="0" w:line="13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expense the grant date fair value of stock-based compensation on a straight-line basis over the requisite service periods in our Consolidated Statements of Operations and recognize forfeitures as they occur. For options and RSUs that vest upon the achievement of performance milestones, we recognize expense provided that we believe that the performance milestones are probable of achievement, and we estimate the vesting period based on our evaluation of the estimated date of achievement of these milestones. For PSUs, we recognize expense based on the grant date fair value regardless of whether the market condition is met. The number of shares issuable under PSUs is based on our total shareholder return as compared to other companies within the NASDAQ biotechnology index over the measurement period and may be capped based on our absolute total shareholder return over such period. We report expense amounts in cost of goods sold, research and development expense, and general and administrative expense based on the function of the applicable employee. We estimate the grant date fair value of our stock-based compensation awards as follows:</w:t>
      </w:r>
    </w:p>
    <w:p>
      <w:pPr>
        <w:spacing w:after="0" w:line="138" w:lineRule="exact"/>
        <w:rPr>
          <w:sz w:val="20"/>
          <w:szCs w:val="20"/>
          <w:color w:val="auto"/>
        </w:rPr>
      </w:pPr>
    </w:p>
    <w:p>
      <w:pPr>
        <w:ind w:left="1300" w:right="200" w:hanging="648"/>
        <w:spacing w:after="0" w:line="261"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 We use the Black-Scholes option pricing model for the respective grant to determine the grant date fair value of stock options and common stock issued under the Company’s equity incentive plans or purchased under the ESPP. The Black-Scholes option pricing model requires the input of assumptions, including but not limited to, our stock price volatility over the term of the awards, and actual and projected employee stock option exercise behaviors.</w:t>
      </w:r>
    </w:p>
    <w:p>
      <w:pPr>
        <w:spacing w:after="0" w:line="112" w:lineRule="exact"/>
        <w:rPr>
          <w:rFonts w:ascii="Times New Roman" w:cs="Times New Roman" w:eastAsia="Times New Roman" w:hAnsi="Times New Roman"/>
          <w:sz w:val="18"/>
          <w:szCs w:val="18"/>
          <w:color w:val="auto"/>
        </w:rPr>
      </w:pPr>
    </w:p>
    <w:p>
      <w:pPr>
        <w:ind w:left="1300" w:right="200" w:hanging="648"/>
        <w:spacing w:after="0" w:line="266"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 We use the Monte Carlo simulation model to determine the grant date fair value of PSUs. The Monte Carlo simulation model incorporates assumptions such as the volatility of our stock, the volatility of the stock of other peer companies within the index, and the correlation of both our stock and our peer companies’ stock to the index.</w:t>
      </w:r>
    </w:p>
    <w:p>
      <w:pPr>
        <w:spacing w:after="0" w:line="10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 The fair value of an RSU is equal to the closing price of our common stock on the grant date.</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180" w:firstLine="644"/>
        <w:spacing w:after="0" w:line="256" w:lineRule="auto"/>
        <w:rPr>
          <w:sz w:val="20"/>
          <w:szCs w:val="20"/>
          <w:color w:val="auto"/>
        </w:rPr>
      </w:pPr>
      <w:r>
        <w:rPr>
          <w:rFonts w:ascii="Times New Roman" w:cs="Times New Roman" w:eastAsia="Times New Roman" w:hAnsi="Times New Roman"/>
          <w:sz w:val="18"/>
          <w:szCs w:val="18"/>
          <w:color w:val="auto"/>
        </w:rPr>
        <w:t>We account for income taxes under the liability method. Under this method, we determine deferred tax assets and liabilities based on differences between the financial reporting and tax reporting bases of assets and liabilities, measured using enacted tax rates and laws that we expect to be in effect when we expect the differences to reverse. Realization of deferred tax assets is dependent upon future earnings, the timing and amount of which are uncertain. We record a valuation allowance against deferred tax assets to reduce their carrying value to an amount that is more likely than not to be realized. When we establish or reduce the valuation allowance related to the deferred tax assets, our provision for income taxes will increase or decrease, respectively, in the period we make such determination.</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0" w:firstLine="644"/>
        <w:spacing w:after="0" w:line="261" w:lineRule="auto"/>
        <w:rPr>
          <w:sz w:val="20"/>
          <w:szCs w:val="20"/>
          <w:color w:val="auto"/>
        </w:rPr>
      </w:pPr>
      <w:r>
        <w:rPr>
          <w:rFonts w:ascii="Times New Roman" w:cs="Times New Roman" w:eastAsia="Times New Roman" w:hAnsi="Times New Roman"/>
          <w:sz w:val="18"/>
          <w:szCs w:val="18"/>
          <w:color w:val="auto"/>
        </w:rPr>
        <w:t>We utilize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of benefit, determined on a cumulative probability basis, that is more than 50% likely of being realized upon ultimate settlement.</w:t>
      </w:r>
    </w:p>
    <w:p>
      <w:pPr>
        <w:spacing w:after="0" w:line="153" w:lineRule="exact"/>
        <w:rPr>
          <w:sz w:val="20"/>
          <w:szCs w:val="20"/>
          <w:color w:val="auto"/>
        </w:rPr>
      </w:pPr>
    </w:p>
    <w:p>
      <w:pPr>
        <w:jc w:val="both"/>
        <w:ind w:right="360" w:firstLine="64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our income tax benefit was immaterial. As a result of the 2022 Restructuring Plan and our intent to wind down our foreign subsidiaries, during 2022, we recorded a provision for the repatriation of accumulated earnings and profits from India.</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9" w:lineRule="exact"/>
        <w:rPr>
          <w:sz w:val="20"/>
          <w:szCs w:val="20"/>
          <w:color w:val="auto"/>
        </w:rPr>
      </w:pPr>
    </w:p>
    <w:p>
      <w:pPr>
        <w:ind w:firstLine="644"/>
        <w:spacing w:after="0" w:line="273" w:lineRule="auto"/>
        <w:rPr>
          <w:sz w:val="20"/>
          <w:szCs w:val="20"/>
          <w:color w:val="auto"/>
        </w:rPr>
      </w:pPr>
      <w:r>
        <w:rPr>
          <w:rFonts w:ascii="Times New Roman" w:cs="Times New Roman" w:eastAsia="Times New Roman" w:hAnsi="Times New Roman"/>
          <w:sz w:val="17"/>
          <w:szCs w:val="17"/>
          <w:color w:val="auto"/>
        </w:rPr>
        <w:t>For all periods presented in the Consolidated Statements of Operations, the net loss available to common stockholders is equal to the reported net loss. We calculate basic net loss per share based on the weighted-average number of common shares outstanding, including the pre-funded warrant, during the periods presented. Shares of common stock into which the pre-funded warrant may be exercised are considered outstanding for the purposes of computing basic net loss per share because the shares may be issued for little or no consideration, are fully vested and are exercisable after the original issuance date. For the years ended December 31, 2024 and 2023, basic and diluted net loss per share are the same due to our net losses and the requirement to exclude potentially dilutive securities which would have an antidilutive effect on net loss per share. We excluded shares underlying the weighted average outstanding stock options, RSUs and PSUs, which totaled 26.8 million and 20.4 million for the years ended December 31, 2024 and 2023, respectively.</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89" w:lineRule="exact"/>
        <w:rPr>
          <w:sz w:val="20"/>
          <w:szCs w:val="20"/>
          <w:color w:val="auto"/>
        </w:rPr>
      </w:pPr>
    </w:p>
    <w:p>
      <w:pPr>
        <w:jc w:val="both"/>
        <w:ind w:right="280" w:firstLine="644"/>
        <w:spacing w:after="0" w:line="266" w:lineRule="auto"/>
        <w:rPr>
          <w:sz w:val="20"/>
          <w:szCs w:val="20"/>
          <w:color w:val="auto"/>
        </w:rPr>
      </w:pPr>
      <w:r>
        <w:rPr>
          <w:rFonts w:ascii="Times New Roman" w:cs="Times New Roman" w:eastAsia="Times New Roman" w:hAnsi="Times New Roman"/>
          <w:sz w:val="18"/>
          <w:szCs w:val="18"/>
          <w:color w:val="auto"/>
        </w:rPr>
        <w:t>Comprehensive loss is the change in stockholders’ equity from transactions and other events and circumstances other than those resulting from investments by stockholders and distributions to stockholders. Our comprehensive loss includes our net loss, gains and losses from the foreign currency translation of the assets and liabilities of our foreign subsidiaries, and unrealized gains and losses on investments in available-for-sale securities.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ind w:right="120" w:firstLine="64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requires disclosure of incremental segment information on an annual and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for all public entities. The amendments do not change how a public entity identifies its operating segments, aggregates those operating segments, or applies the quantitative thresholds to determine its reportable segments. ASU 2023-07 is effective for annual reporting beginning with the fiscal year ending December 31, 2024, and for interim periods thereafter. We adopted the fiscal year standard for the period beginning January 1, 2024 on a retrospective basis which resulted in updated segment disclosures. For more information on the updated segment disclosures, refer to Note 15.</w:t>
      </w:r>
    </w:p>
    <w:p>
      <w:pPr>
        <w:spacing w:after="0" w:line="142" w:lineRule="exact"/>
        <w:rPr>
          <w:sz w:val="20"/>
          <w:szCs w:val="20"/>
          <w:color w:val="auto"/>
        </w:rPr>
      </w:pPr>
    </w:p>
    <w:p>
      <w:pPr>
        <w:ind w:right="20" w:firstLine="64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will require incremental income tax disclosures on an annual basis for all public entities.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disclosure of income tax expense disaggregated by federal, state, and foreign. ASU 2023-09 is effective for annual reporting beginning with the fiscal year ending December 31, 2025. We are currently evaluating the incremental disclosures that will be required in our consolidated financial statements.</w:t>
      </w:r>
    </w:p>
    <w:p>
      <w:pPr>
        <w:spacing w:after="0" w:line="142" w:lineRule="exact"/>
        <w:rPr>
          <w:sz w:val="20"/>
          <w:szCs w:val="20"/>
          <w:color w:val="auto"/>
        </w:rPr>
      </w:pPr>
    </w:p>
    <w:p>
      <w:pPr>
        <w:ind w:right="60" w:firstLine="64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an accounting standard update that requires the Company to disclose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information about the types of expenses (including employee compensation, depreciation, and amortization) included in each relevant income statement expense caption. The ASU is effective for fiscal years beginning after December 15, 2026, and interim reporting periods beginning after December 15, 2027. Early adoption is permitted. We are currently evaluating the incremental disclosures that will be required in our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Investments in Marketable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investments in marketable securities, including cash equivalents,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Estimated Fair Value at</w:t>
            </w:r>
          </w:p>
        </w:tc>
        <w:tc>
          <w:tcPr>
            <w:tcW w:w="100" w:type="dxa"/>
            <w:vAlign w:val="bottom"/>
          </w:tcPr>
          <w:p>
            <w:pPr>
              <w:spacing w:after="0"/>
              <w:rPr>
                <w:sz w:val="15"/>
                <w:szCs w:val="15"/>
                <w:color w:val="auto"/>
              </w:rPr>
            </w:pPr>
          </w:p>
        </w:tc>
      </w:tr>
      <w:tr>
        <w:trPr>
          <w:trHeight w:val="227"/>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44,252</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investments in marketable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269,095</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329,441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We invest in liquid, high quality debt securities. Our investments in debt securities are subject to interest rate risk. To minimize the exposure due to an adverse shift in interest rates, we invest in securities with maturities of two years or less and maintain a weighted average maturity of one year or less. All of our long-term investments as of December 31, 2024 had maturities between one and two years. We currently do not intend to sell these securities prior to maturity and it is more likely than not that we will not be required to sell these securities before we recover the amortized cost basis.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2024 and 2023, we did not sell any available-for-sale securities.</w:t>
      </w:r>
    </w:p>
    <w:p>
      <w:pPr>
        <w:spacing w:after="0" w:line="185" w:lineRule="exact"/>
        <w:rPr>
          <w:sz w:val="20"/>
          <w:szCs w:val="20"/>
          <w:color w:val="auto"/>
        </w:rPr>
      </w:pPr>
    </w:p>
    <w:p>
      <w:pPr>
        <w:ind w:right="960" w:firstLine="644"/>
        <w:spacing w:after="0" w:line="282" w:lineRule="auto"/>
        <w:rPr>
          <w:sz w:val="20"/>
          <w:szCs w:val="20"/>
          <w:color w:val="auto"/>
        </w:rPr>
      </w:pPr>
      <w:r>
        <w:rPr>
          <w:rFonts w:ascii="Times New Roman" w:cs="Times New Roman" w:eastAsia="Times New Roman" w:hAnsi="Times New Roman"/>
          <w:sz w:val="18"/>
          <w:szCs w:val="18"/>
          <w:color w:val="auto"/>
        </w:rPr>
        <w:t>We report our accrued interest receivable, which totaled $1.1 million and $0.5 million at December 31, 2024 and December 31, 2023, respectively, in other current assets on our Consolidated Balance Sheets.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portfolio of cash and investments in marketable securities includes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40" w:type="dxa"/>
            <w:vAlign w:val="bottom"/>
            <w:gridSpan w:val="5"/>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4"/>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notes and bonds</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4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109,678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109,711</w:t>
            </w:r>
          </w:p>
        </w:tc>
        <w:tc>
          <w:tcPr>
            <w:tcW w:w="4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229,218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(123 )</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229,253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Total cash and investments in marketable</w:t>
            </w: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gridSpan w:val="2"/>
            <w:vMerge w:val="restart"/>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269,095</w:t>
            </w:r>
          </w:p>
        </w:tc>
        <w:tc>
          <w:tcPr>
            <w:tcW w:w="220" w:type="dxa"/>
            <w:vAlign w:val="bottom"/>
            <w:vMerge w:val="restart"/>
            <w:shd w:val="clear" w:color="auto" w:fill="CFF0FC"/>
          </w:tcPr>
          <w:p>
            <w:pPr>
              <w:spacing w:after="0"/>
              <w:rPr>
                <w:sz w:val="16"/>
                <w:szCs w:val="16"/>
                <w:color w:val="auto"/>
              </w:rPr>
            </w:pPr>
          </w:p>
        </w:tc>
        <w:tc>
          <w:tcPr>
            <w:tcW w:w="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329,441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tcBorders>
              <w:bottom w:val="single" w:sz="8" w:color="CFF0FC"/>
            </w:tcBorders>
            <w:shd w:val="clear" w:color="auto" w:fill="CFF0FC"/>
          </w:tcPr>
          <w:p>
            <w:pPr>
              <w:ind w:left="200"/>
              <w:spacing w:after="0" w:line="194" w:lineRule="exact"/>
              <w:rPr>
                <w:sz w:val="20"/>
                <w:szCs w:val="20"/>
                <w:color w:val="auto"/>
              </w:rPr>
            </w:pPr>
            <w:r>
              <w:rPr>
                <w:rFonts w:ascii="Times New Roman" w:cs="Times New Roman" w:eastAsia="Times New Roman" w:hAnsi="Times New Roman"/>
                <w:sz w:val="18"/>
                <w:szCs w:val="18"/>
                <w:color w:val="auto"/>
              </w:rPr>
              <w:t>securities</w:t>
            </w:r>
          </w:p>
        </w:tc>
        <w:tc>
          <w:tcPr>
            <w:tcW w:w="9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gridSpan w:val="2"/>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200" w:type="dxa"/>
            <w:vAlign w:val="bottom"/>
            <w:tcBorders>
              <w:bottom w:val="single" w:sz="8" w:color="auto"/>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At December 31, 2023, our gross unrealized gains and losses were insignificant. As of December 31, 2024 and 2023, we assessed our marketable securities with unrealized losses and concluded that the losses were not attributable to credit. As of December 31, 2024, we had 39 investments in unrealized loss positions and no investments had been in continuous unrealized loss positions for 12 months or longer. Accordingly, we have not recorded an allowance for credit losses for these securities.</w:t>
      </w:r>
    </w:p>
    <w:p>
      <w:pPr>
        <w:spacing w:after="0" w:line="139"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At both December 31, 2024 and 2023, we had letter of credit arrangements in favor of our landlords and certain vendors totaling $7.5 million and $7.5 million, respectively. These letters of credit are secured by investments of similar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Consolidated Financial Statement Details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680" w:type="dxa"/>
            <w:vAlign w:val="bottom"/>
          </w:tcPr>
          <w:p>
            <w:pPr>
              <w:spacing w:after="0"/>
              <w:rPr>
                <w:sz w:val="12"/>
                <w:szCs w:val="12"/>
                <w:color w:val="auto"/>
              </w:rPr>
            </w:pPr>
          </w:p>
        </w:tc>
        <w:tc>
          <w:tcPr>
            <w:tcW w:w="112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12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12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12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2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644"/>
        <w:spacing w:after="0" w:line="238" w:lineRule="auto"/>
        <w:rPr>
          <w:sz w:val="20"/>
          <w:szCs w:val="20"/>
          <w:color w:val="auto"/>
        </w:rPr>
      </w:pPr>
      <w:r>
        <w:rPr>
          <w:rFonts w:ascii="Times New Roman" w:cs="Times New Roman" w:eastAsia="Times New Roman" w:hAnsi="Times New Roman"/>
          <w:sz w:val="18"/>
          <w:szCs w:val="18"/>
          <w:color w:val="auto"/>
        </w:rPr>
        <w:t>For the year ended December 31, 2023, we recorded a provision of $2.0 million for the net realizable value of our batches as an increase to cost of goods sold. Our manufacturing agreement with UCB Pharma (UCB) for the reagent used in the manufacture of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provided for a fixed selling price which we had negotiated in exchange for a higher royalty rate. Accordingly, when evaluating the net realizable value of our inventory for UCB, we included the negotiated increase of the royalties in our analysis, and the aggregate revenue has historically been greater than our manufacturing cost. Due to the decreases in the royalty rates for 2024 as a result of a settlement agreement with UCB, the aggregate revenue was expected to be less than our manufacturing cost for these years, and therefore we previously recorded a provision for net realizable value. As further disclosed in Note 9, on July 31, 2024, we entered into a long-term supply agreement with UCB that increases the selling price of the reagent used in the manufacture of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resulted in the aggregate revenue exceeding our manufacturing costs. As a result, we reduced the provision to $0 during the three months ended September 30, 2024. See Note 9 for additional information on the settlement agreement with UCB.</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2, 2024, we sold all of our inventory to Gannet BioChem.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current assets consists of the following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0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non-trade receivables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020" w:type="dxa"/>
            <w:vAlign w:val="bottom"/>
            <w:tcBorders>
              <w:bottom w:val="single" w:sz="8" w:color="auto"/>
            </w:tcBorders>
            <w:gridSpan w:val="2"/>
          </w:tcPr>
          <w:p>
            <w:pPr>
              <w:jc w:val="right"/>
              <w:ind w:right="84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Property, plant and equipment consists of the following (in thousands):</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10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3,881</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14,616</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Depreciable property, plant and equipment at cost</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19,076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(15,910 )</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(86,898 )</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Depreciable property, plant and equipment, net</w:t>
            </w:r>
          </w:p>
        </w:tc>
        <w:tc>
          <w:tcPr>
            <w:tcW w:w="6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3,166</w:t>
            </w:r>
          </w:p>
        </w:tc>
        <w:tc>
          <w:tcPr>
            <w:tcW w:w="22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3,411</w:t>
            </w:r>
          </w:p>
        </w:tc>
        <w:tc>
          <w:tcPr>
            <w:tcW w:w="2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-2399665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-736600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-453390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Laboratory and manufacturing equipment, including construction-in-process, include assets that support both our manufacturing and research and development activities.</w:t>
      </w:r>
    </w:p>
    <w:p>
      <w:pPr>
        <w:spacing w:after="0" w:line="162"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On December 2, 2024, we sold the Facility, including buildings and the Facility’s associated manufacturing equipment, laboratory equipment and computer equipment and software, to Gannet BioChem.</w:t>
      </w:r>
    </w:p>
    <w:p>
      <w:pPr>
        <w:spacing w:after="0" w:line="121"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Due to the weakening lease markets, during the years ended December 31, 2024 and 2023, we have recorded non-cash impairment charges on our lease-related property, plant and equipment, primarily for our leasehold improvements, including $1.0 million during the three months ended June 30, 2024, which we report in restructuring and impairment in our Consolidated Statement of Operations. See Note 10 for additional information.</w:t>
      </w:r>
    </w:p>
    <w:p>
      <w:pPr>
        <w:spacing w:after="0" w:line="135"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plant and equipment for the years ended December 31, 2024 and 2023 totaled $4.1 million and $7.0 million, respectively.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reconciliation of the change in our goodwill for the year ended December 31, 2023 (in thousands):</w:t>
      </w:r>
    </w:p>
    <w:tbl>
      <w:tblPr>
        <w:tblLayout w:type="fixed"/>
        <w:tblInd w:w="0" w:type="dxa"/>
        <w:tblCellMar>
          <w:top w:w="0" w:type="dxa"/>
          <w:left w:w="0" w:type="dxa"/>
          <w:bottom w:w="0" w:type="dxa"/>
          <w:right w:w="0" w:type="dxa"/>
        </w:tblCellMar>
      </w:tblPr>
      <w:tr>
        <w:trPr>
          <w:trHeight w:val="151"/>
        </w:trPr>
        <w:tc>
          <w:tcPr>
            <w:tcW w:w="9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2"/>
          </w:tcPr>
          <w:p>
            <w:pPr>
              <w:jc w:val="right"/>
              <w:ind w:right="700"/>
              <w:spacing w:after="0" w:line="151"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9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 beginning balance</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76,501</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24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(76,501 )</w:t>
            </w: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 ending balance</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As a result of the decrease in the fair value of our single reporting unit during the three months ended March 31, 2023, we recorded a non-cash goodwill impairment charge of $76.5 million, which we report as impairment of goodwill in our Consolidated Statement of Operations. We had previously recognized goodwill primarily from our acquisitions of Shearwater Corp. and Aerogen, Inc. in 2001 and 2005, respectively. See Note 11 for additional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7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7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contract termination costs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 by component (in thousands):</w:t>
      </w:r>
    </w:p>
    <w:tbl>
      <w:tblPr>
        <w:tblLayout w:type="fixed"/>
        <w:tblInd w:w="0" w:type="dxa"/>
        <w:tblCellMar>
          <w:top w:w="0" w:type="dxa"/>
          <w:left w:w="0" w:type="dxa"/>
          <w:bottom w:w="0" w:type="dxa"/>
          <w:right w:w="0" w:type="dxa"/>
        </w:tblCellMar>
      </w:tblPr>
      <w:tr>
        <w:trPr>
          <w:trHeight w:val="151"/>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5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4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(5,131 )</w:t>
            </w: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(1,776 )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(6,907 )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adjustments to income</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reclassification from accumulated other comprehensive loss relates to the closure of the operations of our foreign subsidiaries and has been included within other income (expense), net in our Consolidated Statement of Operations for the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Operating Leases</w:t>
      </w:r>
    </w:p>
    <w:p>
      <w:pPr>
        <w:spacing w:after="0" w:line="189"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Our leases consist of a Lease Agreement (the Mission Bay Lease) with ARE-San Francisco No. 19, LLC (ARE) for our 155,215 square foot corporate office and R&amp;D facility located at 455 Mission Bay Boulevard South, San Francisco, California (the Mission Bay Facility) and a Lease Agreement (the Third Street Lease) with Kilroy Realty Finance Partnership, L.P. (Kilroy) for an additional 135,936 square foot of office space at 360 Third Street, San Francisco, California (the Third Street Facility). Both leases terminate on January 31, 2030, subject to two consecutive five year renewal options for the Mission Bay Facility and one five year renewal option for the Third Street Facility. Other key terms include the following:</w:t>
      </w:r>
    </w:p>
    <w:p>
      <w:pPr>
        <w:spacing w:after="0" w:line="183" w:lineRule="exact"/>
        <w:rPr>
          <w:sz w:val="20"/>
          <w:szCs w:val="20"/>
          <w:color w:val="auto"/>
        </w:rPr>
      </w:pPr>
    </w:p>
    <w:p>
      <w:pPr>
        <w:ind w:left="1300" w:hanging="64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base rent for both facilities will escalate over the term of the lease at various intervals.</w:t>
      </w:r>
    </w:p>
    <w:p>
      <w:pPr>
        <w:spacing w:after="0" w:line="157" w:lineRule="exact"/>
        <w:rPr>
          <w:rFonts w:ascii="Times New Roman" w:cs="Times New Roman" w:eastAsia="Times New Roman" w:hAnsi="Times New Roman"/>
          <w:sz w:val="18"/>
          <w:szCs w:val="18"/>
          <w:color w:val="auto"/>
        </w:rPr>
      </w:pPr>
    </w:p>
    <w:p>
      <w:pPr>
        <w:ind w:left="1300" w:right="100" w:hanging="648"/>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leases include various covenants, indemnities, defaults, termination rights, letters of credit and other provisions customary for lease transactions of this nature.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00" w:right="60" w:hanging="648"/>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the Mission Bay Lease, we are responsible for paying our share of operating expenses specified in the lease, including utilities, common area maintenance, insurance costs and taxes.</w:t>
      </w:r>
    </w:p>
    <w:p>
      <w:pPr>
        <w:spacing w:after="0" w:line="107" w:lineRule="exact"/>
        <w:rPr>
          <w:rFonts w:ascii="Times New Roman" w:cs="Times New Roman" w:eastAsia="Times New Roman" w:hAnsi="Times New Roman"/>
          <w:sz w:val="18"/>
          <w:szCs w:val="18"/>
          <w:color w:val="auto"/>
        </w:rPr>
      </w:pPr>
    </w:p>
    <w:p>
      <w:pPr>
        <w:ind w:left="1300" w:right="100" w:hanging="648"/>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Third Street Lease, our fixed annual base rent on an industrial gross lease basis includes certain expenses and property taxes paid directly by the landlord.</w:t>
      </w:r>
    </w:p>
    <w:p>
      <w:pPr>
        <w:spacing w:after="0" w:line="121" w:lineRule="exact"/>
        <w:rPr>
          <w:sz w:val="20"/>
          <w:szCs w:val="20"/>
          <w:color w:val="auto"/>
        </w:rPr>
      </w:pPr>
    </w:p>
    <w:p>
      <w:pPr>
        <w:ind w:right="400" w:firstLine="644"/>
        <w:spacing w:after="0" w:line="266" w:lineRule="auto"/>
        <w:rPr>
          <w:sz w:val="20"/>
          <w:szCs w:val="20"/>
          <w:color w:val="auto"/>
        </w:rPr>
      </w:pPr>
      <w:r>
        <w:rPr>
          <w:rFonts w:ascii="Times New Roman" w:cs="Times New Roman" w:eastAsia="Times New Roman" w:hAnsi="Times New Roman"/>
          <w:sz w:val="18"/>
          <w:szCs w:val="18"/>
          <w:color w:val="auto"/>
        </w:rPr>
        <w:t>Due to our 2022 and 2023 Restructuring Plans, during the years ended December 31, 2024, and December 31, 2023, we recorded impairment charges of $7.3 million and $30.6 million, respectively, for our right-of-use assets which we are seeking to sublease. See Note 10 for additional information.</w:t>
      </w:r>
    </w:p>
    <w:p>
      <w:pPr>
        <w:spacing w:after="0" w:line="135"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We generally recognize lease expense for our operating leases on a straight-line basis over the lease term. For spaces where we have recognized an impairment charge, the aggregate lease expense recognized over the remaining term is reduced by the amount of the impairment charge, but we recognize the remaining lease expense on an accelerated basis. The components of lease expense, which we include in operating expenses in our Consolidated Statements of Operations,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6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98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tcPr>
          <w:p>
            <w:pPr>
              <w:spacing w:after="0"/>
              <w:rPr>
                <w:sz w:val="18"/>
                <w:szCs w:val="18"/>
                <w:color w:val="auto"/>
              </w:rPr>
            </w:pPr>
          </w:p>
        </w:tc>
      </w:tr>
      <w:tr>
        <w:trPr>
          <w:trHeight w:val="249"/>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3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we paid $21.6 million and $21.0 million, respectively, of operating lease payments related to our lease liabilities, which we include in net cash used in operating activities in our 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 of December 31, 2024, the maturities of our operating lease liabilities were as follows (in thousands):</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20,450</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22,958</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23,682</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24,427</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120" w:type="dxa"/>
            <w:vAlign w:val="bottom"/>
          </w:tcPr>
          <w:p>
            <w:pPr>
              <w:spacing w:after="0"/>
              <w:rPr>
                <w:sz w:val="18"/>
                <w:szCs w:val="18"/>
                <w:color w:val="auto"/>
              </w:rPr>
            </w:pPr>
          </w:p>
        </w:tc>
      </w:tr>
      <w:tr>
        <w:trPr>
          <w:trHeight w:val="216"/>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2030 and thereafter</w:t>
            </w:r>
          </w:p>
        </w:tc>
        <w:tc>
          <w:tcPr>
            <w:tcW w:w="7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118,820</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portion representing interest</w:t>
            </w:r>
          </w:p>
        </w:tc>
        <w:tc>
          <w:tcPr>
            <w:tcW w:w="7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(16,256 )</w:t>
            </w:r>
          </w:p>
        </w:tc>
      </w:tr>
      <w:tr>
        <w:trPr>
          <w:trHeight w:val="210"/>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102,564</w:t>
            </w:r>
          </w:p>
        </w:tc>
        <w:tc>
          <w:tcPr>
            <w:tcW w:w="120" w:type="dxa"/>
            <w:vAlign w:val="bottom"/>
            <w:tcBorders>
              <w:top w:val="single" w:sz="8" w:color="CFF0FC"/>
            </w:tcBorders>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current portion</w:t>
            </w:r>
          </w:p>
        </w:tc>
        <w:tc>
          <w:tcPr>
            <w:tcW w:w="7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(19,868 )</w:t>
            </w:r>
          </w:p>
        </w:tc>
      </w:tr>
      <w:tr>
        <w:trPr>
          <w:trHeight w:val="210"/>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82,696</w:t>
            </w:r>
          </w:p>
        </w:tc>
        <w:tc>
          <w:tcPr>
            <w:tcW w:w="12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weighted-average remaining lease term is 5.1 years and the weighted-average discount rate was 5.8%.</w:t>
      </w:r>
    </w:p>
    <w:p>
      <w:pPr>
        <w:spacing w:after="0" w:line="185"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We have entered into subleases for approximately 29,000 square feet of space in our Mission Bay Facility that provide for fixed lease payments, as well as full recovery of the subtenants’ share of operating expenses under our master lease agreement, subject to certain free rent periods. We record the total sublease income as a reduction of general and administrative expense, which totaled $3.2 million and $2.2 million for the years ended December 31, 2024 and December 31, 2023, respectively.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maturities of our operating lease receivables from subleases for each of the next five years and thereafter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2029</w:t>
            </w: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2030 and thereafter</w:t>
            </w:r>
          </w:p>
        </w:tc>
        <w:tc>
          <w:tcPr>
            <w:tcW w:w="8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Gross Lease Receivable</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12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Liabilities Related to the Sales of Future Royalties</w:t>
      </w:r>
    </w:p>
    <w:p>
      <w:pPr>
        <w:spacing w:after="0" w:line="189" w:lineRule="exact"/>
        <w:rPr>
          <w:sz w:val="20"/>
          <w:szCs w:val="20"/>
          <w:color w:val="auto"/>
        </w:rPr>
      </w:pPr>
    </w:p>
    <w:p>
      <w:pPr>
        <w:ind w:right="40" w:firstLine="644"/>
        <w:spacing w:after="0" w:line="234" w:lineRule="auto"/>
        <w:rPr>
          <w:sz w:val="20"/>
          <w:szCs w:val="20"/>
          <w:color w:val="auto"/>
        </w:rPr>
      </w:pPr>
      <w:r>
        <w:rPr>
          <w:rFonts w:ascii="Times New Roman" w:cs="Times New Roman" w:eastAsia="Times New Roman" w:hAnsi="Times New Roman"/>
          <w:sz w:val="18"/>
          <w:szCs w:val="18"/>
          <w:color w:val="auto"/>
        </w:rPr>
        <w:t>On February 24, 2012, we entered into a purchase and sale agreement (the 2012 Purchase and Sale Agreement) with RPI Finance Trust (RPI), an affiliate of Royalty Pharma, pursuant to which we sold, and RPI purchased, our right to receive royalty payments (the 2012 Transaction Royalties) arising from the worldwide net sales, from and after January 1, 2012, of (a)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under our license, manufacturing and supply agreement with UCB, and (b)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under our license, manufacturing and supply agreement with F. Hoffmann-La Roche Ltd and Hoffmann-La Roche Inc. (together referred to as Roche). We received aggregate cash proceeds of $124.0 million for the 2012 Transaction Royalties. Although we sold all of our rights to receive royalties from the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 as a result of our ongoing manufacturing and supply obligations related to the generation of these royalties, we continue to account for these royalties as revenue. We recorded the $124.0 million in proceeds from this transaction as a liability (the 2012 Royalty Obligation) that is amortized using the effective interest method over the estimated life of the 2012 Purchase and Sale Agreement as royalties from the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 are remitted directly to RPI.</w:t>
      </w:r>
    </w:p>
    <w:p>
      <w:pPr>
        <w:spacing w:after="0" w:line="95" w:lineRule="exact"/>
        <w:rPr>
          <w:sz w:val="20"/>
          <w:szCs w:val="20"/>
          <w:color w:val="auto"/>
        </w:rPr>
      </w:pPr>
    </w:p>
    <w:p>
      <w:pPr>
        <w:ind w:right="100" w:firstLine="644"/>
        <w:spacing w:after="0" w:line="234" w:lineRule="auto"/>
        <w:rPr>
          <w:sz w:val="20"/>
          <w:szCs w:val="20"/>
          <w:color w:val="auto"/>
        </w:rPr>
      </w:pPr>
      <w:r>
        <w:rPr>
          <w:rFonts w:ascii="Times New Roman" w:cs="Times New Roman" w:eastAsia="Times New Roman" w:hAnsi="Times New Roman"/>
          <w:sz w:val="18"/>
          <w:szCs w:val="18"/>
          <w:color w:val="auto"/>
        </w:rPr>
        <w:t>We were required to pay RPI an aggregate $10.0 million as a result of worldwide net sales of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during the years 2013 and 2012 not reaching certain minimum thresholds. The 2012 Purchase and Sale Agreement does not include any other potential payments related to minimum net sales thresholds.</w:t>
      </w:r>
    </w:p>
    <w:p>
      <w:pPr>
        <w:spacing w:after="0" w:line="171"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On June 5, 2020, UCB served notice of a Declaratory Judgment of Patent Invalidity, filed in the United States District Court for the District of Delaware, seeking a declaration of invalidity of certain of our patents that we had licensed to UCB and pursued similar actions in other jurisdictions. On October 14, 2021, RPI and we entered into a Letter Agreement which permitted us to enter into a Settlement Agreement, effective October 13, 2021, with UCB to effect the negotiation between RPI and UCB in which UCB and RPI agreed to a reduction in the royalty term and annual decreases in the royalty rate over the remaining royalty term in exchange for UCB’s withdrawal of all of UCB’s litigation and challenges.</w:t>
      </w:r>
    </w:p>
    <w:p>
      <w:pPr>
        <w:spacing w:after="0" w:line="143"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We concluded that we should account for the decrease in royalty payments to RPI as a result of these agreements as a modification of our liability. Due to the significance of the change in the estimated royalty payments, we concluded that we should treat the modification as an extinguishment of the prior liability and recognize a new liability based on the revised royalty payments and term, discounted to fair value. Accordingly, we estimated the fair value to be approximately $84.7 million. As a result, we recognized a non-cash loss of $23.5 million on the revaluation of the prior liability in the three months ended December 31, 2021, and we wrote off the remaining $0.9 million of unamortized transaction costs.</w:t>
      </w:r>
    </w:p>
    <w:p>
      <w:pPr>
        <w:spacing w:after="0" w:line="143" w:lineRule="exact"/>
        <w:rPr>
          <w:sz w:val="20"/>
          <w:szCs w:val="20"/>
          <w:color w:val="auto"/>
        </w:rPr>
      </w:pPr>
    </w:p>
    <w:p>
      <w:pPr>
        <w:ind w:right="40" w:firstLine="644"/>
        <w:spacing w:after="0" w:line="237" w:lineRule="auto"/>
        <w:rPr>
          <w:sz w:val="20"/>
          <w:szCs w:val="20"/>
          <w:color w:val="auto"/>
        </w:rPr>
      </w:pPr>
      <w:r>
        <w:rPr>
          <w:rFonts w:ascii="Times New Roman" w:cs="Times New Roman" w:eastAsia="Times New Roman" w:hAnsi="Times New Roman"/>
          <w:sz w:val="18"/>
          <w:szCs w:val="18"/>
          <w:color w:val="auto"/>
        </w:rPr>
        <w:t>On December 16, 2020, we entered into a purchase and sale agreement (the 2020 Purchase and Sale Agreement) with entities managed by Healthcare Royalty Management, LLC (collectively, HCR). Pursuant to the 2020 Purchase and Sale Agreement, we agreed to sell to HCR certain of our rights to receive royalty payments (the 2020 Transaction Royalties) arising from the worldwide net sales, from and after October 1, 2020 until such time that certain return thresholds are met as described below, of (a) 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that certain License Agreement, dated September 20, 2009, by and between Nektar and AstraZeneca AB, as amended, (b) 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that certain Exclusive Research, Development, License and Manufacturing and Supply Agreement, dated September 26, 2005, by and among Nektar, Baxalta US Inc. and Baxalta GmbH, as amended, (c) REBINYN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that certain Settlement and License Agreement, dated December 21, 2016, by and among Nektar, Novo Nordisk Inc., Novo Nordisk A/S and Novo Nordisk A/G and (d) licensed products under that certain Right to Sublicense Agreement, dated October 27, 2017, by and among Nektar, Baxalta Incorporated, Baxalta US Inc. and Baxalta GmbH. Although we sold all of our rights to receive royalties from these products up to the cap, as a result of the limits on the 2020 Transaction Royalties to be received by HCR and our ongoing manufacturing and supply obligations related to the generation of these royalties, we account for the transaction as debt and recognize these non-cash royalties as revenue. We recorded the $150.0 million in proceeds from this transaction as a liability (the 2020 Royalty Obligation) that will be amortized using the effective interest method over the estimated life of the 2020 Purchase and Sale Agreement. As of December 31, 2024, our prospective effective interest rate used to amortize the liability is 20%.</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The 2020 Purchase and Sale Agreement was to automatically expire, and the payment of the 2020 Transaction Royalties to HCR would cease, when HCR received payments of the 2020 Transaction Royalties equal to $210.0 million (the 2025 Threshold), if the 2025 Threshold were achieved on or prior to December 31, 2025, or $240.0 million, if the 2025 Threshold was not achieved on or prior to December 31, 2025 (or, if earlier, the date on which the last royalty payment under the relevant license agreements is made). On March 4, 2024, Nektar and HCR amended the original 2020 Purchase and Sale Agreement (the Amendment), pursuant to which the parties agreed to remove our reversionary rights in the royalties in exchange for a $15.0 million payment from HCR. Accordingly, HCR will receive all future royalties of the products, and none of these royalties will return to Nektar. We accounted for the Amendment as a modification of the existing arrangement, and therefore recorded the $15.0 million proceeds as an increase to the liability.</w:t>
      </w:r>
    </w:p>
    <w:p>
      <w:pPr>
        <w:spacing w:after="0" w:line="162" w:lineRule="exact"/>
        <w:rPr>
          <w:sz w:val="20"/>
          <w:szCs w:val="20"/>
          <w:color w:val="auto"/>
        </w:rPr>
      </w:pPr>
    </w:p>
    <w:p>
      <w:pPr>
        <w:ind w:right="820" w:firstLine="644"/>
        <w:spacing w:after="0" w:line="282" w:lineRule="auto"/>
        <w:rPr>
          <w:sz w:val="20"/>
          <w:szCs w:val="20"/>
          <w:color w:val="auto"/>
        </w:rPr>
      </w:pPr>
      <w:r>
        <w:rPr>
          <w:rFonts w:ascii="Times New Roman" w:cs="Times New Roman" w:eastAsia="Times New Roman" w:hAnsi="Times New Roman"/>
          <w:sz w:val="18"/>
          <w:szCs w:val="18"/>
          <w:color w:val="auto"/>
        </w:rPr>
        <w:t>The sale of the Facility did not alter the 2012 or the 2020 Purchase and Sale Agreements, nor royalties payable under the related license agreements.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of each arrangement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Year-Ended December 31, 2024</w:t>
            </w:r>
          </w:p>
        </w:tc>
        <w:tc>
          <w:tcPr>
            <w:tcW w:w="140" w:type="dxa"/>
            <w:vAlign w:val="bottom"/>
          </w:tcPr>
          <w:p>
            <w:pPr>
              <w:spacing w:after="0"/>
              <w:rPr>
                <w:sz w:val="15"/>
                <w:szCs w:val="15"/>
                <w:color w:val="auto"/>
              </w:rPr>
            </w:pPr>
          </w:p>
        </w:tc>
        <w:tc>
          <w:tcPr>
            <w:tcW w:w="344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 from inception to December 31, 2024</w:t>
            </w:r>
          </w:p>
        </w:tc>
        <w:tc>
          <w:tcPr>
            <w:tcW w:w="0" w:type="dxa"/>
            <w:vAlign w:val="bottom"/>
          </w:tcPr>
          <w:p>
            <w:pPr>
              <w:spacing w:after="0"/>
              <w:rPr>
                <w:sz w:val="1"/>
                <w:szCs w:val="1"/>
                <w:color w:val="auto"/>
              </w:rPr>
            </w:pPr>
          </w:p>
        </w:tc>
      </w:tr>
      <w:tr>
        <w:trPr>
          <w:trHeight w:val="117"/>
        </w:trPr>
        <w:tc>
          <w:tcPr>
            <w:tcW w:w="4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2012</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2012</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Sale</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Sale</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 Sale</w:t>
            </w: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Sale</w:t>
            </w:r>
          </w:p>
        </w:tc>
        <w:tc>
          <w:tcPr>
            <w:tcW w:w="22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8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Liabilities related to the sales of future royalties—</w:t>
            </w:r>
          </w:p>
        </w:tc>
        <w:tc>
          <w:tcPr>
            <w:tcW w:w="1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89,657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113,874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monetization proceeds</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royalty revenue</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(26,881 )</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(37,386 )</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(64,267 )</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(380,728 )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(155,705 )</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(536,433 )</w:t>
            </w: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to RPI</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(10,000 )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198"/>
        </w:trPr>
        <w:tc>
          <w:tcPr>
            <w:tcW w:w="41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Loss on revaluation of liability related to the sale of</w:t>
            </w:r>
          </w:p>
        </w:tc>
        <w:tc>
          <w:tcPr>
            <w:tcW w:w="12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future royalties</w:t>
            </w: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18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Liabilities related to the sales of future royalties –</w:t>
            </w:r>
          </w:p>
        </w:tc>
        <w:tc>
          <w:tcPr>
            <w:tcW w:w="1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92,719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unamortized transaction costs</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(943 )</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(943 )</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(943 )</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(943 )</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related to the sales of future royalties,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84,579</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91,776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84,579</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91,776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right="120" w:firstLine="644"/>
        <w:spacing w:after="0" w:line="266" w:lineRule="auto"/>
        <w:rPr>
          <w:sz w:val="20"/>
          <w:szCs w:val="20"/>
          <w:color w:val="auto"/>
        </w:rPr>
      </w:pPr>
      <w:r>
        <w:rPr>
          <w:rFonts w:ascii="Times New Roman" w:cs="Times New Roman" w:eastAsia="Times New Roman" w:hAnsi="Times New Roman"/>
          <w:sz w:val="18"/>
          <w:szCs w:val="18"/>
          <w:color w:val="auto"/>
        </w:rPr>
        <w:t>As royalties are remitted to RPI and HCR by our licensees, the balances of the respective Royalty Obligations will be effectively repaid over the lives of the agreements. To determine the amortization of the Royalty Obligations, we are required to estimate the total amount of future royalty payments to be received by RPI and HCR, respectively, and adjust the imputed interest 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Pre-Funded Warrant</w:t>
      </w:r>
    </w:p>
    <w:p>
      <w:pPr>
        <w:spacing w:after="0" w:line="20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In March 2024, we issued a pre-funded warrant to purchase an aggregate of 25,000,000 shares of our common stock to TCG at a price of $1.20 per share for gross proceeds of $30.0 million. Transaction costs were immaterial. The pre-funded warrant has an exercise price of $0.0001 per share and may be exercised at any time after the original issuance date. TCG may not exercise the warrant if TCG, together with its affiliates, would beneficially own more than 9.99% of the number of shares of our common stock outstanding immediately after giving effect to such exercise. TCG may increase or decrease this percentage not in excess of 19.99% by providing at least 61 days’ prior notice to the Company. On May 28, 2024, we filed with the SEC a registration statement on Form S-3 (file no. 333-279760) registering for resale of up to 25,000,000 shares of our common stock issuable upon exercise of the pre-funded warrant. The registration statement became effective on June 5, 2024. As of December 31, 2024, the warrant has not been exercised.</w:t>
      </w:r>
    </w:p>
    <w:p>
      <w:pPr>
        <w:spacing w:after="0" w:line="148"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We classified the pre-funded warrant as a component of permanent equity in our Consolidated Balance Sheets as it is a freestanding financial instrument that was immediately exercisable, does not embody an obligation for the Company to repurchase its own shares and permits the holder to receive a fixed number of shares of common stock upon exercise. All of the shares underlying the pre-funded warrant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89" w:lineRule="exact"/>
        <w:rPr>
          <w:sz w:val="20"/>
          <w:szCs w:val="20"/>
          <w:color w:val="auto"/>
        </w:rPr>
      </w:pPr>
    </w:p>
    <w:p>
      <w:pPr>
        <w:ind w:right="220" w:firstLine="64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various firm purchase commitments related to contract manufacturing, clinical development and certain other items. As of December 31, 2024, these commitments were approximately $1.6 million.</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02"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lawsuits, arbitrations, claims, investigations and proceedings, consisting of intellectual property, commercial, employment and other matters, which arise in the ordinary course of business. We make provisions for liabilities when it is both probable that a liability has been incurred and the amount of the loss can be reasonably estimated. Such provisions are reviewed at least quarterly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our operations for that period and on our cash flows and liquidity.</w:t>
      </w:r>
    </w:p>
    <w:p>
      <w:pPr>
        <w:spacing w:after="0" w:line="147"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On August 7, 2023, we filed a complaint in the United States District Court for the Northern District of California (the Court) against Lilly alleging, among other claims, breach of contract and breach of implied covenant of good faith and fair dealing (the Complaint), in connection with our collaboration with Lilly. Following the denial of its motion to dismiss the Complaint entirely, Lilly filed an answer that included counterclaims against us alleging breach of specified confidentiality provisions and defamation. The case is proceeding.</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recorded no liability for any litigation matters in our Consolidated Balance Sheets at either December 31, 2024 or December 31, 2023.</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Obligations</w:t>
      </w:r>
    </w:p>
    <w:p>
      <w:pPr>
        <w:spacing w:after="0" w:line="189"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During the course of our normal operating activities, we have agreed to certain contingent indemnification obligations as further described below. The term of our indemnification obligations is generally perpetual. There is generally no limitation on the potential amount of future payments we could be required to make under these indemnification obligations. To date, we have not incurred significant costs to defend lawsuits or settle claims based on our indemnification obligations. If any of our indemnification obligations is triggered, we may incur substantial liabilities. Because the aggregate amount of any of these potential indemnification obligations is not a stated amount, we cannot reasonably estimate the overall maximum amount of any such obligations. We have recorded no liabilities for these obligations in our Consolidated Balance Sheets at either December 31, 2024 or December 31, 2023.</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Indemnifications in Connection with Commercial Agreements</w:t>
      </w:r>
    </w:p>
    <w:p>
      <w:pPr>
        <w:spacing w:after="0" w:line="20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As part of our collaboration agreements with our partners related to the license, development, manufacture and supply of drugs based on our proprietary technologies and drug candidates, we generally agree to defend, indemnify and hold harmless our partners from and against third party liabilities arising out of the agreement, including product liability (with respect to our activities) and infringement of intellectual property to the extent the intellectual property is developed by us and licensed to our partners. The term of these indemnification obligations is generally perpetual commencing after execution of the agreement. There is generally no limitation on the potential amount of future payments we could be required to make under these indemnification obligations.</w:t>
      </w:r>
    </w:p>
    <w:p>
      <w:pPr>
        <w:spacing w:after="0" w:line="147"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From time to time, we enter into other strategic agreements such as divestitures and financing transactions pursuant to which we are required to make representations and warranties and undertake to perform or comply with certain covenants. For example, we made certain intellectual property representations in connection with our RPI and HCR transactions, however, the time limitation we have to indemnify RPI with respect to any breach of these intellectual property-based representations and warranties has passed. In the event it is determined that we breached certain of the representations and warranties or covenants made by us in any such agreements or certain express indemnification provisions are applicable, we could incur substantial indemnification liabilities depending on the timing, nature, and amount of any such claims.</w:t>
      </w:r>
    </w:p>
    <w:p>
      <w:pPr>
        <w:spacing w:after="0" w:line="147" w:lineRule="exact"/>
        <w:rPr>
          <w:sz w:val="20"/>
          <w:szCs w:val="20"/>
          <w:color w:val="auto"/>
        </w:rPr>
      </w:pPr>
    </w:p>
    <w:p>
      <w:pPr>
        <w:ind w:right="300" w:firstLine="644"/>
        <w:spacing w:after="0" w:line="266" w:lineRule="auto"/>
        <w:rPr>
          <w:sz w:val="20"/>
          <w:szCs w:val="20"/>
          <w:color w:val="auto"/>
        </w:rPr>
      </w:pPr>
      <w:r>
        <w:rPr>
          <w:rFonts w:ascii="Times New Roman" w:cs="Times New Roman" w:eastAsia="Times New Roman" w:hAnsi="Times New Roman"/>
          <w:sz w:val="18"/>
          <w:szCs w:val="18"/>
          <w:color w:val="auto"/>
        </w:rPr>
        <w:t>To date, we have not incurred any costs to defend lawsuits or settle claims related to these indemnification obligations, nor any breaches of representations or warranties or covenants. Because the aggregate amount of any potential indemnification obligation is not a stated amount, we cannot reasonably estimate the overall maximum amount of any such obligations.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Indemnification of Underwriters and Initial Purchasers of our Securities</w:t>
      </w:r>
    </w:p>
    <w:p>
      <w:pPr>
        <w:spacing w:after="0" w:line="200"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In connection with our sale of equity we have agreed to defend, indemnify and hold harmless our underwriters or initial purchasers, as applicable, as well as certain related parties from and against certain liabilities, including liabilities under the Securities Act of 1933, as amended.</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Director and Officer Indemnifications</w:t>
      </w:r>
    </w:p>
    <w:p>
      <w:pPr>
        <w:spacing w:after="0" w:line="187"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As permitted under Delaware law, and as set forth in our Certificate of Incorporation and our Bylaws, we indemnify our directors, executive officers, other officers, employees, and other agents for certain events or occurrences that may arise while in such capacity. The maximum potential amount of future payments we could be required to make under this indemnification is unlimited; however, we have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any obligations under this indemnification would not be material, other than retention of up to $2.5 million per incident for merger and acquisition related claims, $2.5 million per incident for securities related claims and $2.5 million per incident for non-securities related claims per our insurance policy. However,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ectPr>
          <w:pgSz w:w="11900" w:h="16838" w:orient="portrait"/>
          <w:cols w:equalWidth="0" w:num="1">
            <w:col w:w="11240"/>
          </w:cols>
          <w:pgMar w:left="320" w:top="117" w:right="339" w:bottom="1440" w:gutter="0" w:footer="0" w:header="0"/>
        </w:sectPr>
      </w:pP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of December 31, 2024, shares of common stock reserved for future issuance are as follows (in thousands):</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options and 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Shares available for future grant under the 2017 Performance Incentive Plan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the employee stock purchase plan</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common stock reserved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34,582</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25,000</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8,277</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5715</wp:posOffset>
            </wp:positionV>
            <wp:extent cx="12255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68,570</w:t>
      </w:r>
    </w:p>
    <w:p>
      <w:pPr>
        <w:spacing w:after="0" w:line="208" w:lineRule="exact"/>
        <w:rPr>
          <w:sz w:val="20"/>
          <w:szCs w:val="20"/>
          <w:color w:val="auto"/>
        </w:rPr>
      </w:pPr>
    </w:p>
    <w:p>
      <w:pPr>
        <w:sectPr>
          <w:pgSz w:w="11900" w:h="16838" w:orient="portrait"/>
          <w:cols w:equalWidth="0" w:num="2">
            <w:col w:w="9900" w:space="720"/>
            <w:col w:w="620"/>
          </w:cols>
          <w:pgMar w:left="320" w:top="117" w:right="33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License and Collaboration Agreements</w:t>
      </w:r>
    </w:p>
    <w:p>
      <w:pPr>
        <w:spacing w:after="0" w:line="202" w:lineRule="exact"/>
        <w:rPr>
          <w:sz w:val="20"/>
          <w:szCs w:val="20"/>
          <w:color w:val="auto"/>
        </w:rPr>
      </w:pPr>
    </w:p>
    <w:p>
      <w:pPr>
        <w:ind w:right="20" w:firstLine="599"/>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various collaboration agreements including license agreements and collaborative research, development and commercialization agreements with various pharmaceutical and biotechnology companies. Under these collaboration arrangements, we are entitled to receive license fees, upfront payments, milestone and other contingent payments, royalties, sales milestone payments, reimbursements for research and development activities and (before the sale of the Facility) payments for the manufacture and supply of our proprietary PEG reagents. We generally include our costs of performing these services in research and development expense, except for costs for product sales to our collaboration partners which we include in cost of goods sold. We analyze our agreements to determine whether we should account for the agreements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and, if so, we analyze whether we should account for any elements under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Eli Lilly and Company (Lilly): </w:t>
      </w:r>
      <w:r>
        <w:rPr>
          <w:rFonts w:ascii="Times New Roman" w:cs="Times New Roman" w:eastAsia="Times New Roman" w:hAnsi="Times New Roman"/>
          <w:sz w:val="18"/>
          <w:szCs w:val="18"/>
          <w:i w:val="1"/>
          <w:iCs w:val="1"/>
          <w:color w:val="auto"/>
        </w:rPr>
        <w:t>Rezpegaldesleukin (previously referred to as NKTR-358)</w:t>
      </w:r>
    </w:p>
    <w:p>
      <w:pPr>
        <w:spacing w:after="0" w:line="189" w:lineRule="exact"/>
        <w:rPr>
          <w:sz w:val="20"/>
          <w:szCs w:val="20"/>
          <w:color w:val="auto"/>
        </w:rPr>
      </w:pPr>
    </w:p>
    <w:p>
      <w:pPr>
        <w:ind w:right="300" w:firstLine="644"/>
        <w:spacing w:after="0" w:line="261" w:lineRule="auto"/>
        <w:rPr>
          <w:sz w:val="20"/>
          <w:szCs w:val="20"/>
          <w:color w:val="auto"/>
        </w:rPr>
      </w:pPr>
      <w:r>
        <w:rPr>
          <w:rFonts w:ascii="Times New Roman" w:cs="Times New Roman" w:eastAsia="Times New Roman" w:hAnsi="Times New Roman"/>
          <w:sz w:val="18"/>
          <w:szCs w:val="18"/>
          <w:color w:val="auto"/>
        </w:rPr>
        <w:t>On July 23, 2017, we entered into a worldwide license agreement (the Lilly Agreement) with Lilly to co-develop rezpegaldesleukin, a novel immunological drug candidate that we invented, pursuant to which we received an initial payment of $150.0 million and were eligible for up to $250.0 million in additional development and regulatory milestones. The Lilly Agreement provided that, during Phase 1B and Phase 2 development, we shared development costs wherein 75% of the costs were borne by Lilly and 25% of the costs were borne by us.</w:t>
      </w:r>
    </w:p>
    <w:p>
      <w:pPr>
        <w:spacing w:after="0" w:line="153"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On April 23, 2023, we received from Lilly a notice of at-will termination of the Lilly Agreement. We have regained full rights to rezpegaldesleukin from Lilly, and the Lilly Agreement subsequently terminated. Following the return of our rights to develop rezpegaldesleukin, we bear all costs of development.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Bristol-Myers Squibb Company (BMS): </w:t>
      </w:r>
      <w:r>
        <w:rPr>
          <w:rFonts w:ascii="Times New Roman" w:cs="Times New Roman" w:eastAsia="Times New Roman" w:hAnsi="Times New Roman"/>
          <w:sz w:val="18"/>
          <w:szCs w:val="18"/>
          <w:i w:val="1"/>
          <w:iCs w:val="1"/>
          <w:color w:val="auto"/>
        </w:rPr>
        <w:t>Bempegaldesleukin, also referred to as NKTR-214</w:t>
      </w:r>
    </w:p>
    <w:p>
      <w:pPr>
        <w:spacing w:after="0" w:line="189" w:lineRule="exact"/>
        <w:rPr>
          <w:sz w:val="20"/>
          <w:szCs w:val="20"/>
          <w:color w:val="auto"/>
        </w:rPr>
      </w:pPr>
    </w:p>
    <w:p>
      <w:pPr>
        <w:ind w:right="320" w:firstLine="644"/>
        <w:spacing w:after="0" w:line="239" w:lineRule="auto"/>
        <w:rPr>
          <w:sz w:val="20"/>
          <w:szCs w:val="20"/>
          <w:color w:val="auto"/>
        </w:rPr>
      </w:pPr>
      <w:r>
        <w:rPr>
          <w:rFonts w:ascii="Times New Roman" w:cs="Times New Roman" w:eastAsia="Times New Roman" w:hAnsi="Times New Roman"/>
          <w:sz w:val="18"/>
          <w:szCs w:val="18"/>
          <w:color w:val="auto"/>
        </w:rPr>
        <w:t>Effective April 3, 2018, we entered into a Strategic Collaboration Agreement (the BMS Collaboration Agreement) and a Share Purchase Agreement with BMS. Pursuant to the BMS Collaboration Agreement, we and BMS jointly developed bempegaldesleukin in combination with BMS’ Opdivo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parties shared the internal and external development costs for bempegaldesleukin in combination regimens based on each party’s relative ownership interest in the compounds included in the regimens.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20" w:firstLine="644"/>
        <w:spacing w:after="0" w:line="266" w:lineRule="auto"/>
        <w:rPr>
          <w:sz w:val="20"/>
          <w:szCs w:val="20"/>
          <w:color w:val="auto"/>
        </w:rPr>
      </w:pPr>
      <w:r>
        <w:rPr>
          <w:rFonts w:ascii="Times New Roman" w:cs="Times New Roman" w:eastAsia="Times New Roman" w:hAnsi="Times New Roman"/>
          <w:sz w:val="18"/>
          <w:szCs w:val="18"/>
          <w:color w:val="auto"/>
        </w:rPr>
        <w:t>Upon the effective date of the BMS Collaboration Agreement in April 2018, BMS paid us a non-refundable upfront cash payment of $1.0 billion and purchased 8,284,600 shares of our common stock pursuant to the Share Purchase Agreement for total additional cash consideration of $850.0 million. In 2020, we received additional non-refundable milestone payments of $50.0 million.</w:t>
      </w:r>
    </w:p>
    <w:p>
      <w:pPr>
        <w:spacing w:after="0" w:line="95" w:lineRule="exact"/>
        <w:rPr>
          <w:sz w:val="20"/>
          <w:szCs w:val="20"/>
          <w:color w:val="auto"/>
        </w:rPr>
      </w:pPr>
    </w:p>
    <w:p>
      <w:pPr>
        <w:ind w:right="80" w:firstLine="644"/>
        <w:spacing w:after="0" w:line="242" w:lineRule="auto"/>
        <w:rPr>
          <w:sz w:val="20"/>
          <w:szCs w:val="20"/>
          <w:color w:val="auto"/>
        </w:rPr>
      </w:pPr>
      <w:r>
        <w:rPr>
          <w:rFonts w:ascii="Times New Roman" w:cs="Times New Roman" w:eastAsia="Times New Roman" w:hAnsi="Times New Roman"/>
          <w:sz w:val="18"/>
          <w:szCs w:val="18"/>
          <w:color w:val="auto"/>
        </w:rPr>
        <w:t>As discussed in Note 1, in April 2022, we announced that BMS and we decided to discontinue all development of bempegaldesleukin in combination with Opdivo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On September 6, 2023, BMS and we terminated the BMS Collaboration Agreement, and pursuant to the surviving provisions of the BMS Collaboration Agreement, we and BMS continue our efforts to wind down the bempegaldesleukin program, and the cost sharing provisions continue to remain in effect as the parties wind down the studies. On February 12, 2024, we repurchased the 8.3 million shares previously sold to BMS for total cash consideration of $3.0 million.</w:t>
      </w:r>
    </w:p>
    <w:p>
      <w:pPr>
        <w:spacing w:after="0" w:line="129"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We determined that the BMS Collaboration Agreement falls within the scope of ASC 808. Based on the cost sharing provisions described above, we recognize the net reimbursement to (from) BMS as an increase (decrease) to the applicable expense. As discussed in Note 10, beginning in the second quarter of 2022, we began reporting the costs for the wind down of the bempegaldesleukin program in restructuring and impairment. For the year ended December 31, 2024, such amounts are immaterial and are included in research and development expense.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Biolojic Design (Biolojic): NKTR-0165</w:t>
      </w:r>
    </w:p>
    <w:p>
      <w:pPr>
        <w:spacing w:after="0" w:line="202"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In 2021, we entered into a research collaboration and license option agreement with Biolojic to discover and develop agonistic antibodies that activate a novel and previously un-drugged target for the treatment of autoimmune diseases. In 2023, we exercised an option to gain an exclusive license to specified agonistic antibodies and other materials that were developed pursuant to a research collaboration and license option agreement in all fields of use (other than in the field of oncology). As a result of exercising the option to gain an exclusive license, we may be required to pay up to $18.0 million based on the achievement of certain development milestones, including the first milestone of $3.0 million payable upon the acceptance of the first investigational new drug application, and up to $35.0 million based on the achievement of certain regulatory approval milestones. Each milestone is payable only once, regardless of the number of indications for which we develop the licensed product. We record a liability when a milestone payment becomes probable. As of December 31, 2024, no milestones have been achieved or are considered probable, and no liability has been recorded.</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62"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have a collaboration agreement with UCB for dapirolizumab pegol, under which we are entitled to up to a total of $40.0 million of regulatory approval milestones, as well as royalties in the low single digits based on net sales of commercialized products, if any. UCB is developing dapirolizumab pegol, a PEGylated antibody fragment, with Biogen, Inc. for the treatment of systemic lupus erythematosus. However, given the current phase of development of this product and the uncertainty in clinical development, we have excluded these milestones from the transaction price for this agreement. We have not sold our rights to receive these milestones or royalties from dapoirolizumab pegol under the APA for the sale of the Facility.</w:t>
      </w:r>
    </w:p>
    <w:p>
      <w:pPr>
        <w:spacing w:after="0" w:line="102" w:lineRule="exact"/>
        <w:rPr>
          <w:sz w:val="20"/>
          <w:szCs w:val="20"/>
          <w:color w:val="auto"/>
        </w:rPr>
      </w:pPr>
    </w:p>
    <w:p>
      <w:pPr>
        <w:ind w:firstLine="644"/>
        <w:spacing w:after="0" w:line="239" w:lineRule="auto"/>
        <w:rPr>
          <w:sz w:val="20"/>
          <w:szCs w:val="20"/>
          <w:color w:val="auto"/>
        </w:rPr>
      </w:pPr>
      <w:r>
        <w:rPr>
          <w:rFonts w:ascii="Times New Roman" w:cs="Times New Roman" w:eastAsia="Times New Roman" w:hAnsi="Times New Roman"/>
          <w:sz w:val="18"/>
          <w:szCs w:val="18"/>
          <w:color w:val="auto"/>
        </w:rPr>
        <w:t>On July 31, 2024, and further formalized in an Amended and Restated Manufacturing and Supply Agreement dated October 18, 2024, we entered into a long-term “take or pay” supply agreement with UCB that increases the selling price of the PEG reagent used in the manufacture of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UCB Supply Agreement). The UCB Supply Agreement also covers UCB’s purchases of the same reagent (at the same price) for use in the manufacture of dapirolizumab pegol. We analyzed the terms of the agreement, including its cancellation provisions, and concluded that it represents a long-term agreement. Since the performance obligations are deliveries of a single reagent, we determined a single sales price for recognition of revenue over the term of the arrangement. Accordingly, because the billed price was less than the single sales price, we recorded a contract asset of $7.0 million as of December 2, 2024. Pursuant to the APA between Gannet BioChem and us, the UCB Supply Agreement was assigned to Gannet BioChem upon closing of the sale of the Facility. The assignment of the UCB Supply Agreement does not alter the potential milestones and potential royalties payable by UCB to us pursuant to the collaboration agreement for dapirolizumab pegol nor the non-cash royalties payable under our collaboration agreement for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See Note 12 for additional information on the APA.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Restructuring and Impairment</w:t>
      </w:r>
    </w:p>
    <w:p>
      <w:pPr>
        <w:spacing w:after="0" w:line="22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As discussed in Note 1, because our registrational trials in bempegaldesleukin did not meet their primary endpoints, we decided to discontinue all development of bempegaldesleukin and wind down the clinical trials studying bempegaldesleukin. In April 2022, we announced the 2022 Restructuring Plan pursuant to which we completed an approximate 70% reduction of our workforce during 2022. We also sold our research facility in India in December 2022 and decided to sublease certain of our leased premises in San Francisco, CA, including all of our office leased space in the Third Street Facility and portions of our office and laboratory space in the Mission Bay Facility.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0" w:firstLine="644"/>
        <w:spacing w:after="0" w:line="261" w:lineRule="auto"/>
        <w:rPr>
          <w:sz w:val="20"/>
          <w:szCs w:val="20"/>
          <w:color w:val="auto"/>
        </w:rPr>
      </w:pPr>
      <w:r>
        <w:rPr>
          <w:rFonts w:ascii="Times New Roman" w:cs="Times New Roman" w:eastAsia="Times New Roman" w:hAnsi="Times New Roman"/>
          <w:sz w:val="18"/>
          <w:szCs w:val="18"/>
          <w:color w:val="auto"/>
        </w:rPr>
        <w:t>Pursuant to plans approved by our Board in March 2023, we announced the 2023 Restructuring Plan to further reduce our San Francisco-based workforce by approximately 60%, which was substantially completed by June 30, 2023. In addition, under the 2023 Restructuring Plan, we decided to sublease our remaining office and laboratory space in the Mission Bay Facility, which we had not planned to sublease pursuant to the 2022 Restructuring Plan.</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our 2022 and 2023 Restructuring Plans, restructuring and impairment includes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280" w:type="dxa"/>
            <w:vAlign w:val="bottom"/>
            <w:gridSpan w:val="2"/>
          </w:tcPr>
          <w:p>
            <w:pPr>
              <w:spacing w:after="0"/>
              <w:rPr>
                <w:sz w:val="12"/>
                <w:szCs w:val="12"/>
                <w:color w:val="auto"/>
              </w:rPr>
            </w:pPr>
          </w:p>
        </w:tc>
        <w:tc>
          <w:tcPr>
            <w:tcW w:w="118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Severance and benefit expense</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35,328</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sale of other property, plant and equipment, net</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restructuring costs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00" w:type="dxa"/>
            <w:vAlign w:val="bottom"/>
          </w:tcPr>
          <w:p>
            <w:pPr>
              <w:spacing w:after="0"/>
              <w:rPr>
                <w:sz w:val="18"/>
                <w:szCs w:val="18"/>
                <w:color w:val="auto"/>
              </w:rPr>
            </w:pPr>
          </w:p>
        </w:tc>
      </w:tr>
      <w:tr>
        <w:trPr>
          <w:trHeight w:val="249"/>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impairment</w:t>
            </w: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51,958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Severance and Benefit Expense</w:t>
      </w:r>
    </w:p>
    <w:p>
      <w:pPr>
        <w:spacing w:after="0" w:line="189" w:lineRule="exact"/>
        <w:rPr>
          <w:sz w:val="20"/>
          <w:szCs w:val="20"/>
          <w:color w:val="auto"/>
        </w:rPr>
      </w:pPr>
    </w:p>
    <w:p>
      <w:pPr>
        <w:jc w:val="both"/>
        <w:ind w:right="140" w:firstLine="644"/>
        <w:spacing w:after="0" w:line="282" w:lineRule="auto"/>
        <w:rPr>
          <w:sz w:val="20"/>
          <w:szCs w:val="20"/>
          <w:color w:val="auto"/>
        </w:rPr>
      </w:pPr>
      <w:r>
        <w:rPr>
          <w:rFonts w:ascii="Times New Roman" w:cs="Times New Roman" w:eastAsia="Times New Roman" w:hAnsi="Times New Roman"/>
          <w:sz w:val="18"/>
          <w:szCs w:val="18"/>
          <w:color w:val="auto"/>
        </w:rPr>
        <w:t>Employees affected by the reduction in force under the 2022 and 2023 Restructuring Plans are entitled to receive severance payments and certain Company-funded benefits. The restructuring charges are recorded at fair value.</w:t>
      </w:r>
    </w:p>
    <w:p>
      <w:pPr>
        <w:spacing w:after="0" w:line="135"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For the 2022 Restructuring Plan, we recognized all expense in 2022 and paid the final liability of $3.3 million in the three months ended March 31, 2023.</w:t>
      </w:r>
    </w:p>
    <w:p>
      <w:pPr>
        <w:spacing w:after="0" w:line="121"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For the 2023 Restructuring Plan, we recognized $7.9 million in total expense in 2023 for the 2023 Restructuring Plan and paid the final liability of $0.2 million in the three months ended March 31, 2024. We do not expect to recognize any additional severance and benefits expense for the 2022 and 2023 Restructuring Plans.</w:t>
      </w:r>
    </w:p>
    <w:p>
      <w:pPr>
        <w:spacing w:after="0" w:line="135"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The following table provides details regarding the severance and benefit expense for the years ended December 31, 2024 and 2023 pursuant to the 2022 and 2023 Restructuring Plans and a reconciliation of the severance and benefits liability for the year ended December 31, 2024 pursuant to the 2022 and 2023 Restructuring Plans, which we report within accrued expenses on our Consolidated Balance Sheets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5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 Restructuring</w:t>
            </w:r>
          </w:p>
        </w:tc>
        <w:tc>
          <w:tcPr>
            <w:tcW w:w="15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 Restructuring</w:t>
            </w:r>
          </w:p>
        </w:tc>
        <w:tc>
          <w:tcPr>
            <w:tcW w:w="300" w:type="dxa"/>
            <w:vAlign w:val="bottom"/>
          </w:tcPr>
          <w:p>
            <w:pPr>
              <w:spacing w:after="0"/>
              <w:rPr>
                <w:sz w:val="13"/>
                <w:szCs w:val="13"/>
                <w:color w:val="auto"/>
              </w:rPr>
            </w:pPr>
          </w:p>
        </w:tc>
        <w:tc>
          <w:tcPr>
            <w:tcW w:w="104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Plan</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Plan</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jc w:val="center"/>
              <w:ind w:right="3450"/>
              <w:spacing w:after="0"/>
              <w:rPr>
                <w:sz w:val="20"/>
                <w:szCs w:val="20"/>
                <w:color w:val="auto"/>
              </w:rPr>
            </w:pPr>
            <w:r>
              <w:rPr>
                <w:rFonts w:ascii="Times New Roman" w:cs="Times New Roman" w:eastAsia="Times New Roman" w:hAnsi="Times New Roman"/>
                <w:sz w:val="18"/>
                <w:szCs w:val="18"/>
                <w:color w:val="auto"/>
                <w:w w:val="99"/>
              </w:rPr>
              <w:t>Liability balance as of December 31, 2022</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jc w:val="center"/>
              <w:ind w:right="3430"/>
              <w:spacing w:after="0"/>
              <w:rPr>
                <w:sz w:val="20"/>
                <w:szCs w:val="20"/>
                <w:color w:val="auto"/>
              </w:rPr>
            </w:pPr>
            <w:r>
              <w:rPr>
                <w:rFonts w:ascii="Times New Roman" w:cs="Times New Roman" w:eastAsia="Times New Roman" w:hAnsi="Times New Roman"/>
                <w:sz w:val="18"/>
                <w:szCs w:val="18"/>
                <w:color w:val="auto"/>
                <w:w w:val="99"/>
              </w:rPr>
              <w:t>Expense recognized during the period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(7,689 )</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(3,299 )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(10,988 )</w:t>
            </w: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tcBorders>
          </w:tcPr>
          <w:p>
            <w:pPr>
              <w:jc w:val="center"/>
              <w:ind w:right="3450"/>
              <w:spacing w:after="0"/>
              <w:rPr>
                <w:sz w:val="20"/>
                <w:szCs w:val="20"/>
                <w:color w:val="auto"/>
              </w:rPr>
            </w:pPr>
            <w:r>
              <w:rPr>
                <w:rFonts w:ascii="Times New Roman" w:cs="Times New Roman" w:eastAsia="Times New Roman" w:hAnsi="Times New Roman"/>
                <w:sz w:val="18"/>
                <w:szCs w:val="18"/>
                <w:color w:val="auto"/>
                <w:w w:val="99"/>
              </w:rPr>
              <w:t>Liability balance as of December 31, 2023</w:t>
            </w:r>
          </w:p>
        </w:tc>
        <w:tc>
          <w:tcPr>
            <w:tcW w:w="3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jc w:val="center"/>
              <w:ind w:right="3430"/>
              <w:spacing w:after="0"/>
              <w:rPr>
                <w:sz w:val="20"/>
                <w:szCs w:val="20"/>
                <w:color w:val="auto"/>
              </w:rPr>
            </w:pPr>
            <w:r>
              <w:rPr>
                <w:rFonts w:ascii="Times New Roman" w:cs="Times New Roman" w:eastAsia="Times New Roman" w:hAnsi="Times New Roman"/>
                <w:sz w:val="18"/>
                <w:szCs w:val="18"/>
                <w:color w:val="auto"/>
                <w:w w:val="99"/>
              </w:rPr>
              <w:t>Expense recognized during the period</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(196 )</w:t>
            </w: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49"/>
        </w:trPr>
        <w:tc>
          <w:tcPr>
            <w:tcW w:w="6640" w:type="dxa"/>
            <w:vAlign w:val="bottom"/>
            <w:tcBorders>
              <w:bottom w:val="single" w:sz="8" w:color="CFF0FC"/>
            </w:tcBorders>
            <w:shd w:val="clear" w:color="auto" w:fill="CFF0FC"/>
          </w:tcPr>
          <w:p>
            <w:pPr>
              <w:jc w:val="center"/>
              <w:ind w:right="3450"/>
              <w:spacing w:after="0"/>
              <w:rPr>
                <w:sz w:val="20"/>
                <w:szCs w:val="20"/>
                <w:color w:val="auto"/>
              </w:rPr>
            </w:pPr>
            <w:r>
              <w:rPr>
                <w:rFonts w:ascii="Times New Roman" w:cs="Times New Roman" w:eastAsia="Times New Roman" w:hAnsi="Times New Roman"/>
                <w:sz w:val="18"/>
                <w:szCs w:val="18"/>
                <w:color w:val="auto"/>
                <w:w w:val="99"/>
              </w:rPr>
              <w:t>Liability balance as of December 31, 2024</w:t>
            </w:r>
          </w:p>
        </w:tc>
        <w:tc>
          <w:tcPr>
            <w:tcW w:w="32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-591185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-591185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As a result of our 2022 and 2023 Restructuring Plans, we decided to seek a sublease for all of our leased spaces in the Third Street Facility and the Mission Bay Facility. Accordingly, we evaluate each space for impairment when management decides to sublease the respective space and at each reporting date thereafter, as facts and circumstances change. The significant assumptions in our impairment analysis relate to sublease income, including the length of time to enter into a sublease, sublease rental payments, free rent periods, tenant improvement allowances and broker commissions. When available, we use sublease negotiations or agreements, but in the absence of such information, we develop our own subjective estimates based on current real estate trends and market conditions. Accordingly, our estimates are subject to significant risk, and the terms of sublease agreements, if any, and the resulting amount and timing of sublease income, if ever realized, may be materially different than our estimates.</w:t>
      </w:r>
    </w:p>
    <w:p>
      <w:pPr>
        <w:spacing w:after="0" w:line="148"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As part of our evaluation of each sublease space, we separately compare the estimated undiscounted sublease income, as described above, for each sublease to the net book value of the related long-term assets, which include right-of-use assets and certain property, plant and equipment, primarily for leasehold improvements (collectively, sublease assets). If such sublease income exceeds the net book value of the sublease assets, we do not record an impairment charge. Otherwise, we record an impairment charge by reducing the net book value of the sublease assets to their estimated fair value, which we determined by discounting the estimated sublease income using the estimated borrowing rate of a market participant subtenant, which has ranged from 8.7% to 6.2% for the periods described below.</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recorded non-cash impairment charges of lease assets pertaining to the 2022 and 2023 Restructuring Plans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Three-months Ended</w:t>
            </w: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Sublease Spaces</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right"/>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258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5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5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Mission Bay Blvd. South</w:t>
            </w:r>
          </w:p>
        </w:tc>
        <w:tc>
          <w:tcPr>
            <w:tcW w:w="340" w:type="dxa"/>
            <w:vAlign w:val="bottom"/>
            <w:shd w:val="clear" w:color="auto" w:fill="CFF0FC"/>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7,061</w:t>
            </w:r>
          </w:p>
        </w:tc>
        <w:tc>
          <w:tcPr>
            <w:tcW w:w="480" w:type="dxa"/>
            <w:vAlign w:val="bottom"/>
            <w:gridSpan w:val="3"/>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1,467</w:t>
            </w:r>
          </w:p>
        </w:tc>
        <w:tc>
          <w:tcPr>
            <w:tcW w:w="480" w:type="dxa"/>
            <w:vAlign w:val="bottom"/>
            <w:gridSpan w:val="3"/>
            <w:shd w:val="clear" w:color="auto" w:fill="CFF0FC"/>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FF0FC"/>
          </w:tcPr>
          <w:p>
            <w:pPr>
              <w:ind w:left="6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gridSpan w:val="3"/>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Third St</w:t>
            </w:r>
          </w:p>
        </w:tc>
        <w:tc>
          <w:tcPr>
            <w:tcW w:w="3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54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Total 2022 Restructuring Plan</w:t>
            </w: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6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3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8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Mission Bay Blvd. South - 2023</w:t>
            </w:r>
          </w:p>
        </w:tc>
        <w:tc>
          <w:tcPr>
            <w:tcW w:w="3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9,100</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ind w:left="6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vMerge w:val="restart"/>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80" w:type="dxa"/>
            <w:vAlign w:val="bottom"/>
            <w:tcBorders>
              <w:bottom w:val="single" w:sz="8" w:color="CFF0FC"/>
            </w:tcBorders>
            <w:shd w:val="clear" w:color="auto" w:fill="CFF0FC"/>
          </w:tcPr>
          <w:p>
            <w:pPr>
              <w:ind w:left="20"/>
              <w:spacing w:after="0" w:line="158" w:lineRule="exact"/>
              <w:rPr>
                <w:sz w:val="20"/>
                <w:szCs w:val="20"/>
                <w:color w:val="auto"/>
              </w:rPr>
            </w:pPr>
            <w:r>
              <w:rPr>
                <w:rFonts w:ascii="Times New Roman" w:cs="Times New Roman" w:eastAsia="Times New Roman" w:hAnsi="Times New Roman"/>
                <w:sz w:val="14"/>
                <w:szCs w:val="14"/>
                <w:color w:val="auto"/>
              </w:rPr>
              <w:t>Restructuring Plan</w:t>
            </w:r>
          </w:p>
        </w:tc>
        <w:tc>
          <w:tcPr>
            <w:tcW w:w="3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vMerge w:val="continue"/>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8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Total impairment of lease assets</w:t>
            </w:r>
          </w:p>
        </w:tc>
        <w:tc>
          <w:tcPr>
            <w:tcW w:w="34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11,500</w:t>
            </w:r>
          </w:p>
        </w:tc>
        <w:tc>
          <w:tcPr>
            <w:tcW w:w="3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13,261</w:t>
            </w:r>
          </w:p>
        </w:tc>
        <w:tc>
          <w:tcPr>
            <w:tcW w:w="480" w:type="dxa"/>
            <w:vAlign w:val="bottom"/>
            <w:gridSpan w:val="3"/>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10,567</w:t>
            </w:r>
          </w:p>
        </w:tc>
        <w:tc>
          <w:tcPr>
            <w:tcW w:w="480" w:type="dxa"/>
            <w:vAlign w:val="bottom"/>
            <w:gridSpan w:val="3"/>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ind w:left="6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600" w:type="dxa"/>
            <w:vAlign w:val="bottom"/>
            <w:gridSpan w:val="3"/>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8,329</w:t>
            </w:r>
          </w:p>
        </w:tc>
        <w:tc>
          <w:tcPr>
            <w:tcW w:w="44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43,657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-128270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-128270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-128270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-128270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-128270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-128270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we recorded an initial impairment charge of $11.5 million for our remaining office and laboratory leased space in our Mission Bay Facility, when we initially decided to sublease the space under the 2023 Restructuring Plan. As the life sciences lease market has continued to deteriorate in the San Francisco Bay Area, we recorded additional non-cash impairment charges of $9.1 million in the three months ended September 30, 2023, and $3.9 million in the three months ended June 30, 2024, for this space.</w:t>
      </w:r>
    </w:p>
    <w:p>
      <w:pPr>
        <w:spacing w:after="0" w:line="139" w:lineRule="exact"/>
        <w:rPr>
          <w:sz w:val="20"/>
          <w:szCs w:val="20"/>
          <w:color w:val="auto"/>
        </w:rPr>
      </w:pPr>
    </w:p>
    <w:p>
      <w:pPr>
        <w:ind w:right="200" w:firstLine="644"/>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2023 and September 30, 2023, we recorded additional non-cash impairment charges of $7.1 million and $1.5 million, respectively, for other sublease assets in our Mission Bay Facility that we sought to sublease under the 2022 Restructuring Plan. Due to the worsening office lease market, for the three months ended June 30, 2023 and 2024, we recorded non-cash impairment charges of $6.2 million and $4.4 million, respectively, for our sublease assets at our Third Street Facility.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the impairment charges we recorded for the full year ended December 31, 2024 and the full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including the net book values of the sublease assets before the impairment and the fair values of the sublease assets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6"/>
          </w:tcPr>
          <w:p>
            <w:pPr>
              <w:jc w:val="center"/>
              <w:ind w:left="838"/>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Operating Lease</w:t>
            </w:r>
          </w:p>
        </w:tc>
        <w:tc>
          <w:tcPr>
            <w:tcW w:w="160" w:type="dxa"/>
            <w:vAlign w:val="bottom"/>
          </w:tcPr>
          <w:p>
            <w:pPr>
              <w:spacing w:after="0"/>
              <w:rPr>
                <w:sz w:val="10"/>
                <w:szCs w:val="10"/>
                <w:color w:val="auto"/>
              </w:rPr>
            </w:pPr>
          </w:p>
        </w:tc>
        <w:tc>
          <w:tcPr>
            <w:tcW w:w="14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Property, Plant</w:t>
            </w:r>
          </w:p>
        </w:tc>
        <w:tc>
          <w:tcPr>
            <w:tcW w:w="300" w:type="dxa"/>
            <w:vAlign w:val="bottom"/>
          </w:tcPr>
          <w:p>
            <w:pPr>
              <w:spacing w:after="0"/>
              <w:rPr>
                <w:sz w:val="10"/>
                <w:szCs w:val="10"/>
                <w:color w:val="auto"/>
              </w:rPr>
            </w:pP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16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Equipment</w:t>
            </w: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book value of impaired sublease assets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44,921</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Fair value of impaired sublease assets — Level 3 of Fair Value Hierarchy</w:t>
            </w:r>
          </w:p>
        </w:tc>
        <w:tc>
          <w:tcPr>
            <w:tcW w:w="1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(14,364 )</w:t>
            </w: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(2,172 )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(16,536 )</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Book value in excess of fair value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6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Year-Ended December 31, 2024</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Operating Lease</w:t>
            </w:r>
          </w:p>
        </w:tc>
        <w:tc>
          <w:tcPr>
            <w:tcW w:w="158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Property, Plant and</w:t>
            </w:r>
          </w:p>
        </w:tc>
        <w:tc>
          <w:tcPr>
            <w:tcW w:w="300" w:type="dxa"/>
            <w:vAlign w:val="bottom"/>
          </w:tcPr>
          <w:p>
            <w:pPr>
              <w:spacing w:after="0"/>
              <w:rPr>
                <w:sz w:val="10"/>
                <w:szCs w:val="10"/>
                <w:color w:val="auto"/>
              </w:rPr>
            </w:pP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16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book value of impaired sublease assets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Fair value of impaired facilities — Level 3 of Fair Value Hierarchy</w:t>
            </w:r>
          </w:p>
        </w:tc>
        <w:tc>
          <w:tcPr>
            <w:tcW w:w="1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(5,219 )</w:t>
            </w: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(855 )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(6,074 )</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impairment of right-of-use assets and property, plant and equipment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-908050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-890905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-908050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-890905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on Sale of Property, Plant and Equipment,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excess lab equipment under the 2023 Restructuring Plan. We determined the loss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9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sales</w:t>
            </w:r>
          </w:p>
        </w:tc>
        <w:tc>
          <w:tcPr>
            <w:tcW w:w="42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book value of assets</w:t>
            </w:r>
          </w:p>
        </w:tc>
        <w:tc>
          <w:tcPr>
            <w:tcW w:w="31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20" w:type="dxa"/>
            <w:vAlign w:val="bottom"/>
          </w:tcPr>
          <w:p>
            <w:pPr>
              <w:spacing w:after="0"/>
              <w:rPr>
                <w:sz w:val="18"/>
                <w:szCs w:val="18"/>
                <w:color w:val="auto"/>
              </w:rPr>
            </w:pPr>
          </w:p>
        </w:tc>
      </w:tr>
      <w:tr>
        <w:trPr>
          <w:trHeight w:val="24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loss on sale of other property, plant and equipment, net</w:t>
            </w:r>
          </w:p>
        </w:tc>
        <w:tc>
          <w:tcPr>
            <w:tcW w:w="42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FF0FC"/>
          </w:tcPr>
          <w:p>
            <w:pPr>
              <w:spacing w:after="0"/>
              <w:rPr>
                <w:sz w:val="21"/>
                <w:szCs w:val="21"/>
                <w:color w:val="auto"/>
              </w:rPr>
            </w:pPr>
          </w:p>
        </w:tc>
      </w:tr>
      <w:tr>
        <w:trPr>
          <w:trHeight w:val="865"/>
        </w:trPr>
        <w:tc>
          <w:tcPr>
            <w:tcW w:w="4980" w:type="dxa"/>
            <w:vAlign w:val="bottom"/>
            <w:tcBorders>
              <w:top w:val="single" w:sz="8" w:color="CFF0FC"/>
            </w:tcBorders>
          </w:tcPr>
          <w:p>
            <w:pPr>
              <w:spacing w:after="0"/>
              <w:rPr>
                <w:sz w:val="24"/>
                <w:szCs w:val="24"/>
                <w:color w:val="auto"/>
              </w:rPr>
            </w:pPr>
          </w:p>
        </w:tc>
        <w:tc>
          <w:tcPr>
            <w:tcW w:w="3160" w:type="dxa"/>
            <w:vAlign w:val="bottom"/>
            <w:tcBorders>
              <w:top w:val="single" w:sz="8" w:color="CFF0FC"/>
            </w:tcBorders>
          </w:tcPr>
          <w:p>
            <w:pPr>
              <w:jc w:val="right"/>
              <w:ind w:right="2355"/>
              <w:spacing w:after="0"/>
              <w:rPr>
                <w:sz w:val="20"/>
                <w:szCs w:val="20"/>
                <w:color w:val="auto"/>
              </w:rPr>
            </w:pPr>
            <w:r>
              <w:rPr>
                <w:rFonts w:ascii="Arial" w:cs="Arial" w:eastAsia="Arial" w:hAnsi="Arial"/>
                <w:sz w:val="15"/>
                <w:szCs w:val="15"/>
                <w:color w:val="auto"/>
              </w:rPr>
              <w:t>83</w:t>
            </w:r>
          </w:p>
        </w:tc>
        <w:tc>
          <w:tcPr>
            <w:tcW w:w="10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42"/>
        </w:trPr>
        <w:tc>
          <w:tcPr>
            <w:tcW w:w="49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-1071245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-1053465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Termination and Other Restructuring Costs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termination and other restructuring costs include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32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for the wind down of the bempegaldesleukin program</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termination and other restructuring costs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We have incurred significant contract termination costs in connection with our Restructuring Plans. Because we continue to adjust the liability based on updates to our assumptions at each reporting date, we continue to recognize expense as our estimates change until settlement.</w:t>
      </w:r>
    </w:p>
    <w:p>
      <w:pPr>
        <w:spacing w:after="0" w:line="121"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the contract termination costs, for the years ended December 31, 2024 and 2023. We reported $3.0 million and $2.8 million in accrued expenses as of December 31, 2023 and December 31, 2024, respectively, and reported $2.5 million and $6.3 million, respectively, in other long-term liabilities on our Consolidated Balance Sheets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9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9120" w:type="dxa"/>
            <w:vAlign w:val="bottom"/>
            <w:shd w:val="clear" w:color="auto" w:fill="CFF0FC"/>
          </w:tcPr>
          <w:p>
            <w:pPr>
              <w:jc w:val="center"/>
              <w:ind w:right="5930"/>
              <w:spacing w:after="0"/>
              <w:rPr>
                <w:sz w:val="20"/>
                <w:szCs w:val="20"/>
                <w:color w:val="auto"/>
              </w:rPr>
            </w:pPr>
            <w:r>
              <w:rPr>
                <w:rFonts w:ascii="Times New Roman" w:cs="Times New Roman" w:eastAsia="Times New Roman" w:hAnsi="Times New Roman"/>
                <w:sz w:val="18"/>
                <w:szCs w:val="18"/>
                <w:color w:val="auto"/>
                <w:w w:val="99"/>
              </w:rPr>
              <w:t>Liability balance as of December 31, 2022</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20" w:type="dxa"/>
            <w:vAlign w:val="bottom"/>
            <w:shd w:val="clear" w:color="auto" w:fill="CFF0FC"/>
          </w:tcPr>
          <w:p>
            <w:pPr>
              <w:spacing w:after="0"/>
              <w:rPr>
                <w:sz w:val="18"/>
                <w:szCs w:val="18"/>
                <w:color w:val="auto"/>
              </w:rPr>
            </w:pPr>
          </w:p>
        </w:tc>
      </w:tr>
      <w:tr>
        <w:trPr>
          <w:trHeight w:val="216"/>
        </w:trPr>
        <w:tc>
          <w:tcPr>
            <w:tcW w:w="9120" w:type="dxa"/>
            <w:vAlign w:val="bottom"/>
          </w:tcPr>
          <w:p>
            <w:pPr>
              <w:jc w:val="center"/>
              <w:ind w:right="5910"/>
              <w:spacing w:after="0"/>
              <w:rPr>
                <w:sz w:val="20"/>
                <w:szCs w:val="20"/>
                <w:color w:val="auto"/>
              </w:rPr>
            </w:pPr>
            <w:r>
              <w:rPr>
                <w:rFonts w:ascii="Times New Roman" w:cs="Times New Roman" w:eastAsia="Times New Roman" w:hAnsi="Times New Roman"/>
                <w:sz w:val="18"/>
                <w:szCs w:val="18"/>
                <w:color w:val="auto"/>
                <w:w w:val="99"/>
              </w:rPr>
              <w:t>Expense recognized during the period</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8"/>
                <w:szCs w:val="18"/>
                <w:color w:val="auto"/>
              </w:rPr>
            </w:pPr>
          </w:p>
        </w:tc>
      </w:tr>
      <w:tr>
        <w:trPr>
          <w:trHeight w:val="216"/>
        </w:trPr>
        <w:tc>
          <w:tcPr>
            <w:tcW w:w="9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(4,087 )</w:t>
            </w:r>
          </w:p>
        </w:tc>
      </w:tr>
      <w:tr>
        <w:trPr>
          <w:trHeight w:val="210"/>
        </w:trPr>
        <w:tc>
          <w:tcPr>
            <w:tcW w:w="9120" w:type="dxa"/>
            <w:vAlign w:val="bottom"/>
            <w:tcBorders>
              <w:top w:val="single" w:sz="8" w:color="CFF0FC"/>
            </w:tcBorders>
          </w:tcPr>
          <w:p>
            <w:pPr>
              <w:jc w:val="center"/>
              <w:ind w:right="5930"/>
              <w:spacing w:after="0"/>
              <w:rPr>
                <w:sz w:val="20"/>
                <w:szCs w:val="20"/>
                <w:color w:val="auto"/>
              </w:rPr>
            </w:pPr>
            <w:r>
              <w:rPr>
                <w:rFonts w:ascii="Times New Roman" w:cs="Times New Roman" w:eastAsia="Times New Roman" w:hAnsi="Times New Roman"/>
                <w:sz w:val="18"/>
                <w:szCs w:val="18"/>
                <w:color w:val="auto"/>
                <w:w w:val="99"/>
              </w:rPr>
              <w:t>Liability balance as of December 31, 2023</w:t>
            </w: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20" w:type="dxa"/>
            <w:vAlign w:val="bottom"/>
            <w:tcBorders>
              <w:top w:val="single" w:sz="8" w:color="CFF0FC"/>
            </w:tcBorders>
          </w:tcPr>
          <w:p>
            <w:pPr>
              <w:spacing w:after="0"/>
              <w:rPr>
                <w:sz w:val="18"/>
                <w:szCs w:val="18"/>
                <w:color w:val="auto"/>
              </w:rPr>
            </w:pPr>
          </w:p>
        </w:tc>
      </w:tr>
      <w:tr>
        <w:trPr>
          <w:trHeight w:val="216"/>
        </w:trPr>
        <w:tc>
          <w:tcPr>
            <w:tcW w:w="9120" w:type="dxa"/>
            <w:vAlign w:val="bottom"/>
            <w:shd w:val="clear" w:color="auto" w:fill="CFF0FC"/>
          </w:tcPr>
          <w:p>
            <w:pPr>
              <w:jc w:val="center"/>
              <w:ind w:right="5910"/>
              <w:spacing w:after="0"/>
              <w:rPr>
                <w:sz w:val="20"/>
                <w:szCs w:val="20"/>
                <w:color w:val="auto"/>
              </w:rPr>
            </w:pPr>
            <w:r>
              <w:rPr>
                <w:rFonts w:ascii="Times New Roman" w:cs="Times New Roman" w:eastAsia="Times New Roman" w:hAnsi="Times New Roman"/>
                <w:sz w:val="18"/>
                <w:szCs w:val="18"/>
                <w:color w:val="auto"/>
                <w:w w:val="99"/>
              </w:rPr>
              <w:t>Expense recognized during the period</w:t>
            </w: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20" w:type="dxa"/>
            <w:vAlign w:val="bottom"/>
            <w:shd w:val="clear" w:color="auto" w:fill="CFF0FC"/>
          </w:tcPr>
          <w:p>
            <w:pPr>
              <w:spacing w:after="0"/>
              <w:rPr>
                <w:sz w:val="18"/>
                <w:szCs w:val="18"/>
                <w:color w:val="auto"/>
              </w:rPr>
            </w:pPr>
          </w:p>
        </w:tc>
      </w:tr>
      <w:tr>
        <w:trPr>
          <w:trHeight w:val="216"/>
        </w:trPr>
        <w:tc>
          <w:tcPr>
            <w:tcW w:w="9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2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(3,805 )</w:t>
            </w:r>
          </w:p>
        </w:tc>
      </w:tr>
      <w:tr>
        <w:trPr>
          <w:trHeight w:val="250"/>
        </w:trPr>
        <w:tc>
          <w:tcPr>
            <w:tcW w:w="9120" w:type="dxa"/>
            <w:vAlign w:val="bottom"/>
            <w:tcBorders>
              <w:bottom w:val="single" w:sz="8" w:color="CFF0FC"/>
            </w:tcBorders>
            <w:shd w:val="clear" w:color="auto" w:fill="CFF0FC"/>
          </w:tcPr>
          <w:p>
            <w:pPr>
              <w:jc w:val="center"/>
              <w:ind w:right="5930"/>
              <w:spacing w:after="0"/>
              <w:rPr>
                <w:sz w:val="20"/>
                <w:szCs w:val="20"/>
                <w:color w:val="auto"/>
              </w:rPr>
            </w:pPr>
            <w:r>
              <w:rPr>
                <w:rFonts w:ascii="Times New Roman" w:cs="Times New Roman" w:eastAsia="Times New Roman" w:hAnsi="Times New Roman"/>
                <w:sz w:val="18"/>
                <w:szCs w:val="18"/>
                <w:color w:val="auto"/>
                <w:w w:val="99"/>
              </w:rPr>
              <w:t>Liability balance as of December 31, 2024</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In prior periods through March 31, 2022, we reported the clinical trial costs, other third-party costs and employee costs related to the bempegaldesleukin program primarily in research and development expense. Beginning in the second quarter of 2022, following our announcement to terminate the program, we began recording these costs for the wind down of the bempegaldesleukin program in restructuring and impairment. For the year ended December 31, 2024, such amounts are immaterial and are included in research and development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Impairment of Goodwill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2023, our stock price and resulting market capitalization experienced a significant, sustained decline.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assessed our long-lived assets, including our property, plant and equipment, right-of-use assets and goodwill, for impairment.</w:t>
      </w:r>
    </w:p>
    <w:p>
      <w:pPr>
        <w:spacing w:after="0" w:line="166"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As part of our long-lived asset impairment analysis, we first assessed which long-lived assets have identifiable cash flows that are largely independent of the cash flows of other groups of assets. We concluded that the sublease assets, for which we have recognized significant impairment charges during 2022 and 2023, including for the three months ended March 31, 2023, are independent of our entity-wide group. See Note 10 for additional information regarding impairment charges that we have recorded for our sublease assets.</w:t>
      </w:r>
    </w:p>
    <w:p>
      <w:pPr>
        <w:spacing w:after="0" w:line="153" w:lineRule="exact"/>
        <w:rPr>
          <w:sz w:val="20"/>
          <w:szCs w:val="20"/>
          <w:color w:val="auto"/>
        </w:rPr>
      </w:pPr>
    </w:p>
    <w:p>
      <w:pPr>
        <w:ind w:right="740" w:firstLine="644"/>
        <w:spacing w:after="0" w:line="282" w:lineRule="auto"/>
        <w:rPr>
          <w:sz w:val="20"/>
          <w:szCs w:val="20"/>
          <w:color w:val="auto"/>
        </w:rPr>
      </w:pPr>
      <w:r>
        <w:rPr>
          <w:rFonts w:ascii="Times New Roman" w:cs="Times New Roman" w:eastAsia="Times New Roman" w:hAnsi="Times New Roman"/>
          <w:sz w:val="18"/>
          <w:szCs w:val="18"/>
          <w:color w:val="auto"/>
        </w:rPr>
        <w:t>We next evaluated our remaining long-lived assets for impairment and performed a recoverability test using the undiscounted cash flows approach. We did not recognize any additional impairment charges on the remaining long-lived assets.</w:t>
      </w:r>
    </w:p>
    <w:p>
      <w:pPr>
        <w:spacing w:after="0" w:line="12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Finally, we measured the fair value of our reporting unit utilizing both income and market approaches for our entity-wide asset impairment analysis. Based on this analysis, we wrote off all of our goodwill, resulting in a non-cash impairment charge of $76.5 million during the three months ended March 31, 2023, which we reported as impairment of goodwill in our Consolidated Statements of Operations for the year ended December 31, 2023. We had previously recognized goodwill primarily from our acquisitions of Shearwater Corp. and Aerogen, Inc. in 2001 and 2005,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Gain on Sale of the Huntsville Manufacturing Facility</w:t>
      </w:r>
    </w:p>
    <w:p>
      <w:pPr>
        <w:spacing w:after="0" w:line="189"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18"/>
          <w:szCs w:val="18"/>
          <w:color w:val="auto"/>
        </w:rPr>
        <w:t>On December 2, 2024, we completed the sale of the Facility and certain other manufacturing assets related thereto, including the assignment of our existing manufacturing and supply obligations, to Gannet BioChem, an affiliate of Ampersand, via the APA, for consideration of $64.7 million in cash, net of transaction costs, and an approximate 20% equity interest at the time of close in Gannet BioChem. The net cash proceeds reflect the base purchase price of $70.0 million, net of</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transaction costs totaling $6.2 million, and adjustments based on closing net working capital, totaling $0.9 million in incremental proceeds. We determined that the sale of the Facility meets the definition of a deconsolidation of a business.</w:t>
      </w:r>
    </w:p>
    <w:p>
      <w:pPr>
        <w:spacing w:after="0" w:line="135"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At closing of the sale of the Facility and at December 31, 2024, we own 20.0 million common units at $1.00 per unit, representing 100% of the common units outstanding, and Ampersand owns 81.5 million preferred units at $1.00 per unit, representing 100% of the preferred units outstanding. In the event of a distribution, to the extent available, the preferred unitholders have priority rights to a cumulative preferred dividend and a return of their investment before any distributions to common unitholders. After such priority distribution to the preferred unitholders, to the extent available, common unitholders are to receive a distribution of both a cumulative dividend at the same rate as the preferred unitholders’ dividend and a return of their investment. Any distributions in excess of both of these distributions, if available, are distributed to preferred and common unitholders pro rata.</w:t>
      </w:r>
    </w:p>
    <w:p>
      <w:pPr>
        <w:spacing w:after="0" w:line="147"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have significant influence, but do not control, Gannet BioChem through our noncontrolling representation on Gannet BioChem’s board of directors and our equity interests in Gannet BioChem. Accordingly, we do not consolidate Gannet BioChem and account for our investment in Gannet BioChem using the equity method of accounting. We recorded our investment in Gannet BioChem at its fair value upon the sale of the Facility. The fair value of the equity method investment was determined using an option pricing method (OPM) based on the consideration paid for the preferred units. The OPM allows for the allocation of a company’s equity value among the various equity capital owners (preferred and common unitholders) and estimates the implied equity value of Gannet BioChem. The OPM uses the unitholders’ liquidation preferences to determine how proceeds from a liquidity event shall be distributed among the various ownership classes with an expected term to a liquidity event commensurate with a private equity investment. The following table lists the other Black-Scholes option-pricing model assumptions used to calculate the fair value of the equity method investment.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Volatility factor</w:t>
            </w:r>
          </w:p>
        </w:tc>
        <w:tc>
          <w:tcPr>
            <w:tcW w:w="5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157" w:lineRule="exact"/>
        <w:rPr>
          <w:sz w:val="20"/>
          <w:szCs w:val="20"/>
          <w:color w:val="auto"/>
        </w:rPr>
      </w:pPr>
    </w:p>
    <w:p>
      <w:pPr>
        <w:ind w:right="300" w:firstLine="644"/>
        <w:spacing w:after="0" w:line="282" w:lineRule="auto"/>
        <w:rPr>
          <w:sz w:val="20"/>
          <w:szCs w:val="20"/>
          <w:color w:val="auto"/>
        </w:rPr>
      </w:pPr>
      <w:r>
        <w:rPr>
          <w:rFonts w:ascii="Times New Roman" w:cs="Times New Roman" w:eastAsia="Times New Roman" w:hAnsi="Times New Roman"/>
          <w:sz w:val="18"/>
          <w:szCs w:val="18"/>
          <w:color w:val="auto"/>
        </w:rPr>
        <w:t>At closing of the Transaction, we estimated the fair value of our investment in Gannet BioChem to be $12.2 million, and we recorded a gain of $40.4 million on the sale of the Facility. The gain was computed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proceeds at closing</w:t>
            </w:r>
          </w:p>
        </w:tc>
        <w:tc>
          <w:tcPr>
            <w:tcW w:w="118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71,167</w:t>
            </w:r>
          </w:p>
        </w:tc>
        <w:tc>
          <w:tcPr>
            <w:tcW w:w="120" w:type="dxa"/>
            <w:vAlign w:val="bottom"/>
            <w:shd w:val="clear" w:color="auto" w:fill="CFF0FC"/>
          </w:tcPr>
          <w:p>
            <w:pPr>
              <w:spacing w:after="0"/>
              <w:rPr>
                <w:sz w:val="18"/>
                <w:szCs w:val="18"/>
                <w:color w:val="auto"/>
              </w:rPr>
            </w:pPr>
          </w:p>
        </w:tc>
      </w:tr>
      <w:tr>
        <w:trPr>
          <w:trHeight w:val="216"/>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working capital adjustment</w:t>
            </w:r>
          </w:p>
        </w:tc>
        <w:tc>
          <w:tcPr>
            <w:tcW w:w="118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(322 )</w:t>
            </w:r>
          </w:p>
        </w:tc>
      </w:tr>
      <w:tr>
        <w:trPr>
          <w:trHeight w:val="216"/>
        </w:trPr>
        <w:tc>
          <w:tcPr>
            <w:tcW w:w="8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equity method investment in Gannet BioChem - Level 3 of Fair Value Hierarchy</w:t>
            </w:r>
          </w:p>
        </w:tc>
        <w:tc>
          <w:tcPr>
            <w:tcW w:w="1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cash and non-cash proceeds</w:t>
            </w:r>
          </w:p>
        </w:tc>
        <w:tc>
          <w:tcPr>
            <w:tcW w:w="1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83,063</w:t>
            </w:r>
          </w:p>
        </w:tc>
        <w:tc>
          <w:tcPr>
            <w:tcW w:w="120" w:type="dxa"/>
            <w:vAlign w:val="bottom"/>
          </w:tcPr>
          <w:p>
            <w:pPr>
              <w:spacing w:after="0"/>
              <w:rPr>
                <w:sz w:val="18"/>
                <w:szCs w:val="18"/>
                <w:color w:val="auto"/>
              </w:rPr>
            </w:pPr>
          </w:p>
        </w:tc>
      </w:tr>
      <w:tr>
        <w:trPr>
          <w:trHeight w:val="216"/>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(6,155 )</w:t>
            </w:r>
          </w:p>
        </w:tc>
      </w:tr>
      <w:tr>
        <w:trPr>
          <w:trHeight w:val="210"/>
        </w:trPr>
        <w:tc>
          <w:tcPr>
            <w:tcW w:w="83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proceeds</w:t>
            </w: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76,908</w:t>
            </w:r>
          </w:p>
        </w:tc>
        <w:tc>
          <w:tcPr>
            <w:tcW w:w="120" w:type="dxa"/>
            <w:vAlign w:val="bottom"/>
            <w:tcBorders>
              <w:top w:val="single" w:sz="8" w:color="CFF0FC"/>
            </w:tcBorders>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8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18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20" w:type="dxa"/>
            <w:vAlign w:val="bottom"/>
            <w:shd w:val="clear" w:color="auto" w:fill="CFF0FC"/>
          </w:tcPr>
          <w:p>
            <w:pPr>
              <w:spacing w:after="0"/>
              <w:rPr>
                <w:sz w:val="18"/>
                <w:szCs w:val="18"/>
                <w:color w:val="auto"/>
              </w:rPr>
            </w:pPr>
          </w:p>
        </w:tc>
      </w:tr>
      <w:tr>
        <w:trPr>
          <w:trHeight w:val="216"/>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120" w:type="dxa"/>
            <w:vAlign w:val="bottom"/>
          </w:tcPr>
          <w:p>
            <w:pPr>
              <w:spacing w:after="0"/>
              <w:rPr>
                <w:sz w:val="18"/>
                <w:szCs w:val="18"/>
                <w:color w:val="auto"/>
              </w:rPr>
            </w:pPr>
          </w:p>
        </w:tc>
      </w:tr>
      <w:tr>
        <w:trPr>
          <w:trHeight w:val="216"/>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FF0FC"/>
          </w:tcPr>
          <w:p>
            <w:pPr>
              <w:spacing w:after="0"/>
              <w:rPr>
                <w:sz w:val="18"/>
                <w:szCs w:val="18"/>
                <w:color w:val="auto"/>
              </w:rPr>
            </w:pPr>
          </w:p>
        </w:tc>
      </w:tr>
      <w:tr>
        <w:trPr>
          <w:trHeight w:val="216"/>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18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(1,354 )</w:t>
            </w:r>
          </w:p>
        </w:tc>
      </w:tr>
      <w:tr>
        <w:trPr>
          <w:trHeight w:val="209"/>
        </w:trPr>
        <w:tc>
          <w:tcPr>
            <w:tcW w:w="8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working capital</w:t>
            </w:r>
          </w:p>
        </w:tc>
        <w:tc>
          <w:tcPr>
            <w:tcW w:w="118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18,415</w:t>
            </w:r>
          </w:p>
        </w:tc>
        <w:tc>
          <w:tcPr>
            <w:tcW w:w="120" w:type="dxa"/>
            <w:vAlign w:val="bottom"/>
            <w:shd w:val="clear" w:color="auto" w:fill="CFF0FC"/>
          </w:tcPr>
          <w:p>
            <w:pPr>
              <w:spacing w:after="0"/>
              <w:rPr>
                <w:sz w:val="18"/>
                <w:szCs w:val="18"/>
                <w:color w:val="auto"/>
              </w:rPr>
            </w:pPr>
          </w:p>
        </w:tc>
      </w:tr>
      <w:tr>
        <w:trPr>
          <w:trHeight w:val="216"/>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20" w:type="dxa"/>
            <w:vAlign w:val="bottom"/>
          </w:tcPr>
          <w:p>
            <w:pPr>
              <w:spacing w:after="0"/>
              <w:rPr>
                <w:sz w:val="18"/>
                <w:szCs w:val="18"/>
                <w:color w:val="auto"/>
              </w:rPr>
            </w:pPr>
          </w:p>
        </w:tc>
      </w:tr>
      <w:tr>
        <w:trPr>
          <w:trHeight w:val="216"/>
        </w:trPr>
        <w:tc>
          <w:tcPr>
            <w:tcW w:w="8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 net</w:t>
            </w:r>
          </w:p>
        </w:tc>
        <w:tc>
          <w:tcPr>
            <w:tcW w:w="1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assets sold</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36,518</w:t>
            </w:r>
          </w:p>
        </w:tc>
        <w:tc>
          <w:tcPr>
            <w:tcW w:w="12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8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proceeds</w:t>
            </w:r>
          </w:p>
        </w:tc>
        <w:tc>
          <w:tcPr>
            <w:tcW w:w="118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76,908</w:t>
            </w:r>
          </w:p>
        </w:tc>
        <w:tc>
          <w:tcPr>
            <w:tcW w:w="120" w:type="dxa"/>
            <w:vAlign w:val="bottom"/>
            <w:shd w:val="clear" w:color="auto" w:fill="CFF0FC"/>
          </w:tcPr>
          <w:p>
            <w:pPr>
              <w:spacing w:after="0"/>
              <w:rPr>
                <w:sz w:val="18"/>
                <w:szCs w:val="18"/>
                <w:color w:val="auto"/>
              </w:rPr>
            </w:pPr>
          </w:p>
        </w:tc>
      </w:tr>
      <w:tr>
        <w:trPr>
          <w:trHeight w:val="216"/>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sold</w:t>
            </w:r>
          </w:p>
        </w:tc>
        <w:tc>
          <w:tcPr>
            <w:tcW w:w="118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(36,518 )</w:t>
            </w:r>
          </w:p>
        </w:tc>
      </w:tr>
      <w:tr>
        <w:trPr>
          <w:trHeight w:val="249"/>
        </w:trPr>
        <w:tc>
          <w:tcPr>
            <w:tcW w:w="8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asset sale</w:t>
            </w:r>
          </w:p>
        </w:tc>
        <w:tc>
          <w:tcPr>
            <w:tcW w:w="1180" w:type="dxa"/>
            <w:vAlign w:val="bottom"/>
            <w:tcBorders>
              <w:top w:val="single" w:sz="8" w:color="auto"/>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-2545080</wp:posOffset>
            </wp:positionV>
            <wp:extent cx="774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-865505</wp:posOffset>
            </wp:positionV>
            <wp:extent cx="774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ind w:right="620" w:firstLine="644"/>
        <w:spacing w:after="0" w:line="282" w:lineRule="auto"/>
        <w:rPr>
          <w:sz w:val="20"/>
          <w:szCs w:val="20"/>
          <w:color w:val="auto"/>
        </w:rPr>
      </w:pPr>
      <w:r>
        <w:rPr>
          <w:rFonts w:ascii="Times New Roman" w:cs="Times New Roman" w:eastAsia="Times New Roman" w:hAnsi="Times New Roman"/>
          <w:sz w:val="18"/>
          <w:szCs w:val="18"/>
          <w:color w:val="auto"/>
        </w:rPr>
        <w:t>Gannet BioChem is considered a related party to Nektar. Concurrently with the closing of the transaction, we entered into certain ancillary agreements with Gannet BioChem, including supply agreements for rezpegaldesleukin and NKTR-255, and certain services agreements.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Supply Agreements</w:t>
      </w:r>
    </w:p>
    <w:p>
      <w:pPr>
        <w:spacing w:after="0" w:line="119" w:lineRule="exact"/>
        <w:rPr>
          <w:sz w:val="20"/>
          <w:szCs w:val="20"/>
          <w:color w:val="auto"/>
        </w:rPr>
      </w:pPr>
    </w:p>
    <w:p>
      <w:pPr>
        <w:jc w:val="both"/>
        <w:ind w:right="200" w:firstLine="644"/>
        <w:spacing w:after="0" w:line="289" w:lineRule="auto"/>
        <w:rPr>
          <w:sz w:val="20"/>
          <w:szCs w:val="20"/>
          <w:color w:val="auto"/>
        </w:rPr>
      </w:pPr>
      <w:r>
        <w:rPr>
          <w:rFonts w:ascii="Times New Roman" w:cs="Times New Roman" w:eastAsia="Times New Roman" w:hAnsi="Times New Roman"/>
          <w:sz w:val="17"/>
          <w:szCs w:val="17"/>
          <w:color w:val="auto"/>
        </w:rPr>
        <w:t>Under the terms of the supply agreements, Gannet BioChem has agreed to manufacture and supply the PEG reagents for use in clinical trials of these drug candidates at prices defined within the agreements. There are no minimum purchase commitments and Nektar can terminate the agreement for convenience upon prior written notice. After the sale of the Facility through December 31, 2024, we did not make any purchases from Gannet BioChem.</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Services Agreements</w:t>
      </w:r>
    </w:p>
    <w:p>
      <w:pPr>
        <w:spacing w:after="0" w:line="119"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Pursuant to a transition services agreement and full-time employee equivalent agreement, Nektar is performing certain transition services for the benefit of Gannet BioChem, primarily related to information technology and accounting, and Gannet BioChem is performing certain transition services for the benefit of Nektar, primarily to support research and development activities. The terms of these agreements are no more than two years, subject to certain termination provisions. For the year ended December 31, 2024, we recorded $0.3 million as research and development expenses for services provided by Gannet BioChem to us and $0.1 million as other income for services provided by us to Gannet BioChem in our Consolidated Statements of Operations.</w:t>
      </w:r>
    </w:p>
    <w:p>
      <w:pPr>
        <w:spacing w:after="0" w:line="79" w:lineRule="exact"/>
        <w:rPr>
          <w:sz w:val="20"/>
          <w:szCs w:val="20"/>
          <w:color w:val="auto"/>
        </w:rPr>
      </w:pPr>
    </w:p>
    <w:p>
      <w:pPr>
        <w:ind w:right="220" w:firstLine="644"/>
        <w:spacing w:after="0" w:line="261" w:lineRule="auto"/>
        <w:rPr>
          <w:sz w:val="20"/>
          <w:szCs w:val="20"/>
          <w:color w:val="auto"/>
        </w:rPr>
      </w:pPr>
      <w:r>
        <w:rPr>
          <w:rFonts w:ascii="Times New Roman" w:cs="Times New Roman" w:eastAsia="Times New Roman" w:hAnsi="Times New Roman"/>
          <w:sz w:val="18"/>
          <w:szCs w:val="18"/>
          <w:color w:val="auto"/>
        </w:rPr>
        <w:t>As of December 31, 2024, we recorded a net payable of $3.4 million to Gannet BioChem, consisting of $2.9 million for the collection of receivables from Gannet BioChem’s customers, net of payments to Gannet BioChem’s vendors, under the transition services agreement, $0.3 million for the final net working capital adjustment, and $0.2 million, net, under the services agreements. We report this amount in accrued expenses in our Consolidated Balance Sheets.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2017 Performance Incentive Plan</w:t>
      </w:r>
    </w:p>
    <w:p>
      <w:pPr>
        <w:spacing w:after="0" w:line="121"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Our 2017 Performance Incentive Plan, as amended and restated, (2017 Plan) provides for the issuance of our common stock to members of the Board of Directors, officers or employees, certain consultants and advisors and our subsidiaries. On June 5, 2024, the stockholders of Nektar approved an amendment to the 2017 Plan to increase the aggregate number of shares of Common Stock authorized for issuance thereunder by 8,000,000 shares. Under the 2017 Plan, we may issue stock options, restricted stock, performance stock, stock units, stock appreciation rights and other similar types of awards. When the 2017 Plan was approved on June 14, 2017, any shares of our common stock that were available for issuance under our 2012 Performance Incentive Plan (the 2012 Plan) ceased to be available for future grants. However, options and RSUs granted under the 2012 Plan remained outstanding, and any options or RSUs that were cancelled or forfeited became available for issuance under the 2017 Plan. Shares issued for RSUs, PSUs or any other “full-value award” are counted against the share limit as 1.5 shares for every one share granted in connection with the award.</w:t>
      </w:r>
    </w:p>
    <w:p>
      <w:pPr>
        <w:spacing w:after="0" w:line="84" w:lineRule="exact"/>
        <w:rPr>
          <w:sz w:val="20"/>
          <w:szCs w:val="20"/>
          <w:color w:val="auto"/>
        </w:rPr>
      </w:pPr>
    </w:p>
    <w:p>
      <w:pPr>
        <w:ind w:right="200" w:firstLine="644"/>
        <w:spacing w:after="0" w:line="261" w:lineRule="auto"/>
        <w:rPr>
          <w:sz w:val="20"/>
          <w:szCs w:val="20"/>
          <w:color w:val="auto"/>
        </w:rPr>
      </w:pPr>
      <w:r>
        <w:rPr>
          <w:rFonts w:ascii="Times New Roman" w:cs="Times New Roman" w:eastAsia="Times New Roman" w:hAnsi="Times New Roman"/>
          <w:sz w:val="18"/>
          <w:szCs w:val="18"/>
          <w:color w:val="auto"/>
        </w:rPr>
        <w:t>We have granted non-qualified stock options, RSUs and PSUs to employees, officers, and non-employee directors. For our employees, the requisite service period is generally three to four years for stock options, and three years for RSUs and PSUs. For our directors, the requisite service is generally one year for stock options and RSUs. The maximum term of a stock option is eight years from the date of grant. The per share exercise price of an option generally may not be less than the fair market value of a share of our common stock on the NASDAQ Stock Market on the date of grant.</w:t>
      </w:r>
    </w:p>
    <w:p>
      <w:pPr>
        <w:spacing w:after="0" w:line="72"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Under our Change in Control Plan (the CIC Plan), in the event of a change of control of Nektar and a subsequent termination of employment initiated by us or a successor company other than for Cause (as defined in the CIC Plan) within twelve months following a change of control, our employees are entitled to full acceleration of their unvested equity awards. Our Chief Executive Officer, Senior Vice Presidents and Vice Presidents (including Principal Fellows) are also entitled to full acceleration of unvested equity awards if the termination is initiated by the employee for a Good Reason Resignation (as defined in the CIC Plan) within twelve months following a change of control. Additionally, non-employee directors would also be entitled to full acceleration of vesting of all outstanding stock awards in the event of a change of control transaction.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ind w:right="280" w:firstLine="644"/>
        <w:spacing w:after="0" w:line="266" w:lineRule="auto"/>
        <w:rPr>
          <w:sz w:val="20"/>
          <w:szCs w:val="20"/>
          <w:color w:val="auto"/>
        </w:rPr>
      </w:pPr>
      <w:r>
        <w:rPr>
          <w:rFonts w:ascii="Times New Roman" w:cs="Times New Roman" w:eastAsia="Times New Roman" w:hAnsi="Times New Roman"/>
          <w:sz w:val="18"/>
          <w:szCs w:val="18"/>
          <w:color w:val="auto"/>
        </w:rPr>
        <w:t>Under the terms of our Employee Stock Purchase Plan (ESPP), employees may purchase shares of our common stock based on a percentage of their compensation subject to certain limits. Shares are purchased at 85% of the lower of the closing price on either the first day or last day of each six-month offering period. An aggregate 3,500,000 shares have been authorized for issuance under our ESPP.</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recognize total stock-based compensation expense in our Consolidated Statements of Operations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2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33,388</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resulting from PSUs and our ESPP was not significant in the years ended December 31, 2024, and 2023.</w:t>
      </w:r>
    </w:p>
    <w:p>
      <w:pPr>
        <w:spacing w:after="0" w:line="117" w:lineRule="exact"/>
        <w:rPr>
          <w:sz w:val="20"/>
          <w:szCs w:val="20"/>
          <w:color w:val="auto"/>
        </w:rPr>
      </w:pPr>
    </w:p>
    <w:p>
      <w:pPr>
        <w:ind w:right="500" w:firstLine="644"/>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costs of $19.6 million related to unvested stock-based compensation awards are expected to be recognized as expense over a weighted-average period of 2.7 years.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Black-Scholes Assumptions</w:t>
      </w:r>
    </w:p>
    <w:p>
      <w:pPr>
        <w:spacing w:after="0" w:line="121" w:lineRule="exact"/>
        <w:rPr>
          <w:sz w:val="20"/>
          <w:szCs w:val="20"/>
          <w:color w:val="auto"/>
        </w:rPr>
      </w:pPr>
    </w:p>
    <w:p>
      <w:pPr>
        <w:ind w:right="460" w:firstLine="644"/>
        <w:spacing w:after="0" w:line="282" w:lineRule="auto"/>
        <w:rPr>
          <w:sz w:val="20"/>
          <w:szCs w:val="20"/>
          <w:color w:val="auto"/>
        </w:rPr>
      </w:pPr>
      <w:r>
        <w:rPr>
          <w:rFonts w:ascii="Times New Roman" w:cs="Times New Roman" w:eastAsia="Times New Roman" w:hAnsi="Times New Roman"/>
          <w:sz w:val="18"/>
          <w:szCs w:val="18"/>
          <w:color w:val="auto"/>
        </w:rPr>
        <w:t>The following table lists the Black-Scholes option-pricing model assumptions used to calculate the fair value of employee and director stock options, as well as the resulting grant-date fair value: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76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180" w:type="dxa"/>
            <w:vAlign w:val="bottom"/>
          </w:tcPr>
          <w:p>
            <w:pPr>
              <w:spacing w:after="0"/>
              <w:rPr>
                <w:sz w:val="12"/>
                <w:szCs w:val="12"/>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4.2 %</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8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0.0 %</w:t>
            </w:r>
          </w:p>
        </w:tc>
        <w:tc>
          <w:tcPr>
            <w:tcW w:w="6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volatility factor</w:t>
            </w: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91.7 %</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88.4 %</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life</w:t>
            </w:r>
          </w:p>
        </w:tc>
        <w:tc>
          <w:tcPr>
            <w:tcW w:w="38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 years</w:t>
            </w:r>
          </w:p>
        </w:tc>
        <w:tc>
          <w:tcPr>
            <w:tcW w:w="6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 years</w:t>
            </w: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 of options granted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3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80" w:type="dxa"/>
            <w:vAlign w:val="bottom"/>
            <w:shd w:val="clear" w:color="auto" w:fill="CFF0FC"/>
          </w:tcPr>
          <w:p>
            <w:pPr>
              <w:spacing w:after="0"/>
              <w:rPr>
                <w:sz w:val="18"/>
                <w:szCs w:val="18"/>
                <w:color w:val="auto"/>
              </w:rPr>
            </w:pPr>
          </w:p>
        </w:tc>
      </w:tr>
    </w:tbl>
    <w:p>
      <w:pPr>
        <w:spacing w:after="0" w:line="306"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The average risk-free interest rate is based on the U.S. treasury yield curve in effect at the time of grant for periods commensurate with the expected life of the stock-based award. We have never paid dividends, nor do we expect to pay dividends in the foreseeable future; therefore, we used a dividend yield of zero. Our estimate of expected volatility is based on the daily historical trading data of our common stock at the time of grant over a historical period commensurate with the expected life of the stock-based award. We estimated the weighted-average expected life based on the contractual and vesting terms of the stock options, as well as historical cancellation and exercise data.</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Activity</w:t>
      </w:r>
    </w:p>
    <w:p>
      <w:pPr>
        <w:spacing w:after="0" w:line="121" w:lineRule="exact"/>
        <w:rPr>
          <w:sz w:val="20"/>
          <w:szCs w:val="20"/>
          <w:color w:val="auto"/>
        </w:rPr>
      </w:pPr>
    </w:p>
    <w:p>
      <w:pPr>
        <w:ind w:right="640" w:firstLine="644"/>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stock option activity under our equity incentive plans (in thousands, except for price per share and contractual life information):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23,016</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(144 )</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forfeited &amp; canceled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(2,354 )</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4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-299720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-281940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ind w:left="480" w:right="320" w:hanging="472"/>
        <w:spacing w:after="0" w:line="282" w:lineRule="auto"/>
        <w:tabs>
          <w:tab w:leader="none" w:pos="4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Aggregate intrinsic value represents the difference between the exercise price of the option and the closing market price of our common stock on December 31, 2024.</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2024 and 2023 was not significant.</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RSU Activity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RSU award activity is as follows (in thousands except for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7740" w:type="dxa"/>
            <w:vAlign w:val="bottom"/>
          </w:tcPr>
          <w:p>
            <w:pPr>
              <w:spacing w:after="0"/>
              <w:rPr>
                <w:sz w:val="12"/>
                <w:szCs w:val="12"/>
                <w:color w:val="auto"/>
              </w:rPr>
            </w:pPr>
          </w:p>
        </w:tc>
        <w:tc>
          <w:tcPr>
            <w:tcW w:w="186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Units Issued</w:t>
            </w:r>
          </w:p>
        </w:tc>
        <w:tc>
          <w:tcPr>
            <w:tcW w:w="26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 and released</w:t>
            </w: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(2,474 )</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 and canceled</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(283 )</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580" w:firstLine="644"/>
        <w:spacing w:after="0" w:line="312" w:lineRule="auto"/>
        <w:rPr>
          <w:sz w:val="20"/>
          <w:szCs w:val="20"/>
          <w:color w:val="auto"/>
        </w:rPr>
      </w:pPr>
      <w:r>
        <w:rPr>
          <w:rFonts w:ascii="Times New Roman" w:cs="Times New Roman" w:eastAsia="Times New Roman" w:hAnsi="Times New Roman"/>
          <w:sz w:val="17"/>
          <w:szCs w:val="17"/>
          <w:color w:val="auto"/>
        </w:rPr>
        <w:t>The weighted-average grant-date fair values of RSUs granted during the years ended December 31, 2024 and 2023 were $1.09 and $1.10, respectively. The fair value of RSUs that vested in the years ended December 31, 2024 and 2023 totaled $2.8 million and $3.6 million, respectively.</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401(k) Retirement Plan</w:t>
      </w:r>
    </w:p>
    <w:p>
      <w:pPr>
        <w:spacing w:after="0" w:line="189"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We sponsor a 401(k) retirement plan whereby eligible employees may elect to contribute up to the lesser of 60% of their annual compensation or the statutorily prescribed annual limit allowable under Internal Revenue Service regulations. The 401(k) plan permits us to make matching contributions on behalf of all participants, up to a maximum of $12,000 per participant for the years ended December 31, 2023 and 2024. For the years ended December 31, 2024 and 2023, we recognized $1.4 million, and $1.5 million, respectively, of compensation expense in connection with our 401(k) retirement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 before provision for income taxes includes the following components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(119,227 )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(274,998 )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(1,258 )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(119,200 )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(276,256 )</w:t>
            </w:r>
          </w:p>
        </w:tc>
      </w:tr>
      <w:tr>
        <w:trPr>
          <w:trHeight w:val="413"/>
        </w:trPr>
        <w:tc>
          <w:tcPr>
            <w:tcW w:w="772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92"/>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7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(277 )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(229 )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(239 )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-2459355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-2442210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-873760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Our income tax provision related to continuing operations differs from the amount computed by applying the statutory income tax rate of 21% to our pretax loss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(25,032 )</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(58,013 )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credits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(1,192 )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Expiration of net operating loss carryforwards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 related to sales of future royalties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royalty revenue related to sales of future royalties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(5,645 )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(7,838 )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121"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net tax effects of loss and credit carryforwards and temporary differences between the carrying amount of assets and liabilities for financial reporting purposes and the amounts used for income tax purposes. We measure deferred tax assets and liabilities based on the rates at which they are expected to reverse in the future. Significant components of our deferred tax assets for federal and state income taxes are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587,528</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574,737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other credits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135,871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144,128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capital loss carryforwards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45,607</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862,462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858,618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(859,084 )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(854,528 )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tcBorders>
              <w:top w:val="single" w:sz="8" w:color="CFF0FC"/>
            </w:tcBorders>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(1,835 )</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(3,824 )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foreign subsidiary</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(511 )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(521 )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Outside basis difference in Gannet BioChem</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(1,337 )</w:t>
            </w:r>
          </w:p>
        </w:tc>
        <w:tc>
          <w:tcPr>
            <w:tcW w:w="4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(205 )</w:t>
            </w: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(3,888 )</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(4,610 )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(510 )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(520 )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-1439545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-1156335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Realization of our deferred tax assets is dependent upon future earnings, if any, the timing and amount of which are uncertain. Because of our lack of U.S. earnings history and projected future losses, we have fully reserved our net U.S. deferred tax assets with a valuation allowance. The valuation allowance increased by $4.6 million for the year ended December 31, 2024 and increased by $38.3 million for the year ended December 31, 2023.</w:t>
      </w:r>
    </w:p>
    <w:p>
      <w:pPr>
        <w:spacing w:after="0" w:line="68"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Our net deferred tax liability position reflects the provision for the withholding taxes associated with the repatriation of accumulated earnings and profits from India.</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and Tax Credit Carryforwards</w:t>
      </w:r>
    </w:p>
    <w:p>
      <w:pPr>
        <w:spacing w:after="0" w:line="121"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As of December 31, 2024, we had a net operating loss carryforward for federal income tax purposes of approximately $2.8 billion, of which $1.2 billion is subject to expiration beginning in 2025 and a total state net operating loss carryforward of approximately $0.7 billion, portions of which will begin to expire in 2026. We have federal tax credits of approximately $126.7 million, which will begin to expire in 2025 and state research credits of approximately $60.7 million which have no expiration date. Utilization of some of the federal and state net operating loss and credit carryforwards are subject to annual limitations due to the “change in ownership” provisions of the Internal Revenue Code of 1986 and similar state provisions.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the following activity relating to unrecognized tax benefits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126,498</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85,845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current year:</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Reductions</w:t>
            </w:r>
          </w:p>
        </w:tc>
        <w:tc>
          <w:tcPr>
            <w:tcW w:w="9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positions related to prior years: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Reductions</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Settlements</w:t>
            </w: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(815 )</w:t>
            </w: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Lapses in statute of limitations</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(678 )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135,672</w:t>
            </w: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126,498</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We currently have a full valuation allowance against our U.S. net deferred tax asset which would impact the timing of the effective tax rate benefit should any of these uncertain tax positions be favorably settled in the future. Adjustments to the substantial majority of our uncertain tax positions would result in an adjustment of our net operating loss or tax credit carryforwards rather than resulting in a cash outlay.</w:t>
      </w:r>
    </w:p>
    <w:p>
      <w:pPr>
        <w:spacing w:after="0" w:line="149" w:lineRule="exact"/>
        <w:rPr>
          <w:sz w:val="20"/>
          <w:szCs w:val="20"/>
          <w:color w:val="auto"/>
        </w:rPr>
      </w:pPr>
    </w:p>
    <w:p>
      <w:pPr>
        <w:jc w:val="both"/>
        <w:ind w:right="80" w:firstLine="644"/>
        <w:spacing w:after="0" w:line="261" w:lineRule="auto"/>
        <w:rPr>
          <w:sz w:val="20"/>
          <w:szCs w:val="20"/>
          <w:color w:val="auto"/>
        </w:rPr>
      </w:pPr>
      <w:r>
        <w:rPr>
          <w:rFonts w:ascii="Times New Roman" w:cs="Times New Roman" w:eastAsia="Times New Roman" w:hAnsi="Times New Roman"/>
          <w:sz w:val="18"/>
          <w:szCs w:val="18"/>
          <w:color w:val="auto"/>
        </w:rPr>
        <w:t>We file income tax returns in the U.S., California, Alabama, certain other states and India and certain other international jurisdictions. As a result of our net operating loss and research credit carryforwards, substantially all of our domestic tax years remain open and subject to examination. We may be subject to examination in India and other jurisdictions from time to time, but we do not believe that any liability resulting from such an examination would have a material effect on our financial position or results of operations.</w:t>
      </w:r>
    </w:p>
    <w:p>
      <w:pPr>
        <w:spacing w:after="0" w:line="139"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policy is to include interest and penalties related to unrecognized tax benefits, if any, within the provision for income taxes in the consolidated statements of operations. During the years ended December 31, 2024 and 2023, no significant interest or penalties were recognized relating to unrecognized tax benefits. Although it is reasonably possible that certain unrecognized tax benefits could change in the future, we do not anticipate any significant changes over the next twelve months.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Reporting</w:t>
      </w:r>
    </w:p>
    <w:p>
      <w:pPr>
        <w:spacing w:after="0" w:line="202" w:lineRule="exact"/>
        <w:rPr>
          <w:sz w:val="20"/>
          <w:szCs w:val="20"/>
          <w:color w:val="auto"/>
        </w:rPr>
      </w:pPr>
    </w:p>
    <w:p>
      <w:pPr>
        <w:ind w:right="260" w:firstLine="644"/>
        <w:spacing w:after="0" w:line="261" w:lineRule="auto"/>
        <w:rPr>
          <w:sz w:val="20"/>
          <w:szCs w:val="20"/>
          <w:color w:val="auto"/>
        </w:rPr>
      </w:pPr>
      <w:r>
        <w:rPr>
          <w:rFonts w:ascii="Times New Roman" w:cs="Times New Roman" w:eastAsia="Times New Roman" w:hAnsi="Times New Roman"/>
          <w:sz w:val="18"/>
          <w:szCs w:val="18"/>
          <w:color w:val="auto"/>
        </w:rPr>
        <w:t>We operate in one business segment which focuses on applying our expertise to develop novel drug candidates. Our business offerings have similar economics and other characteristics, including the nature of products and manufacturing processes, types of customers, distribution methods and regulatory environment. We are comprehensively managed as one business segment by our Chief Executive Officer, who is our chief operating decision maker (CODM).</w:t>
      </w:r>
    </w:p>
    <w:p>
      <w:pPr>
        <w:spacing w:after="0" w:line="139"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CODM assesses the performance of the Company and decides how to allocate resources based upon net loss that is also reported within the Consolidated Statements of Operations. The measure of segment assets that is reviewed by the CODM is reported within the Consolidated Balance Sheet as total assets. The following is a summary of the significant expense categories and consolidated net loss details provided to the CODM (in thousands):</w:t>
      </w:r>
    </w:p>
    <w:tbl>
      <w:tblPr>
        <w:tblLayout w:type="fixed"/>
        <w:tblInd w:w="0" w:type="dxa"/>
        <w:tblCellMar>
          <w:top w:w="0" w:type="dxa"/>
          <w:left w:w="0" w:type="dxa"/>
          <w:bottom w:w="0" w:type="dxa"/>
          <w:right w:w="0" w:type="dxa"/>
        </w:tblCellMar>
      </w:tblPr>
      <w:tr>
        <w:trPr>
          <w:trHeight w:val="158"/>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60" w:type="dxa"/>
            <w:vAlign w:val="bottom"/>
            <w:gridSpan w:val="5"/>
          </w:tcPr>
          <w:p>
            <w:pPr>
              <w:jc w:val="right"/>
              <w:ind w:right="1000"/>
              <w:spacing w:after="0" w:line="158"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development, contract manufacturing and other third party costs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Rezpegaldesleukin (cytokine Treg stimulant)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NKTR-255 (IL-15 receptor agonist)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NKTR-0165 (tumor necrosis factor receptor type II agonist)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Discovery research and other programs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clinical development, contract manufacturing and other third party costs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76,850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costs (a)(b)</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Facilities costs (a)</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costs (a)(c)</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segment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the Huntsville manufacturing facility</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(40,390 )</w:t>
            </w: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203,625</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(105,198 )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(263,684 )</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on liability related to sale of future royalties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(28,112 )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(25,334 )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(6,247 )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(14,002 )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(12,572 )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(119,200 )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(276,256 )</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Arial" w:cs="Arial" w:eastAsia="Arial" w:hAnsi="Arial"/>
                <w:sz w:val="15"/>
                <w:szCs w:val="15"/>
                <w:color w:val="auto"/>
              </w:rPr>
              <w:t>90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7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7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-2065020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-1216660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segment expense items included within net loss include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2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other property, plant and equipment, net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 (a)</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segment expenses</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37,407</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149,337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80" w:hanging="503"/>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costs, facilities costs, other operating costs, stock-based compensation expense and depreciation and amortization expense include amounts reported in research and development expense and general and administrative expense in our Consolidated Statements of Operations. Such amounts reported in cost of goods sold in our Consolidated Statements of Operations are included in cost of goods sold in the summary of significant segment expenses.</w:t>
      </w:r>
    </w:p>
    <w:p>
      <w:pPr>
        <w:spacing w:after="0" w:line="71"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compensation and benefits for our employees and costs for our contractors and temporary workers and includes severance expense of zero and $7.9 million for the years ended December 31, 2024 and 2023, respectively.</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legal and patent expenses, information technology infrastructure and other costs, professional accounting, insurance, travel and entertainment and other third-party services and expenses.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revenue has been derived primarily from customers in the pharmaceutical and biotechnology industries. Revenue from UCB Pharma, Baxalta</w:t>
      </w:r>
    </w:p>
    <w:p>
      <w:pPr>
        <w:spacing w:after="0" w:line="27" w:lineRule="exact"/>
        <w:rPr>
          <w:sz w:val="20"/>
          <w:szCs w:val="20"/>
          <w:color w:val="auto"/>
        </w:rPr>
      </w:pPr>
    </w:p>
    <w:p>
      <w:pPr>
        <w:ind w:right="100" w:firstLine="8"/>
        <w:spacing w:after="0" w:line="255" w:lineRule="auto"/>
        <w:tabs>
          <w:tab w:leader="none" w:pos="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Takeda, AstraZeneca, Pfizer, and Roche represented 39%, 18%, 17%, 12% and 10% of our revenue, respectively, for the year ended December 31, 2024. Revenue from UCB Pharma, Baxalta / Takeda, AstraZeneca and Pfizer represented 40%, 21%, 11% and 10% of our revenue, respectively, for the year ended December 31, 2023.</w:t>
      </w:r>
    </w:p>
    <w:p>
      <w:pPr>
        <w:spacing w:after="0" w:line="145" w:lineRule="exact"/>
        <w:rPr>
          <w:sz w:val="20"/>
          <w:szCs w:val="20"/>
          <w:color w:val="auto"/>
        </w:rPr>
      </w:pPr>
    </w:p>
    <w:p>
      <w:pPr>
        <w:ind w:right="760" w:firstLine="644"/>
        <w:spacing w:after="0" w:line="282" w:lineRule="auto"/>
        <w:rPr>
          <w:sz w:val="20"/>
          <w:szCs w:val="20"/>
          <w:color w:val="auto"/>
        </w:rPr>
      </w:pPr>
      <w:r>
        <w:rPr>
          <w:rFonts w:ascii="Times New Roman" w:cs="Times New Roman" w:eastAsia="Times New Roman" w:hAnsi="Times New Roman"/>
          <w:sz w:val="18"/>
          <w:szCs w:val="18"/>
          <w:color w:val="auto"/>
        </w:rPr>
        <w:t>Revenue by geographic area is based on the headquarters or shipping locations of our partners. The following table sets forth revenue by geographic area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97,052</w:t>
            </w:r>
          </w:p>
        </w:tc>
        <w:tc>
          <w:tcPr>
            <w:tcW w:w="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78,641</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2024 and 2023, all of our property, plant and equipment was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48"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of 1934 (Exchange Act) reports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1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 Based upon, and as of the date of, this evaluation, our Chief Executive Officer and Chief Financial Officer concluded that our disclosure controls and procedures were effective.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48"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the preparation of financial statements for external purposes in accordance with GAAP.</w:t>
      </w:r>
    </w:p>
    <w:p>
      <w:pPr>
        <w:spacing w:after="0" w:line="108"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Our management has assessed the effectiveness of our internal control over financial reporting as of December 31, 2024. In making its assessment of internal control over financial reporting, management used the criteria described in Internal Control — Integrated Framework issued by the Committee of Sponsoring Organizations of the Treadway Commission (2013 Framework).</w:t>
      </w:r>
    </w:p>
    <w:p>
      <w:pPr>
        <w:spacing w:after="0" w:line="108"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Based on our evaluation under the framework described in Internal Control — Integrated Framework, our management concluded that our internal control over financial reporting was effective as of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the Company. There was no change in our internal control over financial reporting during the quarter ended December 31, 2024, which was identified in connection with our management’s evaluation required by Exchange Act Rules 13a-15(f) and 15d-15(f) that has materially affected, or is reasonably likely to materially affect, our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the Effectiveness of Controls</w:t>
      </w:r>
    </w:p>
    <w:p>
      <w:pPr>
        <w:spacing w:after="0" w:line="148"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62" w:lineRule="exact"/>
        <w:rPr>
          <w:sz w:val="20"/>
          <w:szCs w:val="20"/>
          <w:color w:val="auto"/>
        </w:rPr>
      </w:pPr>
    </w:p>
    <w:p>
      <w:pPr>
        <w:ind w:left="900" w:hanging="24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44" w:lineRule="exact"/>
        <w:rPr>
          <w:rFonts w:ascii="Times New Roman" w:cs="Times New Roman" w:eastAsia="Times New Roman" w:hAnsi="Times New Roman"/>
          <w:sz w:val="18"/>
          <w:szCs w:val="18"/>
          <w:color w:val="auto"/>
        </w:rPr>
      </w:pPr>
    </w:p>
    <w:p>
      <w:pPr>
        <w:ind w:right="40" w:firstLine="652"/>
        <w:spacing w:after="0" w:line="266" w:lineRule="auto"/>
        <w:tabs>
          <w:tab w:leader="none" w:pos="89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directors or “officers,” as defined in Rule 16a-1(f) under the Securities Exchange Act of 1934, adopted or terminated a Rule 10b5-1 trading plan or arrangement or a non-Rule 10b5-1 trading plan or arrangement, as defined in Item 408(c) of Regulation S-K, during the fiscal quarter covered by this report.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2025 Annual Meeting</w:t>
      </w:r>
    </w:p>
    <w:p>
      <w:pPr>
        <w:spacing w:after="0" w:line="187"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i w:val="1"/>
          <w:iCs w:val="1"/>
          <w:color w:val="auto"/>
        </w:rPr>
        <w:t>Diana Brainard, M.D.</w:t>
      </w:r>
      <w:r>
        <w:rPr>
          <w:rFonts w:ascii="Times New Roman" w:cs="Times New Roman" w:eastAsia="Times New Roman" w:hAnsi="Times New Roman"/>
          <w:sz w:val="18"/>
          <w:szCs w:val="18"/>
          <w:color w:val="auto"/>
        </w:rPr>
        <w:t>, age 54, was appointed to our board of directors in November 2021. Dr. Brainard is an Entrepreneur Partner at MPM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BioImpact, a biotechnology investment firm. She formerly served as the Chief Executive Officer and a member of the board of directors of AlloVir, Inc., a late clinical-stage cell therapy company. Prior to joining AlloVir, Inc., Dr. Brainard served as Senior Vice President and Virology Therapeutic Area Head at Gilead Sciences, Inc. from 2018 to April 2021. From 2015 to 2018, Dr. Brainard served as Vice President of Clinical Research, Liver Diseases at Gilead Sciences, Inc. Dr. Brainard obtained her B.A. degree from Brown University and her M.D. from Tulane University School of Medicine.</w:t>
      </w:r>
    </w:p>
    <w:p>
      <w:pPr>
        <w:spacing w:after="0" w:line="156" w:lineRule="exact"/>
        <w:rPr>
          <w:sz w:val="20"/>
          <w:szCs w:val="20"/>
          <w:color w:val="auto"/>
        </w:rPr>
      </w:pPr>
    </w:p>
    <w:p>
      <w:pPr>
        <w:ind w:right="20" w:firstLine="644"/>
        <w:spacing w:after="0" w:line="268" w:lineRule="auto"/>
        <w:rPr>
          <w:sz w:val="20"/>
          <w:szCs w:val="20"/>
          <w:color w:val="auto"/>
        </w:rPr>
      </w:pPr>
      <w:r>
        <w:rPr>
          <w:rFonts w:ascii="Times New Roman" w:cs="Times New Roman" w:eastAsia="Times New Roman" w:hAnsi="Times New Roman"/>
          <w:sz w:val="17"/>
          <w:szCs w:val="17"/>
          <w:i w:val="1"/>
          <w:iCs w:val="1"/>
          <w:color w:val="auto"/>
        </w:rPr>
        <w:t>R. Scott Greer</w:t>
      </w:r>
      <w:r>
        <w:rPr>
          <w:rFonts w:ascii="Times New Roman" w:cs="Times New Roman" w:eastAsia="Times New Roman" w:hAnsi="Times New Roman"/>
          <w:sz w:val="17"/>
          <w:szCs w:val="17"/>
          <w:color w:val="auto"/>
        </w:rPr>
        <w:t>, age 66, has served as our director since February 2010. Mr. Greer currently serves as Managing Director of Numenor Ventures,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LLC, a venture capital firm. In 1996, Mr. Greer co-founded Abgenix, Inc., a company that specialized in the discovery, development and manufacture of human therapeutic antibodies, and from June 1996 through May 2002, he served as its Chief Executive Officer. He previously also served as a director of Abgenix from 1996 and Chairman of the board of directors from 2000 until the acquisition of Abgenix by Amgen, Inc. in April 2006. Prior to Abgenix’s formation, Mr. Greer held senior management positions at Cell Genesys, Inc., a biotechnology company, initially as Chief Financial Officer and Vice President of Corporate Development and later as Senior Vice President of Corporate Development, and various positions at Genetics Institute, Inc., a biotechnology research and development company. He previously served on the board of directors of Inogen, Inc., a medical device company that develops and markets oxygen therapy products from 2015-2021, Sientra, Inc., a medical aesthetics company from 2014-2018, Versartis, Inc., an endocrine focused biopharmaceutical company from 2014-2018, Auspex Pharmaceuticals, a biopharmaceutical company developing drugs for patients with movement disorders and other rare diseases from 2014-2015, StemCells, Inc., a biopharmaceutical company focused on stem cell therapeutics from 2010-2016, Ablexis, an antibody technology company, as its Chairman of the board of directors from 2010-2016, Sirna Therapeutics, Inc., a biotechnology company, from 2003, and as its Chairman of the board of directors from 2005, through the closing of the acquisition of Sirna by Merck &amp; Co., Inc. in December 2006. Mr. Greer previously also served as a member of the board of directors of Illumina, Inc., a provider of integrated systems for the analysis of genetic variation and biological function from 2001-2005 and of the board of directors of CV Therapeutics, Inc., a biotechnology company from 2001-2004. Mr. Greer received a B.A. in Economics from Whitman College and an M.B.A. degree from Harvard University. He also was a certified public accountant.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2026 Annual Meeting</w:t>
      </w:r>
    </w:p>
    <w:p>
      <w:pPr>
        <w:spacing w:after="0" w:line="189"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Howard W. Robin, age 72, has served as our President and Chief Executive Officer since January 2007 and has served as a member of our board of directors since February 2007. Mr. Robin served as Chief Executive Officer, President and a director of Sirna Therapeutics, Inc., a biotechnology company, from July 2001 to November 2006 and from January 2001 to June 2001, served as their Chief Operating Officer, President and as a director. From 1991 to 2001, Mr. Robin was Corporate Vice President and General Manager at Berlex Laboratories, Inc. (“Berlex”), a pharmaceutical products company that is a subsidiary of Schering, AG, and from 1987 to 1991 he served as Vice President of Finance and Business Development and Chief Financial Officer. From 1984 to 1987, Mr. Robin was Director of Business Planning and Development at Berlex. He was a Senior Associate with Arthur Andersen &amp; Co. prior to joining Berlex. He received his B.S. in Accounting and Finance from Fairleigh Dickinson University, where he previously served as a member of its Board of Trustees.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w:t>
      </w:r>
    </w:p>
    <w:p>
      <w:pPr>
        <w:spacing w:after="0" w:line="187"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i w:val="1"/>
          <w:iCs w:val="1"/>
          <w:color w:val="auto"/>
        </w:rPr>
        <w:t>Jeff Ajer</w:t>
      </w:r>
      <w:r>
        <w:rPr>
          <w:rFonts w:ascii="Times New Roman" w:cs="Times New Roman" w:eastAsia="Times New Roman" w:hAnsi="Times New Roman"/>
          <w:sz w:val="18"/>
          <w:szCs w:val="18"/>
          <w:color w:val="auto"/>
        </w:rPr>
        <w:t>, age 62, was appointed to the board of directors of in September 2017. Mr. Ajer was the former Executive Vice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Officer from 2014 to 2024 at BioMarin, a global biotechnology company that develops and commercializes innovative therapies for people with serious and life-threatening rare disorders. Mr. Ajer has more than 25 years of experience driving commercialization for rare diseases and specialty medicines, including leading commercial planning for late-stage pipeline programs, product marketing, reimbursement, and sales operations. After joining BioMarin in 2005 as one of the first sales and marketing employees, he held roles of increasing responsibility including Vice President, Commercial Operations, The Americas; Senior Vice President and Chief Commercial Officer; and Executive Vice President and Chief Commercial Officer. Mr. Ajer was integral in establishing BioMarin’s commercial infrastructure and global footprint and played a leadership role in the launches and growth strategies for BioMarin’s commercial brands including Brineura™, Vimizim®, Kuvan® and Naglazyme®. Prior to his time at BioMarin, Mr. Ajer served as Vice President, Global Transplant Operations at Genzyme Corporation and held positions in sales, marketing, and operations at SangStat Medical Corporation and ICN Pharmaceuticals. He received his B.S. degree in chemistry and MBA from the University of California, Irvine.</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i w:val="1"/>
          <w:iCs w:val="1"/>
          <w:color w:val="auto"/>
        </w:rPr>
        <w:t>Robert Chess</w:t>
      </w:r>
      <w:r>
        <w:rPr>
          <w:rFonts w:ascii="Times New Roman" w:cs="Times New Roman" w:eastAsia="Times New Roman" w:hAnsi="Times New Roman"/>
          <w:sz w:val="18"/>
          <w:szCs w:val="18"/>
          <w:color w:val="auto"/>
        </w:rPr>
        <w:t>, age 68, is the Chairman of our board of directors and has served as a director since May 1992. From March 2006 until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2007, Mr. Chess served as our Acting President and Chief Executive Officer, and from April 1999 to January 2007, served as Executive Chairman. He also served as our Co-Chief Executive Officer from August 1998 to April 2000, as President from December 1991 to August 1998, and as Chief Executive Officer from May 1992 to August 1998. Mr. Chess was previously the co-founder and President of Penederm, Inc., a publicly-traded dermatological pharmaceutical company that was sold to Mylan Laboratories. He has held management positions at Intel Corporation and Metaphor Computer Systems (now part of IBM), and was a member of the first President Bush’s White House staff as a White House Fellow and Associate Director of the White House Office of Economic and Domestic Policy. Mr. Chess serves on the board of directors and is the lead director of Twist Biosciences, a publicly-traded company in the synthetic biology field. He is Chairman of two private companies: Bighat Biosciences, which does ML-guided biologics design, and Issio Solutions, which is in the labor productivity software field. From 1997 until his retirement in 2009, Mr. Chess served on the board of directors of the Biotechnology Industry Organization (“BIO”). Mr. Chess served as Chairman of BIO’s Emerging Companies Section and Co-Chairman of BIO’s Intellectual Property Committee. Mr. Chess was the initial Chairman of Bio Ventures for Global Health and served on its Board through 2022. He currently is a member of the faculty of the Stanford Graduate School of Business, where he teaches courses in the MBA program on the healthcare industry and the business opportunity created by aging demographics and increased longevity. Mr. Chess received his B.S. degree in Engineering with honors from the California Institute of Technology and an M.B.A. from Harvard University.</w:t>
      </w:r>
    </w:p>
    <w:p>
      <w:pPr>
        <w:spacing w:after="0" w:line="158"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i w:val="1"/>
          <w:iCs w:val="1"/>
          <w:color w:val="auto"/>
        </w:rPr>
        <w:t>Roy A. Whitfield</w:t>
      </w:r>
      <w:r>
        <w:rPr>
          <w:rFonts w:ascii="Times New Roman" w:cs="Times New Roman" w:eastAsia="Times New Roman" w:hAnsi="Times New Roman"/>
          <w:sz w:val="18"/>
          <w:szCs w:val="18"/>
          <w:color w:val="auto"/>
        </w:rPr>
        <w:t>, age 71, has served as our director since August 2000 and as Lead Independent Director since January 2019. Mr. Whitfield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Chairman of the Board and Chief Executive Officer of Incyte Corporation (“Incyte”), a drug discovery and development company he co-founded in 1991. From January 1993 to November 2001, Mr. Whitfield served as its Chief Executive Officer and from November 2001 until June 2003 as its Chairman. He also served as a director of Incyte from 1991 to January 2014. From 1984 to 1989, Mr. Whitfield held senior operating and business development positions with Technicon Instruments Corporation (“Technicon”), a medical instrumentation company, and its predecessor company, Cooper Biomedical, Inc., a biotechnology and medical diagnostics company. Prior to his work at Technicon, Mr. Whitfield spent seven years with the Boston Consulting Group’s international consulting practice. Mr. Whitfield received a B.S. in mathematics from Oxford University and an M.B.A. from Stanford University.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as of March 6,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Age</w:t>
            </w:r>
          </w:p>
        </w:tc>
        <w:tc>
          <w:tcPr>
            <w:tcW w:w="100" w:type="dxa"/>
            <w:vAlign w:val="bottom"/>
          </w:tcPr>
          <w:p>
            <w:pPr>
              <w:spacing w:after="0"/>
              <w:rPr>
                <w:sz w:val="20"/>
                <w:szCs w:val="20"/>
                <w:color w:val="auto"/>
              </w:rPr>
            </w:pPr>
          </w:p>
        </w:tc>
        <w:tc>
          <w:tcPr>
            <w:tcW w:w="696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5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Howard W. Robin</w:t>
            </w:r>
          </w:p>
        </w:tc>
        <w:tc>
          <w:tcPr>
            <w:tcW w:w="120" w:type="dxa"/>
            <w:vAlign w:val="bottom"/>
          </w:tcPr>
          <w:p>
            <w:pPr>
              <w:spacing w:after="0"/>
              <w:rPr>
                <w:sz w:val="16"/>
                <w:szCs w:val="16"/>
                <w:color w:val="auto"/>
              </w:rPr>
            </w:pPr>
          </w:p>
        </w:tc>
        <w:tc>
          <w:tcPr>
            <w:tcW w:w="1560" w:type="dxa"/>
            <w:vAlign w:val="bottom"/>
          </w:tcPr>
          <w:p>
            <w:pPr>
              <w:jc w:val="right"/>
              <w:ind w:right="610"/>
              <w:spacing w:after="0" w:line="191" w:lineRule="exact"/>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6"/>
                <w:szCs w:val="16"/>
                <w:color w:val="auto"/>
              </w:rPr>
            </w:pPr>
          </w:p>
        </w:tc>
        <w:tc>
          <w:tcPr>
            <w:tcW w:w="69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16"/>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Sandra Gardiner</w:t>
            </w: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 (Principal Financial and Accounting Officer)</w:t>
            </w:r>
          </w:p>
        </w:tc>
      </w:tr>
      <w:tr>
        <w:trPr>
          <w:trHeight w:val="216"/>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 A. Wilson, J.D.</w:t>
            </w: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and Chief Legal Officer</w:t>
            </w:r>
          </w:p>
        </w:tc>
      </w:tr>
      <w:tr>
        <w:trPr>
          <w:trHeight w:val="234"/>
        </w:trPr>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Jonathan Zalevsky, Ph.D.</w:t>
            </w:r>
          </w:p>
        </w:tc>
        <w:tc>
          <w:tcPr>
            <w:tcW w:w="16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and Chief Research and Development Officer</w:t>
            </w:r>
          </w:p>
        </w:tc>
      </w:tr>
    </w:tbl>
    <w:p>
      <w:pPr>
        <w:spacing w:after="0" w:line="385"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Howard W. Robin </w:t>
      </w:r>
      <w:r>
        <w:rPr>
          <w:rFonts w:ascii="Times New Roman" w:cs="Times New Roman" w:eastAsia="Times New Roman" w:hAnsi="Times New Roman"/>
          <w:sz w:val="18"/>
          <w:szCs w:val="18"/>
          <w:color w:val="auto"/>
        </w:rPr>
        <w:t>has served as our President and Chief Executive Officer since January 2007 and has served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February 2007. Mr. Robin served as Chief Executive Officer, President and a director of Sirna Therapeutics, Inc., a biotechnology company, from July 2001 to November 2006 and from January 2001 to June 2001, served as their Chief Operating Officer, President and as a director. From 1991 to 2001, Mr. Robin was Corporate Vice President and General Manager at Berlex Laboratories, Inc. (Berlex), a pharmaceutical products company that is a subsidiary of Schering, AG, and from 1987 to 1991 he served as Vice President of Finance and Business Development and Chief Financial Officer of Berlex. From 1984 to 1987, Mr. Robin was Director of Business Planning and Development at Berlex. He was a Senior Associate with Arthur Andersen &amp; Co. prior to joining Berlex. He received his B.S. in Accounting and Finance from Fairleigh Dickinson University in 1974.</w:t>
      </w:r>
    </w:p>
    <w:p>
      <w:pPr>
        <w:spacing w:after="0" w:line="142" w:lineRule="exact"/>
        <w:rPr>
          <w:sz w:val="20"/>
          <w:szCs w:val="20"/>
          <w:color w:val="auto"/>
        </w:rPr>
      </w:pPr>
    </w:p>
    <w:p>
      <w:pPr>
        <w:ind w:right="140" w:firstLine="64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Sandra Gardiner </w:t>
      </w:r>
      <w:r>
        <w:rPr>
          <w:rFonts w:ascii="Times New Roman" w:cs="Times New Roman" w:eastAsia="Times New Roman" w:hAnsi="Times New Roman"/>
          <w:sz w:val="18"/>
          <w:szCs w:val="18"/>
          <w:color w:val="auto"/>
        </w:rPr>
        <w:t>has served as our Interim Chief Financial Officer since April 2023. Ms. Gardiner is a partner at FLG Partners, a leading CFO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firm in the Silicon Valley and a skilled business and finance executive with over 30 years of experience as an EVP and CFO at private and public companies in the Life Sciences sector. Prior to joining Nektar, she served as the Chief Financial Officer, Executive Vice President of Finance and Administration, Secretary and Treasurer of Pulse Biosciences, Inc., a bioelectric medicine company, from November 2019 through December 2022. Prior to joining Pulse Biosciences, she held CFO roles in both domestic and global companies, operating as a director to international subsidiaries throughout Europe, Asia Pacific and Latin America. Ms. Gardiner holds a B.A. in Management Economics from the University of California, Davis.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64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 A. Wilson </w:t>
      </w:r>
      <w:r>
        <w:rPr>
          <w:rFonts w:ascii="Times New Roman" w:cs="Times New Roman" w:eastAsia="Times New Roman" w:hAnsi="Times New Roman"/>
          <w:sz w:val="18"/>
          <w:szCs w:val="18"/>
          <w:color w:val="auto"/>
        </w:rPr>
        <w:t>has served as our Senior Vice President and Chief Legal Officer since July 2022. Previously, Mr. Wilson served as our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since June 2016. Mr. Wilson joined Nektar in May 2002 and initially served as Patent Counsel and then as Senior Patent Counsel to the company prior to 2008 when he was promoted to Vice President, Intellectual Property. Before joining Nektar in 2002, Mr. Wilson was an associate at Reed &amp; Associates, a patent law firm in Menlo Park, California, where he represented both start-up and Fortune 500 companies. Mr. Wilson received his J.D. from Seton Hall University, School of Law, and his B.S. in Pharmacy from Rutgers University, College of Pharmacy. He is registered to practice before the U.S. Patent and Trademark Office and is a member of the California Bar.</w:t>
      </w:r>
    </w:p>
    <w:p>
      <w:pPr>
        <w:spacing w:after="0" w:line="155"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Jonathan Zalevsky </w:t>
      </w:r>
      <w:r>
        <w:rPr>
          <w:rFonts w:ascii="Times New Roman" w:cs="Times New Roman" w:eastAsia="Times New Roman" w:hAnsi="Times New Roman"/>
          <w:sz w:val="18"/>
          <w:szCs w:val="18"/>
          <w:color w:val="auto"/>
        </w:rPr>
        <w:t>has served as our Senior Vice President and Chief Research &amp; Development Officer since October 2019. Dr. Zalevsky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our Senior Vice President, Biology and Preclinical Development from April 2017 through November 2017 and served as our Senior Vice President, Research and Chief Science Officer from November 2017 to October 2019. From July 2015 through April 2017, Dr. Zalevsky served as our Vice President, Biology and Preclinical Development. Prior to joining Nektar, Dr. Zalevsky was Global Vice President and Head of the Inflammation Drug Discovery Unit at Takeda Pharmaceuticals. Prior to working at Takeda, Dr. Zalevsky held a number of research and development positions at Xencor, Inc. Dr. Zalevsky received his Ph.D. in Biochemistry from the Tetrad Program at the University of California, San Francisco. He received dual bachelor degrees in Biochemistry and Molecular, Cellular and Developmental Biology from the University of Colorado at Boulder.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89" w:lineRule="exact"/>
        <w:rPr>
          <w:sz w:val="20"/>
          <w:szCs w:val="20"/>
          <w:color w:val="auto"/>
        </w:rPr>
      </w:pPr>
    </w:p>
    <w:p>
      <w:pPr>
        <w:jc w:val="both"/>
        <w:ind w:right="300" w:firstLine="644"/>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beneficially own more than ten percent of a registered class of our equity securities, to file with the SEC initial reports of ownership and reports of changes in ownership of our common stock and other equity securities. Officers, directors and greater than ten percent beneficial owners are required by SEC regulations to furnish us with copies of all Section 16(a) forms they file.</w:t>
      </w:r>
    </w:p>
    <w:p>
      <w:pPr>
        <w:spacing w:after="0" w:line="153"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To our knowledge, based solely on our review of Forms 3, 4 and 5, and any amendments thereto, furnished to us or written representations that no Form 5 was required, we believe that during the fiscal year ended December 31, 2024, all filing requirements applicable to our executive officers and directors under the Exchange Act were met in a timely manner, except that one report related to the director annual equity award for each of Messrs Ajer, Chess, Greer, Whitfield and Dr. Brainard was not timely reported on a Form 4 and subsequently reported on a Form 5 filed with the SEC on January 17,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8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http://ir.nektar.com/governance.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89"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will consider for nomination any qualified director candidates recommended by our stockholders. Any stockholder who wishes to recommend a director candidate is directed to submit in writing the candidate’s name, biographical information, relevant qualifications and other information required by our bylaws to our Secretary at our principal executive offices before the deadline set forth in our bylaws. All written submissions received from our stockholders will be reviewed by the Nominating and Corporate Governance Committee at the next appropriate meeting. The Nominating and Corporate Governance Committee will evaluate any suggested director candidates received from our stockholders in the same manner as recommendations received from management, committee members or members of our board. Our nomination procedures are more fully described in our annual proxy statement and there have been no material changes to the procedures.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 Committee Independence</w:t>
      </w:r>
    </w:p>
    <w:p>
      <w:pPr>
        <w:spacing w:after="0" w:line="20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Mr. Greer currently serves as the Chairperson of the Audit Committee of our board of directors. The board of directors annually reviews the Nasdaq listing standards definition of independence for Audit Committee members and has determined that all members of our Audit Committee are independent. During the 2024 fiscal year, the board of directors determined that Mr. Greer also qualifies as an “audit committee financial expert” as defined in applicable SEC rules. The board of directors made a qualitative assessment of Mr. Greer’s level of knowledge and experience based on a number of factors, including his formal education and prior experience as a Chief Executive Officer and Chief Financial Officer at public reporting companies and as the chairperson of public company audit committees. The Audit Committee has adopted a written Audit Committee charter that is available on our corporate website at www.nektar.com.</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Trading Policy</w:t>
      </w:r>
    </w:p>
    <w:p>
      <w:pPr>
        <w:spacing w:after="0" w:line="202"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Our Security Trading Policy governs the purchase, sale and other transactions in our securities by our directors, officers and employees, and other covered persons, as well as the Company itself, and is reasonably designed to promote compliance with insider trading laws, rules and regulations, and Nasdaq listing rules, as applicable. As part of this policy, we prohibit our employees, our executive officers, and the non-employee members of our board of directors from short-term trading, options trading, trading on margin, share pledging, and all hedging transactions with respect to our securities. A copy of our insider trading policy is filed as Exhibit 19.1 to this Annual Report on Form 10-K.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02"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The following Compensation Discussion and Analysis is designed to provide our stockholders with an understanding of our executive compensation philosophy and decision-making process. Pursuant to the rules promulgated by the SEC, it discusses the principles underlying the structure of the compensation arrangements of our named executive officers (collectively, “NEOs”) identified in the table below. Unless noted otherwise, any reference within the Compensation Discussion and Analysis to decisions made by the board of directors refers to the decisions made by the independent members of the board of directors only.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6"/>
                <w:szCs w:val="16"/>
                <w:color w:val="auto"/>
              </w:rPr>
            </w:pPr>
          </w:p>
        </w:tc>
        <w:tc>
          <w:tcPr>
            <w:tcW w:w="6240" w:type="dxa"/>
            <w:vAlign w:val="bottom"/>
          </w:tcPr>
          <w:p>
            <w:pPr>
              <w:ind w:left="29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51"/>
        </w:trPr>
        <w:tc>
          <w:tcPr>
            <w:tcW w:w="32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r>
      <w:tr>
        <w:trPr>
          <w:trHeight w:val="277"/>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Howard W. Robin</w:t>
            </w:r>
          </w:p>
        </w:tc>
        <w:tc>
          <w:tcPr>
            <w:tcW w:w="26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7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Sandra Gardiner</w:t>
            </w:r>
            <w:r>
              <w:rPr>
                <w:rFonts w:ascii="Times New Roman" w:cs="Times New Roman" w:eastAsia="Times New Roman" w:hAnsi="Times New Roman"/>
                <w:sz w:val="24"/>
                <w:szCs w:val="24"/>
                <w:b w:val="1"/>
                <w:bCs w:val="1"/>
                <w:color w:val="auto"/>
                <w:vertAlign w:val="superscript"/>
              </w:rPr>
              <w:t>(1)</w:t>
            </w:r>
          </w:p>
        </w:tc>
        <w:tc>
          <w:tcPr>
            <w:tcW w:w="26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75"/>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 A. Wilson</w:t>
            </w:r>
          </w:p>
        </w:tc>
        <w:tc>
          <w:tcPr>
            <w:tcW w:w="260" w:type="dxa"/>
            <w:vAlign w:val="bottom"/>
          </w:tcPr>
          <w:p>
            <w:pPr>
              <w:spacing w:after="0"/>
              <w:rPr>
                <w:sz w:val="23"/>
                <w:szCs w:val="23"/>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324"/>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260" w:type="dxa"/>
            <w:vAlign w:val="bottom"/>
          </w:tcPr>
          <w:p>
            <w:pPr>
              <w:spacing w:after="0"/>
              <w:rPr>
                <w:sz w:val="24"/>
                <w:szCs w:val="24"/>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Research and Development Officer</w:t>
            </w:r>
          </w:p>
        </w:tc>
      </w:tr>
    </w:tbl>
    <w:p>
      <w:pPr>
        <w:spacing w:after="0" w:line="180" w:lineRule="exact"/>
        <w:rPr>
          <w:sz w:val="20"/>
          <w:szCs w:val="20"/>
          <w:color w:val="auto"/>
        </w:rPr>
      </w:pPr>
    </w:p>
    <w:p>
      <w:pPr>
        <w:ind w:left="760" w:right="260" w:hanging="378"/>
        <w:spacing w:after="0" w:line="261" w:lineRule="auto"/>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was appointed our Interim Chief Financial Officer as of April 17, 2023. Ms. Gardiner is a partner at FLG Partners, and provides services as Interim Chief Financial Officer as an outside consultant pursuant to a consulting agreement between the Company and FLG Partners.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Highlights</w:t>
      </w:r>
    </w:p>
    <w:p>
      <w:pPr>
        <w:spacing w:after="0" w:line="189"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consider the intellectual capital of our employees to be an essential driver of our business and key to the successful execution of our strategy. Accordingly, we aim to attract and retain high-performing executives, and our executive officer compensation program is designed to reward achievement of important business goals and to pay for performance. We also recognize that the biotechnology industry is characterized by high stock price volatility, uncertainty and intense competition and that the Company’s stock price at any given point in time may not be reflective of the Company’s accomplishments and performance over a sustained period. We use a variety of performance-based compensation elements, including long-term equity awards that have both time and performance-based vesting criteria and annual cash incentives that are based on both corporate performance and an individual’s performance, in order to align our NEOs’ interests with those of our stockholders. We believe this incentivizes our management team to invest in and to develop strategies that will create long-term growth and value for our stockholders.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2024, our board of directors and Organization and Compensation Committee took the following key compensation actions:</w:t>
      </w:r>
    </w:p>
    <w:p>
      <w:pPr>
        <w:spacing w:after="0" w:line="154" w:lineRule="exact"/>
        <w:rPr>
          <w:sz w:val="20"/>
          <w:szCs w:val="20"/>
          <w:color w:val="auto"/>
        </w:rPr>
      </w:pPr>
    </w:p>
    <w:p>
      <w:pPr>
        <w:ind w:left="1300" w:right="160" w:hanging="648"/>
        <w:spacing w:after="0" w:line="28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salaries </w:t>
      </w:r>
      <w:r>
        <w:rPr>
          <w:rFonts w:ascii="Times New Roman" w:cs="Times New Roman" w:eastAsia="Times New Roman" w:hAnsi="Times New Roman"/>
          <w:sz w:val="18"/>
          <w:szCs w:val="18"/>
          <w:color w:val="auto"/>
        </w:rPr>
        <w:t>– We had previously not awarded any merit-based increases to our NEOs’ base salaries since 2022. For 2025, our NEOs’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base salaries received a 2% increase from 2024 base salary levels to remain competitive within our peer group.</w:t>
      </w:r>
    </w:p>
    <w:p>
      <w:pPr>
        <w:spacing w:after="0" w:line="87" w:lineRule="exact"/>
        <w:rPr>
          <w:rFonts w:ascii="Times New Roman" w:cs="Times New Roman" w:eastAsia="Times New Roman" w:hAnsi="Times New Roman"/>
          <w:sz w:val="18"/>
          <w:szCs w:val="18"/>
          <w:color w:val="auto"/>
        </w:rPr>
      </w:pPr>
    </w:p>
    <w:p>
      <w:pPr>
        <w:ind w:left="1300" w:hanging="648"/>
        <w:spacing w:after="0" w:line="268"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Alignment of CEO bonus to corporate goal achievement </w:t>
      </w:r>
      <w:r>
        <w:rPr>
          <w:rFonts w:ascii="Times New Roman" w:cs="Times New Roman" w:eastAsia="Times New Roman" w:hAnsi="Times New Roman"/>
          <w:sz w:val="18"/>
          <w:szCs w:val="18"/>
          <w:color w:val="auto"/>
        </w:rPr>
        <w:t>– Beginning in 2021, to further align CEO performance with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we directly align the annual cash incentive that may be earned by the CEO with the corporate achievement rating determined by the board of directors.</w:t>
      </w:r>
    </w:p>
    <w:p>
      <w:pPr>
        <w:spacing w:after="0" w:line="116" w:lineRule="exact"/>
        <w:rPr>
          <w:rFonts w:ascii="Times New Roman" w:cs="Times New Roman" w:eastAsia="Times New Roman" w:hAnsi="Times New Roman"/>
          <w:sz w:val="18"/>
          <w:szCs w:val="18"/>
          <w:color w:val="auto"/>
        </w:rPr>
      </w:pPr>
    </w:p>
    <w:p>
      <w:pPr>
        <w:ind w:left="1300" w:right="20" w:hanging="648"/>
        <w:spacing w:after="0" w:line="268"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cash incentives for NEOs </w:t>
      </w:r>
      <w:r>
        <w:rPr>
          <w:rFonts w:ascii="Times New Roman" w:cs="Times New Roman" w:eastAsia="Times New Roman" w:hAnsi="Times New Roman"/>
          <w:sz w:val="18"/>
          <w:szCs w:val="18"/>
          <w:color w:val="auto"/>
        </w:rPr>
        <w:t>– Our NEOs, other than the CEO, may earn annual cash incentives that are based on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performance (as measured against predefined corporate objectives set annually by the board of directors), which may be further adjusted based on individual performance.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right="60" w:hanging="648"/>
        <w:spacing w:after="0" w:line="282" w:lineRule="auto"/>
        <w:tabs>
          <w:tab w:leader="none" w:pos="1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Long-term Incentives </w:t>
      </w:r>
      <w:r>
        <w:rPr>
          <w:rFonts w:ascii="Times New Roman" w:cs="Times New Roman" w:eastAsia="Times New Roman" w:hAnsi="Times New Roman"/>
          <w:sz w:val="17"/>
          <w:szCs w:val="17"/>
          <w:color w:val="auto"/>
        </w:rPr>
        <w:t>– Our long-term incentives are intended to motivate executives to deliver long-term stockholder value and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reward their achievement of specific business goals that will advance our business strategy. Consistent with our philosophy of pay for performance, in 2024 we granted our NEOs long-term equity awards in the form of stock options only, half of which have performance-based vesting criteria that will vest only if the Company achieves certain defined performance milestones within five years.</w:t>
      </w:r>
    </w:p>
    <w:p>
      <w:pPr>
        <w:spacing w:after="0" w:line="107" w:lineRule="exact"/>
        <w:rPr>
          <w:rFonts w:ascii="Times New Roman" w:cs="Times New Roman" w:eastAsia="Times New Roman" w:hAnsi="Times New Roman"/>
          <w:sz w:val="17"/>
          <w:szCs w:val="17"/>
          <w:color w:val="auto"/>
        </w:rPr>
      </w:pPr>
    </w:p>
    <w:p>
      <w:pPr>
        <w:ind w:left="1300" w:right="100" w:hanging="648"/>
        <w:spacing w:after="0" w:line="26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Performance-Based Compensation </w:t>
      </w:r>
      <w:r>
        <w:rPr>
          <w:rFonts w:ascii="Times New Roman" w:cs="Times New Roman" w:eastAsia="Times New Roman" w:hAnsi="Times New Roman"/>
          <w:sz w:val="18"/>
          <w:szCs w:val="18"/>
          <w:color w:val="auto"/>
        </w:rPr>
        <w:t>– We believe that a significant portion of our executive’s compensation should be performance-based. Reflective of our “pay-for-performance” philosophy, the total compensation of our NEOs has generally aligned with our stock price performance and the total compensation received by our NEOs in 2023 and 2024 was reduced significantly in comparison to prior years.</w:t>
      </w:r>
    </w:p>
    <w:p>
      <w:pPr>
        <w:spacing w:after="0" w:line="108" w:lineRule="exact"/>
        <w:rPr>
          <w:rFonts w:ascii="Times New Roman" w:cs="Times New Roman" w:eastAsia="Times New Roman" w:hAnsi="Times New Roman"/>
          <w:sz w:val="18"/>
          <w:szCs w:val="18"/>
          <w:color w:val="auto"/>
        </w:rPr>
      </w:pPr>
    </w:p>
    <w:p>
      <w:pPr>
        <w:ind w:left="1300" w:hanging="648"/>
        <w:spacing w:after="0" w:line="268"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Peer Group Alignment – </w:t>
      </w:r>
      <w:r>
        <w:rPr>
          <w:rFonts w:ascii="Times New Roman" w:cs="Times New Roman" w:eastAsia="Times New Roman" w:hAnsi="Times New Roman"/>
          <w:sz w:val="18"/>
          <w:szCs w:val="18"/>
          <w:color w:val="auto"/>
        </w:rPr>
        <w:t>In June 2024, we conducted our annual compensation peer group review, with input from our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consultant to align our peer group companies to appropriate selection criteria in light of our reorganized company and new strategic priorities.</w:t>
      </w:r>
    </w:p>
    <w:p>
      <w:pPr>
        <w:spacing w:after="0" w:line="103" w:lineRule="exact"/>
        <w:rPr>
          <w:rFonts w:ascii="Times New Roman" w:cs="Times New Roman" w:eastAsia="Times New Roman" w:hAnsi="Times New Roman"/>
          <w:sz w:val="18"/>
          <w:szCs w:val="18"/>
          <w:color w:val="auto"/>
        </w:rPr>
      </w:pPr>
    </w:p>
    <w:p>
      <w:pPr>
        <w:jc w:val="both"/>
        <w:ind w:left="1300" w:right="140" w:hanging="648"/>
        <w:spacing w:after="0" w:line="268"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disclosures </w:t>
      </w:r>
      <w:r>
        <w:rPr>
          <w:rFonts w:ascii="Times New Roman" w:cs="Times New Roman" w:eastAsia="Times New Roman" w:hAnsi="Times New Roman"/>
          <w:sz w:val="18"/>
          <w:szCs w:val="18"/>
          <w:color w:val="auto"/>
        </w:rPr>
        <w:t>– In order to provide transparency for our stockholders and assist them in understanding the alignment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NEO pay and performance of corporate objectives, we have continued to provide enhanced disclosures concerning long-term incentive and short-term incentive grants, including specific targets and achievements met by the Company.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Our Pay Program Works</w:t>
      </w:r>
    </w:p>
    <w:p>
      <w:pPr>
        <w:spacing w:after="0" w:line="189"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We believe that the design and structure of our pay program, and in particular our incentive plans, supports our business strategy while successfully aligning executive focus and interests with those of our stockholders. The business achievements described herein would not be possible without our talented executive team. We believe that each element chosen for our executive compensation program helps us to achieve our compensation objectives. We use the following framework to achieve our pay program objectives:</w:t>
      </w:r>
    </w:p>
    <w:p>
      <w:pPr>
        <w:sectPr>
          <w:pgSz w:w="11900" w:h="16838" w:orient="portrait"/>
          <w:cols w:equalWidth="0" w:num="1">
            <w:col w:w="11160"/>
          </w:cols>
          <w:pgMar w:left="320" w:top="117" w:right="419" w:bottom="1440" w:gutter="0" w:footer="0" w:header="0"/>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Base Salary</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right="1540"/>
        <w:spacing w:after="0" w:line="266" w:lineRule="auto"/>
        <w:rPr>
          <w:sz w:val="20"/>
          <w:szCs w:val="20"/>
          <w:color w:val="auto"/>
        </w:rPr>
      </w:pPr>
      <w:r>
        <w:rPr>
          <w:rFonts w:ascii="Times New Roman" w:cs="Times New Roman" w:eastAsia="Times New Roman" w:hAnsi="Times New Roman"/>
          <w:sz w:val="18"/>
          <w:szCs w:val="18"/>
          <w:color w:val="auto"/>
        </w:rPr>
        <w:t>Base salaries are set to be competitive within our industry with consideration for, among other things, an individual’s responsibilities, market data and individual contribution.</w:t>
      </w:r>
    </w:p>
    <w:p>
      <w:pPr>
        <w:spacing w:after="0" w:line="176" w:lineRule="exact"/>
        <w:rPr>
          <w:sz w:val="20"/>
          <w:szCs w:val="20"/>
          <w:color w:val="auto"/>
        </w:rPr>
      </w:pPr>
    </w:p>
    <w:p>
      <w:pPr>
        <w:sectPr>
          <w:pgSz w:w="11900" w:h="16838" w:orient="portrait"/>
          <w:cols w:equalWidth="0" w:num="2">
            <w:col w:w="3060" w:space="720"/>
            <w:col w:w="7380"/>
          </w:cols>
          <w:pgMar w:left="320" w:top="117" w:right="419" w:bottom="1440" w:gutter="0" w:footer="0" w:header="0"/>
          <w:type w:val="continuous"/>
        </w:sectPr>
      </w:pPr>
    </w:p>
    <w:p>
      <w:pPr>
        <w:ind w:left="3780" w:right="1540"/>
        <w:spacing w:after="0" w:line="261" w:lineRule="auto"/>
        <w:rPr>
          <w:sz w:val="20"/>
          <w:szCs w:val="20"/>
          <w:color w:val="auto"/>
        </w:rPr>
      </w:pPr>
      <w:r>
        <w:rPr>
          <w:rFonts w:ascii="Times New Roman" w:cs="Times New Roman" w:eastAsia="Times New Roman" w:hAnsi="Times New Roman"/>
          <w:sz w:val="18"/>
          <w:szCs w:val="18"/>
          <w:color w:val="auto"/>
        </w:rPr>
        <w:t>We have previously not awarded any merit-based increases to our NEOs’ base salaries since 2022. Our NEO’s 2024 salaries remained at the same level as 2022 salaries. For 2025, our NEO’s 2025 base salaries received a 2% increase from 2024 base salary levels to remain competitive within our peer group.</w:t>
      </w:r>
    </w:p>
    <w:p>
      <w:pPr>
        <w:sectPr>
          <w:pgSz w:w="11900" w:h="16838" w:orient="portrait"/>
          <w:cols w:equalWidth="0" w:num="1">
            <w:col w:w="11160"/>
          </w:cols>
          <w:pgMar w:left="320" w:top="117" w:right="419" w:bottom="1440" w:gutter="0" w:footer="0" w:header="0"/>
          <w:type w:val="continuous"/>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Annual Cash Incentives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incentives are intended to motivate and reward executives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 of important short-term goals and milestones that we believe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contribute to the creation of long-term stockholder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annual cash bonuses were awarded to NEOs based on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achievement of pre-established corporate goals, including clinical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business development, and financial objectives, as well as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achievements outside the pre-established goals. Consistent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 practice since 2021, the cash incentive award for our CEO is based solely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performance of the Company as determined by the board of directors.</w:t>
      </w:r>
    </w:p>
    <w:p>
      <w:pPr>
        <w:spacing w:after="0" w:line="95" w:lineRule="exact"/>
        <w:rPr>
          <w:sz w:val="20"/>
          <w:szCs w:val="20"/>
          <w:color w:val="auto"/>
        </w:rPr>
      </w:pPr>
    </w:p>
    <w:p>
      <w:pPr>
        <w:sectPr>
          <w:pgSz w:w="11900" w:h="16838" w:orient="portrait"/>
          <w:cols w:equalWidth="0" w:num="2">
            <w:col w:w="3060" w:space="720"/>
            <w:col w:w="7380"/>
          </w:cols>
          <w:pgMar w:left="320" w:top="117" w:right="4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Long-Term Equity Incentives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Our long-term incentives, which include performance-based vesting equity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time-based vesting equity awards, are intended to motivate executives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 long-term stockholder value and to retain our talented executive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equity grants were awarded as a mix of time-based (50%)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(50%) stock options.</w:t>
      </w:r>
    </w:p>
    <w:p>
      <w:pPr>
        <w:spacing w:after="0" w:line="200" w:lineRule="exact"/>
        <w:rPr>
          <w:sz w:val="20"/>
          <w:szCs w:val="20"/>
          <w:color w:val="auto"/>
        </w:rPr>
      </w:pPr>
    </w:p>
    <w:p>
      <w:pPr>
        <w:sectPr>
          <w:pgSz w:w="11900" w:h="16838" w:orient="portrait"/>
          <w:cols w:equalWidth="0" w:num="2">
            <w:col w:w="3060" w:space="720"/>
            <w:col w:w="7380"/>
          </w:cols>
          <w:pgMar w:left="320" w:top="117" w:right="41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 Pay Mix</w:t>
      </w:r>
    </w:p>
    <w:p>
      <w:pPr>
        <w:spacing w:after="0" w:line="189"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Consistent with our pay for performance philosophy, we believe that a significant portion of our executives’ compensation should be “at-risk” and performance-based in order to motivate and align our executive officer’s interests with those of our stockholders. We emphasize performance-based compensation through two separate performance-based compensation methods: (i) our executives are eligible to receive annual cash incentives if they achieve short-term annual corporate objectives that are preapproved by the board of directors and (ii) we grant long-term equity awards that have substantial performance-based criteria designed to promote long-term growth and value creation. In 2024, 50% of the long-term equity incentives granted included performance-based vesting criteria.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Company Performance and Executive Pay</w:t>
      </w:r>
    </w:p>
    <w:p>
      <w:pPr>
        <w:spacing w:after="0" w:line="189"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The biotechnology industry is characterized by a higher risk profile and by more binary business outcomes than other, more traditional industries. This historically has led to high stock volatility for biotechnology companies. The graph below demonstrates that even with high levels of volatility in stock price, total compensation for Mr. Robin is generally aligned with our stock price performance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123190</wp:posOffset>
            </wp:positionV>
            <wp:extent cx="5306060" cy="31546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30606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w:t>
      </w:r>
      <w:r>
        <w:rPr>
          <w:rFonts w:ascii="Times New Roman" w:cs="Times New Roman" w:eastAsia="Times New Roman" w:hAnsi="Times New Roman"/>
          <w:sz w:val="18"/>
          <w:szCs w:val="18"/>
          <w:b w:val="1"/>
          <w:bCs w:val="1"/>
          <w:color w:val="auto"/>
        </w:rPr>
        <w:t>ompensation Governance Practices</w:t>
      </w:r>
    </w:p>
    <w:p>
      <w:pPr>
        <w:spacing w:after="0" w:line="189"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Our Organization and Compensation Committee is responsible for oversight of our compensation program. A significant part of this oversight is aligning management interests with our business strategy and long-term goals, as well as the interests of our shareholders, while also mitigating excessive risk-taking. We continually take steps to strengthen and improve our executive compensation policies and practices. Highlights of our current practices include:</w:t>
      </w:r>
    </w:p>
    <w:p>
      <w:pPr>
        <w:sectPr>
          <w:pgSz w:w="11900" w:h="16838" w:orient="portrait"/>
          <w:cols w:equalWidth="0" w:num="1">
            <w:col w:w="11220"/>
          </w:cols>
          <w:pgMar w:left="320" w:top="117" w:right="359" w:bottom="1440" w:gutter="0" w:footer="0" w:header="0"/>
        </w:sectPr>
      </w:pPr>
    </w:p>
    <w:p>
      <w:pPr>
        <w:spacing w:after="0" w:line="171" w:lineRule="exact"/>
        <w:rPr>
          <w:sz w:val="20"/>
          <w:szCs w:val="20"/>
          <w:color w:val="auto"/>
        </w:rPr>
      </w:pPr>
    </w:p>
    <w:p>
      <w:pPr>
        <w:jc w:val="center"/>
        <w:ind w:left="40"/>
        <w:spacing w:after="0"/>
        <w:rPr>
          <w:sz w:val="20"/>
          <w:szCs w:val="20"/>
          <w:color w:val="auto"/>
        </w:rPr>
      </w:pPr>
      <w:r>
        <w:rPr>
          <w:rFonts w:ascii="Times New Roman" w:cs="Times New Roman" w:eastAsia="Times New Roman" w:hAnsi="Times New Roman"/>
          <w:sz w:val="14"/>
          <w:szCs w:val="14"/>
          <w:b w:val="1"/>
          <w:bCs w:val="1"/>
          <w:i w:val="1"/>
          <w:i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0086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9"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8"/>
          <w:szCs w:val="18"/>
          <w:color w:val="auto"/>
        </w:rPr>
        <w:t>Deliver executive compensation primarily through performance-based pay</w:t>
      </w:r>
    </w:p>
    <w:p>
      <w:pPr>
        <w:spacing w:after="0" w:line="183"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Utilize equity awards of which a majority are performance-based and designed to deliver long term stockholder value</w:t>
      </w:r>
    </w:p>
    <w:p>
      <w:pPr>
        <w:spacing w:after="0" w:line="162" w:lineRule="exact"/>
        <w:rPr>
          <w:sz w:val="20"/>
          <w:szCs w:val="20"/>
          <w:color w:val="auto"/>
        </w:rPr>
      </w:pPr>
    </w:p>
    <w:p>
      <w:pPr>
        <w:ind w:left="20" w:right="420"/>
        <w:spacing w:after="0" w:line="282" w:lineRule="auto"/>
        <w:rPr>
          <w:sz w:val="20"/>
          <w:szCs w:val="20"/>
          <w:color w:val="auto"/>
        </w:rPr>
      </w:pPr>
      <w:r>
        <w:rPr>
          <w:rFonts w:ascii="Times New Roman" w:cs="Times New Roman" w:eastAsia="Times New Roman" w:hAnsi="Times New Roman"/>
          <w:sz w:val="18"/>
          <w:szCs w:val="18"/>
          <w:color w:val="auto"/>
        </w:rPr>
        <w:t>Have a clawback policy covering cash and equity incentive compensation</w:t>
      </w:r>
    </w:p>
    <w:p>
      <w:pPr>
        <w:spacing w:after="0" w:line="162" w:lineRule="exact"/>
        <w:rPr>
          <w:sz w:val="20"/>
          <w:szCs w:val="20"/>
          <w:color w:val="auto"/>
        </w:rPr>
      </w:pPr>
    </w:p>
    <w:p>
      <w:pPr>
        <w:ind w:left="20" w:right="460"/>
        <w:spacing w:after="0" w:line="282" w:lineRule="auto"/>
        <w:rPr>
          <w:sz w:val="20"/>
          <w:szCs w:val="20"/>
          <w:color w:val="auto"/>
        </w:rPr>
      </w:pPr>
      <w:r>
        <w:rPr>
          <w:rFonts w:ascii="Times New Roman" w:cs="Times New Roman" w:eastAsia="Times New Roman" w:hAnsi="Times New Roman"/>
          <w:sz w:val="18"/>
          <w:szCs w:val="18"/>
          <w:color w:val="auto"/>
        </w:rPr>
        <w:t>Conduct a regular peer group review with our independent consultant to align the Company’s current profile</w:t>
      </w:r>
    </w:p>
    <w:p>
      <w:pPr>
        <w:spacing w:after="0" w:line="378" w:lineRule="exact"/>
        <w:rPr>
          <w:sz w:val="20"/>
          <w:szCs w:val="20"/>
          <w:color w:val="auto"/>
        </w:rPr>
      </w:pPr>
    </w:p>
    <w:p>
      <w:pPr>
        <w:ind w:left="20" w:right="260"/>
        <w:spacing w:after="0" w:line="282" w:lineRule="auto"/>
        <w:rPr>
          <w:sz w:val="20"/>
          <w:szCs w:val="20"/>
          <w:color w:val="auto"/>
        </w:rPr>
      </w:pPr>
      <w:r>
        <w:rPr>
          <w:rFonts w:ascii="Times New Roman" w:cs="Times New Roman" w:eastAsia="Times New Roman" w:hAnsi="Times New Roman"/>
          <w:sz w:val="18"/>
          <w:szCs w:val="18"/>
          <w:color w:val="auto"/>
        </w:rPr>
        <w:t>Have double trigger Change-in-Control (CIC) severance plan provisions</w:t>
      </w:r>
    </w:p>
    <w:p>
      <w:pPr>
        <w:spacing w:after="0" w:line="162" w:lineRule="exact"/>
        <w:rPr>
          <w:sz w:val="20"/>
          <w:szCs w:val="20"/>
          <w:color w:val="auto"/>
        </w:rPr>
      </w:pPr>
    </w:p>
    <w:p>
      <w:pPr>
        <w:ind w:left="20" w:right="560"/>
        <w:spacing w:after="0" w:line="282" w:lineRule="auto"/>
        <w:rPr>
          <w:sz w:val="20"/>
          <w:szCs w:val="20"/>
          <w:color w:val="auto"/>
        </w:rPr>
      </w:pPr>
      <w:r>
        <w:rPr>
          <w:rFonts w:ascii="Times New Roman" w:cs="Times New Roman" w:eastAsia="Times New Roman" w:hAnsi="Times New Roman"/>
          <w:sz w:val="18"/>
          <w:szCs w:val="18"/>
          <w:color w:val="auto"/>
        </w:rPr>
        <w:t>Have stock ownership guidelines applicable to our senior executive officers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Utilize independent compensation consulting firm</w:t>
      </w:r>
    </w:p>
    <w:p>
      <w:pPr>
        <w:spacing w:after="0" w:line="200" w:lineRule="exact"/>
        <w:rPr>
          <w:sz w:val="20"/>
          <w:szCs w:val="20"/>
          <w:color w:val="auto"/>
        </w:rPr>
      </w:pPr>
    </w:p>
    <w:p>
      <w:pPr>
        <w:spacing w:after="0" w:line="241" w:lineRule="exact"/>
        <w:rPr>
          <w:sz w:val="20"/>
          <w:szCs w:val="20"/>
          <w:color w:val="auto"/>
        </w:rPr>
      </w:pPr>
    </w:p>
    <w:p>
      <w:pPr>
        <w:ind w:left="20" w:right="720"/>
        <w:spacing w:after="0" w:line="282" w:lineRule="auto"/>
        <w:rPr>
          <w:sz w:val="20"/>
          <w:szCs w:val="20"/>
          <w:color w:val="auto"/>
        </w:rPr>
      </w:pPr>
      <w:r>
        <w:rPr>
          <w:rFonts w:ascii="Times New Roman" w:cs="Times New Roman" w:eastAsia="Times New Roman" w:hAnsi="Times New Roman"/>
          <w:sz w:val="18"/>
          <w:szCs w:val="18"/>
          <w:color w:val="auto"/>
        </w:rPr>
        <w:t>Conduct a regular review of share utilization for equity compensation</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Design our programs to mitigate undue risk</w:t>
      </w:r>
    </w:p>
    <w:p>
      <w:pPr>
        <w:spacing w:after="0" w:line="225" w:lineRule="exact"/>
        <w:rPr>
          <w:sz w:val="20"/>
          <w:szCs w:val="20"/>
          <w:color w:val="auto"/>
        </w:rPr>
      </w:pPr>
    </w:p>
    <w:p>
      <w:pPr>
        <w:ind w:left="20" w:right="380"/>
        <w:spacing w:after="0" w:line="282" w:lineRule="auto"/>
        <w:rPr>
          <w:sz w:val="20"/>
          <w:szCs w:val="20"/>
          <w:color w:val="auto"/>
        </w:rPr>
      </w:pPr>
      <w:r>
        <w:rPr>
          <w:rFonts w:ascii="Times New Roman" w:cs="Times New Roman" w:eastAsia="Times New Roman" w:hAnsi="Times New Roman"/>
          <w:sz w:val="18"/>
          <w:szCs w:val="18"/>
          <w:color w:val="auto"/>
        </w:rPr>
        <w:t>Conduct an annual say-on-pay vote and regular shareholder outreach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Stockholder Say-On-Pay Votes and Engagement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4"/>
          <w:szCs w:val="14"/>
          <w:b w:val="1"/>
          <w:bCs w:val="1"/>
          <w:i w:val="1"/>
          <w:i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8890</wp:posOffset>
            </wp:positionV>
            <wp:extent cx="30257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9" w:lineRule="exact"/>
        <w:rPr>
          <w:sz w:val="20"/>
          <w:szCs w:val="20"/>
          <w:color w:val="auto"/>
        </w:rPr>
      </w:pPr>
    </w:p>
    <w:p>
      <w:pPr>
        <w:ind w:right="1480"/>
        <w:spacing w:after="0" w:line="258" w:lineRule="auto"/>
        <w:rPr>
          <w:sz w:val="20"/>
          <w:szCs w:val="20"/>
          <w:color w:val="auto"/>
        </w:rPr>
      </w:pPr>
      <w:r>
        <w:rPr>
          <w:rFonts w:ascii="Times New Roman" w:cs="Times New Roman" w:eastAsia="Times New Roman" w:hAnsi="Times New Roman"/>
          <w:sz w:val="18"/>
          <w:szCs w:val="18"/>
          <w:color w:val="auto"/>
        </w:rPr>
        <w:t>Do not permit hedging transactions, share pledging, or short sales by employees or directors</w:t>
      </w:r>
    </w:p>
    <w:p>
      <w:pPr>
        <w:spacing w:after="0" w:line="183" w:lineRule="exact"/>
        <w:rPr>
          <w:sz w:val="20"/>
          <w:szCs w:val="20"/>
          <w:color w:val="auto"/>
        </w:rPr>
      </w:pPr>
    </w:p>
    <w:p>
      <w:pPr>
        <w:ind w:right="1820"/>
        <w:spacing w:after="0" w:line="282" w:lineRule="auto"/>
        <w:rPr>
          <w:sz w:val="20"/>
          <w:szCs w:val="20"/>
          <w:color w:val="auto"/>
        </w:rPr>
      </w:pPr>
      <w:r>
        <w:rPr>
          <w:rFonts w:ascii="Times New Roman" w:cs="Times New Roman" w:eastAsia="Times New Roman" w:hAnsi="Times New Roman"/>
          <w:sz w:val="18"/>
          <w:szCs w:val="18"/>
          <w:color w:val="auto"/>
        </w:rPr>
        <w:t>Do not permit repricing of stock options without shareholder approval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provide excessive perquisites</w:t>
      </w:r>
    </w:p>
    <w:p>
      <w:pPr>
        <w:spacing w:after="0" w:line="200" w:lineRule="exact"/>
        <w:rPr>
          <w:sz w:val="20"/>
          <w:szCs w:val="20"/>
          <w:color w:val="auto"/>
        </w:rPr>
      </w:pPr>
    </w:p>
    <w:p>
      <w:pPr>
        <w:spacing w:after="0" w:line="241" w:lineRule="exact"/>
        <w:rPr>
          <w:sz w:val="20"/>
          <w:szCs w:val="20"/>
          <w:color w:val="auto"/>
        </w:rPr>
      </w:pPr>
    </w:p>
    <w:p>
      <w:pPr>
        <w:ind w:right="1600"/>
        <w:spacing w:after="0" w:line="266" w:lineRule="auto"/>
        <w:rPr>
          <w:sz w:val="20"/>
          <w:szCs w:val="20"/>
          <w:color w:val="auto"/>
        </w:rPr>
      </w:pPr>
      <w:r>
        <w:rPr>
          <w:rFonts w:ascii="Times New Roman" w:cs="Times New Roman" w:eastAsia="Times New Roman" w:hAnsi="Times New Roman"/>
          <w:sz w:val="18"/>
          <w:szCs w:val="18"/>
          <w:color w:val="auto"/>
        </w:rPr>
        <w:t>Do not provide funded pension or retirement plans (other than a matching contribution of up to $12,000 for 401(k) plan participants that we make available to all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provide excise tax gross-ups on CIC payments</w:t>
      </w:r>
    </w:p>
    <w:p>
      <w:pPr>
        <w:spacing w:after="0" w:line="200" w:lineRule="exact"/>
        <w:rPr>
          <w:sz w:val="20"/>
          <w:szCs w:val="20"/>
          <w:color w:val="auto"/>
        </w:rPr>
      </w:pPr>
    </w:p>
    <w:p>
      <w:pPr>
        <w:spacing w:after="0" w:line="241" w:lineRule="exact"/>
        <w:rPr>
          <w:sz w:val="20"/>
          <w:szCs w:val="20"/>
          <w:color w:val="auto"/>
        </w:rPr>
      </w:pPr>
    </w:p>
    <w:p>
      <w:pPr>
        <w:ind w:right="1480"/>
        <w:spacing w:after="0" w:line="282" w:lineRule="auto"/>
        <w:rPr>
          <w:sz w:val="20"/>
          <w:szCs w:val="20"/>
          <w:color w:val="auto"/>
        </w:rPr>
      </w:pPr>
      <w:r>
        <w:rPr>
          <w:rFonts w:ascii="Times New Roman" w:cs="Times New Roman" w:eastAsia="Times New Roman" w:hAnsi="Times New Roman"/>
          <w:sz w:val="18"/>
          <w:szCs w:val="18"/>
          <w:color w:val="auto"/>
        </w:rPr>
        <w:t>Do not accelerate vesting of equity awards on termination (unless in connection with a change of control of the Company)</w:t>
      </w:r>
    </w:p>
    <w:p>
      <w:pPr>
        <w:spacing w:after="0" w:line="162" w:lineRule="exact"/>
        <w:rPr>
          <w:sz w:val="20"/>
          <w:szCs w:val="20"/>
          <w:color w:val="auto"/>
        </w:rPr>
      </w:pPr>
    </w:p>
    <w:p>
      <w:pPr>
        <w:ind w:right="2260"/>
        <w:spacing w:after="0" w:line="282" w:lineRule="auto"/>
        <w:rPr>
          <w:sz w:val="20"/>
          <w:szCs w:val="20"/>
          <w:color w:val="auto"/>
        </w:rPr>
      </w:pPr>
      <w:r>
        <w:rPr>
          <w:rFonts w:ascii="Times New Roman" w:cs="Times New Roman" w:eastAsia="Times New Roman" w:hAnsi="Times New Roman"/>
          <w:sz w:val="18"/>
          <w:szCs w:val="18"/>
          <w:color w:val="auto"/>
        </w:rPr>
        <w:t>Do not include the value of equity awards in severance calculations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fixed employment terms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guaranteed bonus payments</w:t>
      </w:r>
    </w:p>
    <w:p>
      <w:pPr>
        <w:spacing w:after="0" w:line="1275" w:lineRule="exact"/>
        <w:rPr>
          <w:sz w:val="20"/>
          <w:szCs w:val="20"/>
          <w:color w:val="auto"/>
        </w:rPr>
      </w:pPr>
    </w:p>
    <w:p>
      <w:pPr>
        <w:sectPr>
          <w:pgSz w:w="11900" w:h="16838" w:orient="portrait"/>
          <w:cols w:equalWidth="0" w:num="2">
            <w:col w:w="4700" w:space="320"/>
            <w:col w:w="6200"/>
          </w:cols>
          <w:pgMar w:left="320" w:top="117" w:right="359" w:bottom="1440" w:gutter="0" w:footer="0" w:header="0"/>
          <w:type w:val="continuous"/>
        </w:sectPr>
      </w:pPr>
    </w:p>
    <w:p>
      <w:pPr>
        <w:spacing w:after="0" w:line="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provide our stockholders with the opportunity to cast an annual advisory vote to approve our executive compensation program (referred to as a “say-on-pay vote”). At our annual meeting of stockholders held in June 2024, approximately 93% of the votes cast by stockholders present or represented voted in favor of the proposal. After considering the 2024 say-on-pay vote, the Organization and Compensation Committee reaffirmed the design and elements of our executive compensation program. The board of directors and the Organization and Compensation Committee will continue to consider the outcome of our say-on-pay proposals and direct stockholder feedback when making future compensation decisions for the NEOs. Currently, we hold a non-binding advisory vote on the compensation of our NEOs every year.</w:t>
      </w:r>
    </w:p>
    <w:p>
      <w:pPr>
        <w:spacing w:after="0" w:line="147"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Engaging with our stockholders helps us to understand how they view us, assists in setting goals and expectations for our performance, and identifies any emerging issues that may affect our strategies, corporate governance, compensation practices or other aspects of our operations. Throughout the year, members of Investor Relations and other subject-matter experts within the Company engage with our stockholders to remain well-informed regarding their perspective on current issues, as well as to address any questions or concerns. These teams serve as liaisons between stockholders, members of senior management and the Board. Additionally, our stockholder and investor outreach includes investor road shows, analyst meetings, and investor conferences and meetings. We seek stockholder feedback on executive compensation, governance and other matters throughout the year, concentrating our efforts on our largest stockholders.</w:t>
      </w:r>
    </w:p>
    <w:p>
      <w:pPr>
        <w:sectPr>
          <w:pgSz w:w="11900" w:h="16838" w:orient="portrait"/>
          <w:cols w:equalWidth="0" w:num="1">
            <w:col w:w="11220"/>
          </w:cols>
          <w:pgMar w:left="320" w:top="117" w:right="35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Program Objectives and Philosophy</w:t>
      </w:r>
    </w:p>
    <w:p>
      <w:pPr>
        <w:spacing w:after="0" w:line="202"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In order to continue the execution and growth of our business as described above, we believe that it is vital that we continue to attract, motivate and retain highly experienced and skilled senior leadership by offering competitive base compensation and benefits, performance-based incentives, and the potential for long-term equity compensation in order to ensure that overall total compensation is within common market trends and to meet our talent objectives. Our goal is to structure a meaningful portion of executive compensation such that it will only have value if the senior leadership is successful in building significant long-term value for our business and our stockholders.</w:t>
      </w:r>
    </w:p>
    <w:p>
      <w:pPr>
        <w:spacing w:after="0" w:line="143"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Our current compensation programs for the NEOs are determined and approved by the Organization and Compensation Committee of our board of directors. The Organization and Compensation Committee takes into account Mr. Robin’s recommendations regarding the compensatory arrangements for our executive officers, although Mr. Robin does not participate in the deliberations or determinations of his own compensation. The other NEOs do not have any substantive role in determining or recommending the form or amount of compensation paid to any of our executive officers. Our current executive compensation programs are intended to achieve the following four fundamental goals and objectives to:</w:t>
      </w:r>
    </w:p>
    <w:p>
      <w:pPr>
        <w:spacing w:after="0" w:line="116" w:lineRule="exact"/>
        <w:rPr>
          <w:sz w:val="20"/>
          <w:szCs w:val="20"/>
          <w:color w:val="auto"/>
        </w:rPr>
      </w:pPr>
    </w:p>
    <w:p>
      <w:pPr>
        <w:ind w:left="1300" w:hanging="648"/>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an experienced, highly qualified and motivated executive management team to lead our business;</w:t>
      </w:r>
    </w:p>
    <w:p>
      <w:pPr>
        <w:spacing w:after="0" w:line="171" w:lineRule="exact"/>
        <w:rPr>
          <w:rFonts w:ascii="Times New Roman" w:cs="Times New Roman" w:eastAsia="Times New Roman" w:hAnsi="Times New Roman"/>
          <w:sz w:val="18"/>
          <w:szCs w:val="18"/>
          <w:color w:val="auto"/>
        </w:rPr>
      </w:pPr>
    </w:p>
    <w:p>
      <w:pPr>
        <w:ind w:left="1300" w:right="440" w:hanging="648"/>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Incentivize and reward sustained long-term performance by aligning significant elements of executive compensation with long-term stockholder value creation;</w:t>
      </w:r>
    </w:p>
    <w:p>
      <w:pPr>
        <w:spacing w:after="0" w:line="9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economic rewards for achieving high levels of performance and individual contribution; and</w:t>
      </w:r>
    </w:p>
    <w:p>
      <w:pPr>
        <w:spacing w:after="0" w:line="157" w:lineRule="exact"/>
        <w:rPr>
          <w:rFonts w:ascii="Times New Roman" w:cs="Times New Roman" w:eastAsia="Times New Roman" w:hAnsi="Times New Roman"/>
          <w:sz w:val="18"/>
          <w:szCs w:val="18"/>
          <w:color w:val="auto"/>
        </w:rPr>
      </w:pPr>
    </w:p>
    <w:p>
      <w:pPr>
        <w:ind w:left="1300" w:hanging="648"/>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total compensation that is competitive, taking into account the experience, skills and performance of the executives required to build and maintain the organization necessary to support our mission to be a leading research-based development stage biopharmaceutical company that discovers and develops innovative medicines in the field of immunotherapy.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When structuring our executive compensation programs to achieve our goals and objectives, we are guided by the following philosophies:</w:t>
      </w:r>
    </w:p>
    <w:p>
      <w:pPr>
        <w:spacing w:after="0" w:line="154" w:lineRule="exact"/>
        <w:rPr>
          <w:sz w:val="20"/>
          <w:szCs w:val="20"/>
          <w:color w:val="auto"/>
        </w:rPr>
      </w:pPr>
    </w:p>
    <w:p>
      <w:pPr>
        <w:jc w:val="both"/>
        <w:ind w:left="1300" w:right="300" w:hanging="648"/>
        <w:spacing w:after="0" w:line="268"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Alignment with Long-Term Stockholder Value Creation. </w:t>
      </w:r>
      <w:r>
        <w:rPr>
          <w:rFonts w:ascii="Times New Roman" w:cs="Times New Roman" w:eastAsia="Times New Roman" w:hAnsi="Times New Roman"/>
          <w:sz w:val="18"/>
          <w:szCs w:val="18"/>
          <w:color w:val="auto"/>
        </w:rPr>
        <w:t>Our compensation model is designed to align the economic interests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executives with long-term stockholder value creation. Under our program, in 2024, 50% of the equity awards granted to our executive officers were performance-based equity awards that only vest if certain performance conditions are met.</w:t>
      </w:r>
    </w:p>
    <w:p>
      <w:pPr>
        <w:spacing w:after="0" w:line="103" w:lineRule="exact"/>
        <w:rPr>
          <w:rFonts w:ascii="Times New Roman" w:cs="Times New Roman" w:eastAsia="Times New Roman" w:hAnsi="Times New Roman"/>
          <w:sz w:val="18"/>
          <w:szCs w:val="18"/>
          <w:color w:val="auto"/>
        </w:rPr>
      </w:pPr>
    </w:p>
    <w:p>
      <w:pPr>
        <w:ind w:left="1300" w:right="60" w:hanging="648"/>
        <w:spacing w:after="0" w:line="259"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 for Performance. </w:t>
      </w:r>
      <w:r>
        <w:rPr>
          <w:rFonts w:ascii="Times New Roman" w:cs="Times New Roman" w:eastAsia="Times New Roman" w:hAnsi="Times New Roman"/>
          <w:sz w:val="18"/>
          <w:szCs w:val="18"/>
          <w:color w:val="auto"/>
        </w:rPr>
        <w:t>The objective of our executive compensation program is to deliver compensation above industry median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exceptional performance and deliver compensation below the median in performance periods where the Company does not perform well. We will also link each NEOs’ annual merit equity award to an assessment of individual performance or the achievement of what we believe to be rigorous and objective performance achievement milestones or criteria (such as initiating and advancing our clinical trials through new stages).</w:t>
      </w:r>
    </w:p>
    <w:p>
      <w:pPr>
        <w:spacing w:after="0" w:line="125" w:lineRule="exact"/>
        <w:rPr>
          <w:rFonts w:ascii="Times New Roman" w:cs="Times New Roman" w:eastAsia="Times New Roman" w:hAnsi="Times New Roman"/>
          <w:sz w:val="18"/>
          <w:szCs w:val="18"/>
          <w:color w:val="auto"/>
        </w:rPr>
      </w:pPr>
    </w:p>
    <w:p>
      <w:pPr>
        <w:ind w:left="1300" w:right="540" w:hanging="648"/>
        <w:spacing w:after="0" w:line="268"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Total Rewards Program. </w:t>
      </w:r>
      <w:r>
        <w:rPr>
          <w:rFonts w:ascii="Times New Roman" w:cs="Times New Roman" w:eastAsia="Times New Roman" w:hAnsi="Times New Roman"/>
          <w:sz w:val="18"/>
          <w:szCs w:val="18"/>
          <w:color w:val="auto"/>
        </w:rPr>
        <w:t>The total compensation program must balance pay for performance elements with selected static non-performance-based elements in order to create a total rewards program that is competitive and will help us attract and retain highly qualified and motivated executives while also considering overall risk management for the Company and our shareholders.</w:t>
      </w:r>
    </w:p>
    <w:p>
      <w:pPr>
        <w:spacing w:after="0" w:line="103" w:lineRule="exact"/>
        <w:rPr>
          <w:rFonts w:ascii="Times New Roman" w:cs="Times New Roman" w:eastAsia="Times New Roman" w:hAnsi="Times New Roman"/>
          <w:sz w:val="18"/>
          <w:szCs w:val="18"/>
          <w:color w:val="auto"/>
        </w:rPr>
      </w:pPr>
    </w:p>
    <w:p>
      <w:pPr>
        <w:ind w:left="1300" w:right="480" w:hanging="648"/>
        <w:spacing w:after="0" w:line="286"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Customized Approach. </w:t>
      </w:r>
      <w:r>
        <w:rPr>
          <w:rFonts w:ascii="Times New Roman" w:cs="Times New Roman" w:eastAsia="Times New Roman" w:hAnsi="Times New Roman"/>
          <w:sz w:val="18"/>
          <w:szCs w:val="18"/>
          <w:color w:val="auto"/>
        </w:rPr>
        <w:t>The level of compensation provided to executives must take into account each executive’s role,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tenure, performance and expected contributions to our future success.</w:t>
      </w:r>
    </w:p>
    <w:p>
      <w:pPr>
        <w:spacing w:after="0" w:line="87" w:lineRule="exact"/>
        <w:rPr>
          <w:rFonts w:ascii="Times New Roman" w:cs="Times New Roman" w:eastAsia="Times New Roman" w:hAnsi="Times New Roman"/>
          <w:sz w:val="18"/>
          <w:szCs w:val="18"/>
          <w:color w:val="auto"/>
        </w:rPr>
      </w:pPr>
    </w:p>
    <w:p>
      <w:pPr>
        <w:ind w:left="1300" w:right="360" w:hanging="648"/>
        <w:spacing w:after="0" w:line="268"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 on Achievement of Fundamental Business Goals. </w:t>
      </w:r>
      <w:r>
        <w:rPr>
          <w:rFonts w:ascii="Times New Roman" w:cs="Times New Roman" w:eastAsia="Times New Roman" w:hAnsi="Times New Roman"/>
          <w:sz w:val="18"/>
          <w:szCs w:val="18"/>
          <w:color w:val="auto"/>
        </w:rPr>
        <w:t>The compensation program must be structured so that executives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appropriately incentivized to achieve our short- and long-term goals that are viewed as fundamental to driving long-term value in our business.</w:t>
      </w:r>
    </w:p>
    <w:p>
      <w:pPr>
        <w:spacing w:after="0" w:line="148"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designed our total compensation program to combine short- and long-term components, cash and equity, and fixed and contingent payments, in proportions that we believe are appropriate to achieve each of our fundamental compensation philosophies as described above. It was our intent to design the structure of the compensation program to provide appropriate incentives to reward executives for achieving our long-term goals and objectives, some of the most important of which are building and advancing a robust drug candidate pipeline, including conducting clinical trials, entering into new collaboration partnerships and executing on our current collaborations, increasing the skill level and efficiency of our organization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improving our financial position. We believe that our compensation program has helped us both recruit and retain superior executive talent to continue to build an organization capable of executing on our mission to become a leading research-based development stage biopharmaceutical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Determination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Organization and Compensation Committee</w:t>
      </w:r>
    </w:p>
    <w:p>
      <w:pPr>
        <w:spacing w:after="0" w:line="189"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Organization and Compensation Committee is responsible for establishing the compensation programs of the Company’s CEO, NEOs and other executives of the Company. It also administers the Company’s equity-based and performance-based compensation plans, including plans under which restricted stock units or stock options are awarded. Accordingly, it is responsible for reviewing base salary and cash and equity incentives payable to executives, including the Company’s CEO and NEOs, and recommending to the board of directors for approval a total compensation package for each executive. The Organization and Compensation Committee also has the authority to grant restricted stock units and options to purchase shares of the Company’s Common Stock to all participants under the Company’s equity award plans, and to determine all terms and conditions of such awards.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Management</w:t>
      </w:r>
    </w:p>
    <w:p>
      <w:pPr>
        <w:spacing w:after="0" w:line="189"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To aid the Organization and Compensation Committee in its responsibilities, our CEO provides the committee with recommendations relating to the performance and achievements of each of the NEOs (other than himself). The Organization and Compensation Committee gives considerable weight to the CEO’s performance evaluations of the other NEOs because he has direct knowledge of the criticality of their work, performance and contributions. The Organization and Compensation Committee does not consult with any other executive officers with regard to its decisions. The CEO does not participate in the Organization and Compensation Committee’s deliberations or decisions regarding his own compensation.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Compensation Consultant</w:t>
      </w:r>
    </w:p>
    <w:p>
      <w:pPr>
        <w:spacing w:after="0" w:line="20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In 2024, the Organization and Compensation Committee continued to retain the services of Aon’s Human Capital Solutions practice, a division of Aon, plc (Aon) as its independent executive compensation consultant due to its extensive analytical and compensation expertise in our industry. In this capacity, Aon has advised the Organization and Compensation Committee on compensation matters related to the executive and director compensation programs including:</w:t>
      </w:r>
    </w:p>
    <w:p>
      <w:pPr>
        <w:spacing w:after="0" w:line="112" w:lineRule="exact"/>
        <w:rPr>
          <w:sz w:val="20"/>
          <w:szCs w:val="20"/>
          <w:color w:val="auto"/>
        </w:rPr>
      </w:pPr>
    </w:p>
    <w:p>
      <w:pPr>
        <w:ind w:left="1300" w:hanging="648"/>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director market pay analysis;</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employee equity award framework;</w:t>
      </w:r>
    </w:p>
    <w:p>
      <w:pPr>
        <w:spacing w:after="0" w:line="17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when appropriate, suggesting changes to the compensation peer group;</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refinement of executive pay programs and governance practices; and</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reviewing the Compensation Discussion and Analysis and other proxy statement disclosures.</w:t>
      </w:r>
    </w:p>
    <w:p>
      <w:pPr>
        <w:spacing w:after="0" w:line="198" w:lineRule="exact"/>
        <w:rPr>
          <w:sz w:val="20"/>
          <w:szCs w:val="20"/>
          <w:color w:val="auto"/>
        </w:rPr>
      </w:pPr>
    </w:p>
    <w:p>
      <w:pPr>
        <w:ind w:right="380" w:firstLine="644"/>
        <w:spacing w:after="0" w:line="258" w:lineRule="auto"/>
        <w:rPr>
          <w:sz w:val="20"/>
          <w:szCs w:val="20"/>
          <w:color w:val="auto"/>
        </w:rPr>
      </w:pPr>
      <w:r>
        <w:rPr>
          <w:rFonts w:ascii="Times New Roman" w:cs="Times New Roman" w:eastAsia="Times New Roman" w:hAnsi="Times New Roman"/>
          <w:sz w:val="18"/>
          <w:szCs w:val="18"/>
          <w:color w:val="auto"/>
        </w:rPr>
        <w:t>The Organization and Compensation Committee has the sole authority to engage and terminate Aon’s services, as well as to approve its compensation. Aon makes recommendations to the committee but has no authority to make compensation decisions on behalf of the committee or the Company. Aon reported to the Organization and Compensation Committee and had direct access to the chairperson and the other members of the committee. Beyond data and advice related to executive and director compensation matters and equity plan design and assistance with proxy statement disclosures, Aon did not provide any other consulting services to us in 2024.</w:t>
      </w:r>
    </w:p>
    <w:p>
      <w:pPr>
        <w:spacing w:after="0" w:line="143"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The Organization and Compensation Committee conducted a specific review of its relationship with Aon in 2024 and determined that Aon’s work did not raise any conflicts of interest. Aon’s work has conformed to the independence factors and guidance provided by the Dodd-Frank Wall Street Reform and Consumer Protection Act of 2010, the SEC and Nasdaq.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Market Data and Peer Group Analysis</w:t>
      </w:r>
    </w:p>
    <w:p>
      <w:pPr>
        <w:spacing w:after="0" w:line="202"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We regularly review the compensation practices of our peers in response to the fast-moving nature of the biotechnology industry, including merger and acquisition activity, and changes in product pipeline and business stage. As a result of the Company having a combination of multiple drug candidates in diverse therapeutic areas, a mix of wholly-owned and partnered drug products, and, previously, a legacy proprietary manufacturing operation, it is very challenging to identify truly comparable companies. Historically, we conduct an annual peer group review in June of each year.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In June 2023, we engaged Aon to conduct a review and assessment of our peer group. Previously, we had selected our peer group companies by considering companies in a comparable sector and stage with market capitalizations between 0.5x to 3.0x of our market capitalization at the time of review. However, a company’s market capitalization can at times be misaligned with market expectations. We believe that, due to current market conditions and in light of the fact that our market valuation has been trading below our cash value, the use of market capitalization as the primary criteria for selecting our peer group would not best capture an appropriate peer group that is comparable to our company. In consultation with Aon, we calculated and examined the ratio of market capitalization to cash value within peers to determine a median “cash value” multiple, which we applied to our cash value at the time of review to derive an implied valuation of the Company. We then considered for our peer group, companies in a comparable sector and stage with market capitalizations between 0.5x to 3.0x of our implied valuation and further selected our peer group based on comparable financial profile, business and product focus, and development stage. As a result, in June 2023 the Organization and Compensation Committee approved a selection of 19 peer group companies.</w:t>
      </w:r>
    </w:p>
    <w:p>
      <w:pPr>
        <w:spacing w:after="0" w:line="167"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In June 2024, the Organization and Compensation Committee reviewed with Aon our peer group and determined that the same metrics from 2023 should be used in setting the 2024 peer group, which peer group is utilized by the Organization and Compensation Committee in evaluating 2025 compensation.</w:t>
      </w:r>
    </w:p>
    <w:p>
      <w:pPr>
        <w:spacing w:after="0" w:line="135" w:lineRule="exact"/>
        <w:rPr>
          <w:sz w:val="20"/>
          <w:szCs w:val="20"/>
          <w:color w:val="auto"/>
        </w:rPr>
      </w:pPr>
    </w:p>
    <w:p>
      <w:pPr>
        <w:ind w:right="840" w:firstLine="644"/>
        <w:spacing w:after="0" w:line="282" w:lineRule="auto"/>
        <w:rPr>
          <w:sz w:val="20"/>
          <w:szCs w:val="20"/>
          <w:color w:val="auto"/>
        </w:rPr>
      </w:pPr>
      <w:r>
        <w:rPr>
          <w:rFonts w:ascii="Times New Roman" w:cs="Times New Roman" w:eastAsia="Times New Roman" w:hAnsi="Times New Roman"/>
          <w:sz w:val="18"/>
          <w:szCs w:val="18"/>
          <w:color w:val="auto"/>
        </w:rPr>
        <w:t>As a result, the following peer group was used approved by the Organization and Compensation Committee for evaluating 2024 - 2025 compensation decisions.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4D Molecular Therapeutics</w:t>
            </w:r>
          </w:p>
        </w:tc>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BioAtla</w:t>
            </w:r>
          </w:p>
        </w:tc>
        <w:tc>
          <w:tcPr>
            <w:tcW w:w="25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Kezar Life Sciences</w:t>
            </w:r>
          </w:p>
        </w:tc>
      </w:tr>
      <w:tr>
        <w:trPr>
          <w:trHeight w:val="38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Alector</w:t>
            </w:r>
          </w:p>
        </w:tc>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bluebird bio, Inc.</w:t>
            </w:r>
            <w:r>
              <w:rPr>
                <w:rFonts w:ascii="Times New Roman" w:cs="Times New Roman" w:eastAsia="Times New Roman" w:hAnsi="Times New Roman"/>
                <w:sz w:val="24"/>
                <w:szCs w:val="24"/>
                <w:color w:val="auto"/>
                <w:vertAlign w:val="superscript"/>
              </w:rPr>
              <w:t>*</w:t>
            </w:r>
          </w:p>
        </w:tc>
        <w:tc>
          <w:tcPr>
            <w:tcW w:w="25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Kodiak Sciences</w:t>
            </w:r>
          </w:p>
        </w:tc>
      </w:tr>
      <w:tr>
        <w:trPr>
          <w:trHeight w:val="262"/>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Allakos</w:t>
            </w:r>
          </w:p>
        </w:tc>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CytomX Therapeutics</w:t>
            </w:r>
          </w:p>
        </w:tc>
        <w:tc>
          <w:tcPr>
            <w:tcW w:w="25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8"/>
              </w:rPr>
              <w:t>Olema Pharmaceuticals</w:t>
            </w: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ALX Oncology</w:t>
            </w:r>
          </w:p>
        </w:tc>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Erasca</w:t>
            </w:r>
          </w:p>
        </w:tc>
        <w:tc>
          <w:tcPr>
            <w:tcW w:w="25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ORIC Pharmaceuticals</w:t>
            </w: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Annexon</w:t>
            </w:r>
          </w:p>
        </w:tc>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Gossamer bio</w:t>
            </w:r>
          </w:p>
        </w:tc>
        <w:tc>
          <w:tcPr>
            <w:tcW w:w="25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RAPT Therapeutics</w:t>
            </w:r>
          </w:p>
        </w:tc>
      </w:tr>
      <w:tr>
        <w:trPr>
          <w:trHeight w:val="32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Aura Biosciences</w:t>
            </w:r>
          </w:p>
        </w:tc>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IGM Biosciences</w:t>
            </w:r>
          </w:p>
        </w:tc>
        <w:tc>
          <w:tcPr>
            <w:tcW w:w="2580" w:type="dxa"/>
            <w:vAlign w:val="bottom"/>
          </w:tcPr>
          <w:p>
            <w:pPr>
              <w:spacing w:after="0"/>
              <w:rPr>
                <w:sz w:val="24"/>
                <w:szCs w:val="24"/>
                <w:color w:val="auto"/>
              </w:rPr>
            </w:pPr>
          </w:p>
        </w:tc>
      </w:tr>
    </w:tbl>
    <w:p>
      <w:pPr>
        <w:spacing w:after="0" w:line="252"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Compared to the 2023 peer group, the 2024 peer group differs in that two companies, Alpine Immune Sciences and NGM Bio, were removed on account that these two companies had either been acquired or were in the process of being acquired.</w:t>
      </w:r>
    </w:p>
    <w:p>
      <w:pPr>
        <w:spacing w:after="0" w:line="121" w:lineRule="exact"/>
        <w:rPr>
          <w:sz w:val="20"/>
          <w:szCs w:val="20"/>
          <w:color w:val="auto"/>
        </w:rPr>
      </w:pPr>
    </w:p>
    <w:p>
      <w:pPr>
        <w:ind w:firstLine="644"/>
        <w:spacing w:after="0" w:line="272" w:lineRule="auto"/>
        <w:rPr>
          <w:sz w:val="20"/>
          <w:szCs w:val="20"/>
          <w:color w:val="auto"/>
        </w:rPr>
      </w:pPr>
      <w:r>
        <w:rPr>
          <w:rFonts w:ascii="Times New Roman" w:cs="Times New Roman" w:eastAsia="Times New Roman" w:hAnsi="Times New Roman"/>
          <w:sz w:val="17"/>
          <w:szCs w:val="17"/>
          <w:color w:val="auto"/>
        </w:rPr>
        <w:t>Given that our peer group companies have different market capitalizations than the Company, the Organization and Compensation Committee also reviews equity and total direct compensation data for our executives against the compensation for similarly situated executives at peer companies contained in surveys. Although the Organization and Compensation Committee reviewed and discussed the compensation data for the peer group companies to help inform executive compensation decisions, it does not set compensation at any specific level or percentile based solely on the peer group data. The peer group data and general industry compensation survey data is used only as one reference point considered in making compensation decisions. Other factors considered include an assessment of individual and company performance, competitive market practices, the number of unvested stock options held by the executive and average exercise price (i.e., the retention value) of these options, the number of unvested RSUs, the individual’s overall contributions, and stockholder dilution. However, we do not use a formula or assign a particular weight to any one factor in determining cash and equity award levels.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and Elements of Our Compensation Program</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2024, the executive compensation structure featured three primary elements:</w:t>
      </w:r>
    </w:p>
    <w:p>
      <w:pPr>
        <w:spacing w:after="0" w:line="158"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71" w:lineRule="exact"/>
        <w:rPr>
          <w:rFonts w:ascii="Times New Roman" w:cs="Times New Roman" w:eastAsia="Times New Roman" w:hAnsi="Times New Roman"/>
          <w:sz w:val="18"/>
          <w:szCs w:val="18"/>
          <w:color w:val="auto"/>
        </w:rPr>
      </w:pPr>
    </w:p>
    <w:p>
      <w:pPr>
        <w:ind w:left="660" w:right="54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cash incentives, based on the Company’s achievement of pre-established corporate performance objectives as well as individual performance (except for the CEO, whose short-term cash incentive is based solely on the Company’s performance); and</w:t>
      </w:r>
    </w:p>
    <w:p>
      <w:pPr>
        <w:spacing w:after="0" w:line="9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awarded as an equal mix of time- and performance-based option grants.</w:t>
      </w:r>
    </w:p>
    <w:p>
      <w:pPr>
        <w:spacing w:after="0" w:line="185"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Using the above three elements as a foundation, the Organization and Compensation Committee consulted with Aon, its independent executive compensation consultant, to design a compensation program that provides appropriate incentives and opportunities to the executives, aligns the vesting and performance milestones for equity awards with the Company’s strategic plan, reflects the Company’s current research and clinical developments, and remains market-aligned with industry peer groups, among others. Each element of our compensation program is discussed further below.</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0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Base salary is the initial building block of compensation for the NEOs because it provides the executives with a specified basic level of cash compensation, which we believe is important to attract and retain highly skilled and experienced executives. The Organization and Compensation Committee determines base salaries for NEOs and other executive officers by considering competitive pay practices, cost of labor and compensation trends, individual performance and promotions, level and scope of responsibility, experience and internal pay equity. However, the Organization and Compensation Committee does not use a formula or assign a particular weight to any one factor. Rather, the determination of base salary levels is subjective, and base salaries are set at levels that we believe to be reasonably competitive. Since 2021 the Organization and Compensation Committee had not awarded any merit-based increases to our NEO’s base compensation. In December 2024, the Organization and Compensation Committee approved a 2% merit-based increase to each of our NEO’s base compensation for 2025, which was below the merit-based increase awarded to other non-executive employees at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vMerge w:val="restart"/>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vMerge w:val="restart"/>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vMerge w:val="restart"/>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3"/>
                <w:szCs w:val="13"/>
                <w:color w:val="auto"/>
              </w:rPr>
            </w:pPr>
          </w:p>
        </w:tc>
        <w:tc>
          <w:tcPr>
            <w:tcW w:w="20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2024 to 2025</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82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color w:val="auto"/>
              </w:rPr>
              <w:t>Howard W. Robin</w:t>
            </w:r>
          </w:p>
        </w:tc>
        <w:tc>
          <w:tcPr>
            <w:tcW w:w="64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1,084,590</w:t>
            </w:r>
          </w:p>
        </w:tc>
        <w:tc>
          <w:tcPr>
            <w:tcW w:w="1360" w:type="dxa"/>
            <w:vAlign w:val="bottom"/>
            <w:gridSpan w:val="2"/>
          </w:tcPr>
          <w:p>
            <w:pPr>
              <w:jc w:val="right"/>
              <w:ind w:right="868"/>
              <w:spacing w:after="0" w:line="157"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w w:val="97"/>
              </w:rPr>
              <w:t>1,084,590</w:t>
            </w:r>
          </w:p>
        </w:tc>
        <w:tc>
          <w:tcPr>
            <w:tcW w:w="72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1,106,282</w:t>
            </w:r>
          </w:p>
        </w:tc>
        <w:tc>
          <w:tcPr>
            <w:tcW w:w="2260" w:type="dxa"/>
            <w:vAlign w:val="bottom"/>
            <w:gridSpan w:val="3"/>
          </w:tcPr>
          <w:p>
            <w:pPr>
              <w:jc w:val="right"/>
              <w:ind w:right="20"/>
              <w:spacing w:after="0" w:line="157" w:lineRule="exact"/>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68"/>
        </w:trPr>
        <w:tc>
          <w:tcPr>
            <w:tcW w:w="282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Sandra Gardiner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 A. Wilson</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550,800</w:t>
            </w:r>
          </w:p>
        </w:tc>
        <w:tc>
          <w:tcPr>
            <w:tcW w:w="2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Zalevsky, Ph.D.</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703,490</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703,490</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717,560</w:t>
            </w:r>
          </w:p>
        </w:tc>
        <w:tc>
          <w:tcPr>
            <w:tcW w:w="2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5" w:lineRule="exact"/>
        <w:rPr>
          <w:sz w:val="20"/>
          <w:szCs w:val="20"/>
          <w:color w:val="auto"/>
        </w:rPr>
      </w:pPr>
    </w:p>
    <w:p>
      <w:pPr>
        <w:ind w:left="760" w:right="140" w:hanging="378"/>
        <w:spacing w:after="0" w:line="241" w:lineRule="auto"/>
        <w:tabs>
          <w:tab w:leader="none" w:pos="7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was appointed our Interim Chief Financial Officer as of April 17, 2023 and provides services as Interim Chief Financial Officer as an outside consultant pursuant to a consulting agreement between the Company and FLG Partners and is not employed or directly compensated by us, as further described under “</w:t>
      </w:r>
      <w:r>
        <w:rPr>
          <w:rFonts w:ascii="Times New Roman" w:cs="Times New Roman" w:eastAsia="Times New Roman" w:hAnsi="Times New Roman"/>
          <w:sz w:val="14"/>
          <w:szCs w:val="14"/>
          <w:i w:val="1"/>
          <w:iCs w:val="1"/>
          <w:color w:val="auto"/>
        </w:rPr>
        <w:t>Certain Relationships and Related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Party Transactions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Incentives</w:t>
      </w:r>
    </w:p>
    <w:p>
      <w:pPr>
        <w:spacing w:after="0" w:line="189"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believe that our short-term incentive compensation program (“Incentive Compensation Plan”) rewards the achievement of important short-term objectives that advance us toward our long-term strategic objectives. Our Incentive Compensation Plan applies to all employees and all executive officers other than our Chief Executive Officer, Mr. Robin, who is subject to his own separate annual performance-based bonus compensation arrangement. Since 2021, Mr. Robin’s bonus arrangement has been based on the same corporate objectives that we established under the Incentive Compensation Plan to greater align Mr. Robin’s short-term incentive compensation with the achievement of important short-term objectives of the Company. Consistent with our compensation philosophy of paying for performance and maintaining a flexible approach, we use the Incentive Compensation Plan to incentivize the NEOs to achieve important corporate goals while at the same time encouraging and rewarding excellent individual performance by recognizing and rewarding differences in performance between individual executives.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and 2025 Target Annual Incentive Opportunities</w:t>
      </w:r>
    </w:p>
    <w:p>
      <w:pPr>
        <w:spacing w:after="0" w:line="18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The NEOs were each assigned a target annual incentive for 2024 ranging from 60% to 100% of base salary. The target annual incentive opportunities are determined based on each NEO’s experience, scope of responsibilities, and potential impact on the Company’s performance and approved by the Organization and Compensation Committee. The table below shows the target annual incentive assigned by us to each NEO as a percentage of base salary for 2024 and 2025. For 2025, no changes were made to the target annual incentive opportunities for each NEO.</w:t>
      </w:r>
    </w:p>
    <w:p>
      <w:pPr>
        <w:spacing w:after="0" w:line="139" w:lineRule="exact"/>
        <w:rPr>
          <w:sz w:val="20"/>
          <w:szCs w:val="20"/>
          <w:color w:val="auto"/>
        </w:rPr>
      </w:pPr>
    </w:p>
    <w:p>
      <w:pPr>
        <w:ind w:right="200" w:firstLine="644"/>
        <w:spacing w:after="0" w:line="258" w:lineRule="auto"/>
        <w:rPr>
          <w:sz w:val="20"/>
          <w:szCs w:val="20"/>
          <w:color w:val="auto"/>
        </w:rPr>
      </w:pPr>
      <w:r>
        <w:rPr>
          <w:rFonts w:ascii="Times New Roman" w:cs="Times New Roman" w:eastAsia="Times New Roman" w:hAnsi="Times New Roman"/>
          <w:sz w:val="18"/>
          <w:szCs w:val="18"/>
          <w:color w:val="auto"/>
        </w:rPr>
        <w:t>As further discussed below, each NEO’s (excluding Mr. Robin’s) annual bonus is determined based on a combination of the corporate performance rating and individual performance. As previously indicated, we began in 2021 to directly align Mr. Robin’s, the CEO, annual bonus award with the Company’s corporate performance rating so that Mr. Robin’s annual bonus is determined based solely on the Company’s corporate performance rating approved by the board of directors. Because Mr. Robin’s annual bonus is dependent solely on the performance of the Company, his target annual incentives since 2021 have been set at 100%.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2024 Target</w:t>
            </w: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2025 Target</w:t>
            </w:r>
          </w:p>
        </w:tc>
      </w:tr>
      <w:tr>
        <w:trPr>
          <w:trHeight w:val="17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FFFFFF"/>
              </w:rPr>
              <w:t>x</w:t>
            </w: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Annual Incentives</w:t>
            </w:r>
          </w:p>
        </w:tc>
        <w:tc>
          <w:tcPr>
            <w:tcW w:w="1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Annual Incentives</w:t>
            </w:r>
          </w:p>
        </w:tc>
      </w:tr>
      <w:tr>
        <w:trPr>
          <w:trHeight w:val="142"/>
        </w:trPr>
        <w:tc>
          <w:tcPr>
            <w:tcW w:w="74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5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 of Base Salary)</w:t>
            </w:r>
          </w:p>
        </w:tc>
        <w:tc>
          <w:tcPr>
            <w:tcW w:w="32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 of Base Salary)</w:t>
            </w:r>
          </w:p>
        </w:tc>
        <w:tc>
          <w:tcPr>
            <w:tcW w:w="180" w:type="dxa"/>
            <w:vAlign w:val="bottom"/>
          </w:tcPr>
          <w:p>
            <w:pPr>
              <w:spacing w:after="0"/>
              <w:rPr>
                <w:sz w:val="12"/>
                <w:szCs w:val="12"/>
                <w:color w:val="auto"/>
              </w:rPr>
            </w:pPr>
          </w:p>
        </w:tc>
      </w:tr>
      <w:tr>
        <w:trPr>
          <w:trHeight w:val="209"/>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Howard W. Robin</w:t>
            </w:r>
          </w:p>
        </w:tc>
        <w:tc>
          <w:tcPr>
            <w:tcW w:w="1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5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Sandra Gardiner </w:t>
            </w:r>
            <w:r>
              <w:rPr>
                <w:rFonts w:ascii="Times New Roman" w:cs="Times New Roman" w:eastAsia="Times New Roman" w:hAnsi="Times New Roman"/>
                <w:sz w:val="24"/>
                <w:szCs w:val="24"/>
                <w:color w:val="auto"/>
                <w:vertAlign w:val="superscript"/>
              </w:rPr>
              <w:t>(1)</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 A. Wilson</w:t>
            </w:r>
          </w:p>
        </w:tc>
        <w:tc>
          <w:tcPr>
            <w:tcW w:w="1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60 %</w:t>
            </w:r>
          </w:p>
        </w:tc>
      </w:tr>
      <w:tr>
        <w:trPr>
          <w:trHeight w:val="23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Zalevsky, Ph.D.</w:t>
            </w: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60 %</w:t>
            </w:r>
          </w:p>
        </w:tc>
      </w:tr>
    </w:tbl>
    <w:p>
      <w:pPr>
        <w:spacing w:after="0" w:line="175"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does not participate in our Incentive Compensation Plan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Performance Objectives</w:t>
      </w:r>
    </w:p>
    <w:p>
      <w:pPr>
        <w:spacing w:after="0" w:line="202"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The board of directors annually establishes a number of important annual corporate goals that include clinical development, research, commercial, organizational and financial goals which the board of directors believes are essential to building long-term stockholder value. These goals are then used in our Incentive Compensation Plan to assess annual corporate performance. The relative weightings of these corporate goals are based upon the board of directors and CEO’s assessment of the importance of each goal in creating long-term value for the Company and our stockholders. The board of directors endeavors to select corporate goals that, if met by management, represent significant levels of annual achievement, although we believe the long-term nature of our drug development business does not lend itself to over-weighting the importance of annual goals.</w:t>
      </w:r>
    </w:p>
    <w:p>
      <w:pPr>
        <w:spacing w:after="0" w:line="147" w:lineRule="exact"/>
        <w:rPr>
          <w:sz w:val="20"/>
          <w:szCs w:val="20"/>
          <w:color w:val="auto"/>
        </w:rPr>
      </w:pPr>
    </w:p>
    <w:p>
      <w:pPr>
        <w:ind w:right="40" w:firstLine="644"/>
        <w:spacing w:after="0" w:line="252" w:lineRule="auto"/>
        <w:rPr>
          <w:sz w:val="20"/>
          <w:szCs w:val="20"/>
          <w:color w:val="auto"/>
        </w:rPr>
      </w:pPr>
      <w:r>
        <w:rPr>
          <w:rFonts w:ascii="Times New Roman" w:cs="Times New Roman" w:eastAsia="Times New Roman" w:hAnsi="Times New Roman"/>
          <w:sz w:val="18"/>
          <w:szCs w:val="18"/>
          <w:color w:val="auto"/>
        </w:rPr>
        <w:t>Following the conclusion of the annual performance period in December of each year, the level of achievement for each corporate goal is assessed by the board of directors. The board of directors determines whether each corporate goal has been met, exceeded, or not satisfied. If we achieve the target level of performance for all of the stated goals, the overall corporate performance rating would be 100%. In addition, in assessing corporate performance, the determination of corporate performance may be adjusted upward or downward by the board of directors as deemed appropriate to factor in other significant corporate events, either negative or positive, that occurred during the performance period, but were not reflected in the corporate goals previously set by the board of directors. After taking into account the level of attainment of each corporate goal and such other corporate performance factors as the board of directors may determine appropriate in reviewing performance for a particular year, the board of directors assigns an overall corporate performance rating for the year, which may range from 0% to 200%. The Organization and Compensation Committee then confirms the corporate performance rating for purposes of the Incentive Compensation Plan. The total available bonus pool under the Incentive Compensation Plan is determined by multiplying the corporate performance rating by the aggregate target bonus of all eligible participants which includes nearly all of the Company’s full-time employees. The aggregate of all individual bonuses awarded under the plan cannot exceed the total available bonus pool so that the total cost of bonuses ultimately reflects our assessment of overall corporate performance and is not inflated by the sum of individual performance ratings. The board of directors receives input and recommendation from the CEO regarding the Company’s performance and determines the final corporate performance rating.</w:t>
      </w:r>
    </w:p>
    <w:p>
      <w:pPr>
        <w:spacing w:after="0" w:line="157"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After the corporate performance rating is determined, the individual performance of each NEO is reviewed by the Organization and Compensation Committee in consultation with Mr. Robin (other than with respect to his own performance) in order to determine the appropriate individual performance percentage rating to be assigned to the executive for the performance period. Mr. Robin’s individual performance is separately reviewed by the Organization and Compensation Committee. Each NEO’s (excluding Mr. Robin’s) actual annual bonus is based on a combination of the corporate performance rating and individual performance. The Incentive Compensation Plan does not provide for a specific allocation or weighting between corporate and individual performance. The actual annual bonus awarded for each NEO (excluding Mr. Robin) is solely determined by the Organization and Compensation Committee based on criteria that includes an assessment of individual performance (as measured by Mr. Robin’s evaluation of the performance of each NEO) and company performance, and the maximum payout for each NEO could be up to 200% of his or her cash target annual incentive (or, by the same token, an individual executive’s award could be reduced to 0% based on individual performance regardless of the corporate performance rating). Mr. Robin’s annual bonus award is directly aligned and based on the corporate performance rating that is recommended by the Organization and Compensation Committee and approved by the board of directors, which may range from 0% to 200%. Given the dynamic nature of our business, new priorities continually emerge such that the Organization and Compensation Committee wishes to retain the flexibility to tie a varying portion of annual incentive payouts to the individual achievement of a range of objectives.</w:t>
      </w:r>
    </w:p>
    <w:p>
      <w:pPr>
        <w:spacing w:after="0" w:line="160"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In December 2023, the board of directors formally approved the 2024 corporate objectives (“2024 Corporate Objectives”) set forth below. The 2024 Corporate Objectives, relative weightings assigned to each of the categories of the objectives, whether the objectives were met, each category’s raw and weighted scores were as follows:</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2024 Corporate Objectives Table</w:t>
            </w:r>
          </w:p>
        </w:tc>
        <w:tc>
          <w:tcPr>
            <w:tcW w:w="1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38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b w:val="1"/>
                <w:bCs w:val="1"/>
                <w:color w:val="auto"/>
              </w:rPr>
              <w:t>Category</w:t>
            </w:r>
          </w:p>
        </w:tc>
        <w:tc>
          <w:tcPr>
            <w:tcW w:w="98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color w:val="auto"/>
              </w:rPr>
              <w:t>Weight</w:t>
            </w:r>
          </w:p>
        </w:tc>
        <w:tc>
          <w:tcPr>
            <w:tcW w:w="396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color w:val="auto"/>
              </w:rPr>
              <w:t>Objective</w:t>
            </w:r>
          </w:p>
        </w:tc>
        <w:tc>
          <w:tcPr>
            <w:tcW w:w="112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3"/>
                <w:szCs w:val="13"/>
                <w:b w:val="1"/>
                <w:bCs w:val="1"/>
                <w:color w:val="auto"/>
              </w:rPr>
              <w:t>Results</w:t>
            </w:r>
            <w:r>
              <w:rPr>
                <w:rFonts w:ascii="Times New Roman" w:cs="Times New Roman" w:eastAsia="Times New Roman" w:hAnsi="Times New Roman"/>
                <w:sz w:val="17"/>
                <w:szCs w:val="17"/>
                <w:color w:val="auto"/>
                <w:vertAlign w:val="superscript"/>
              </w:rPr>
              <w:t>(1)</w:t>
            </w:r>
          </w:p>
        </w:tc>
        <w:tc>
          <w:tcPr>
            <w:tcW w:w="134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color w:val="auto"/>
              </w:rPr>
              <w:t>Category Raw</w:t>
            </w:r>
          </w:p>
        </w:tc>
        <w:tc>
          <w:tcPr>
            <w:tcW w:w="146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color w:val="auto"/>
              </w:rPr>
              <w:t>Category</w:t>
            </w:r>
          </w:p>
        </w:tc>
        <w:tc>
          <w:tcPr>
            <w:tcW w:w="0" w:type="dxa"/>
            <w:vAlign w:val="bottom"/>
          </w:tcPr>
          <w:p>
            <w:pPr>
              <w:spacing w:after="0"/>
              <w:rPr>
                <w:sz w:val="1"/>
                <w:szCs w:val="1"/>
                <w:color w:val="auto"/>
              </w:rPr>
            </w:pPr>
          </w:p>
        </w:tc>
      </w:tr>
      <w:tr>
        <w:trPr>
          <w:trHeight w:val="255"/>
        </w:trPr>
        <w:tc>
          <w:tcPr>
            <w:tcW w:w="2380" w:type="dxa"/>
            <w:vAlign w:val="bottom"/>
            <w:tcBorders>
              <w:left w:val="single" w:sz="8" w:color="auto"/>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Score</w:t>
            </w:r>
          </w:p>
        </w:tc>
        <w:tc>
          <w:tcPr>
            <w:tcW w:w="1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Weighted Score</w:t>
            </w:r>
          </w:p>
        </w:tc>
        <w:tc>
          <w:tcPr>
            <w:tcW w:w="0" w:type="dxa"/>
            <w:vAlign w:val="bottom"/>
          </w:tcPr>
          <w:p>
            <w:pPr>
              <w:spacing w:after="0"/>
              <w:rPr>
                <w:sz w:val="1"/>
                <w:szCs w:val="1"/>
                <w:color w:val="auto"/>
              </w:rPr>
            </w:pPr>
          </w:p>
        </w:tc>
      </w:tr>
      <w:tr>
        <w:trPr>
          <w:trHeight w:val="174"/>
        </w:trPr>
        <w:tc>
          <w:tcPr>
            <w:tcW w:w="2380" w:type="dxa"/>
            <w:vAlign w:val="bottom"/>
            <w:tcBorders>
              <w:left w:val="single" w:sz="8" w:color="auto"/>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3960" w:type="dxa"/>
            <w:vAlign w:val="bottom"/>
            <w:tcBorders>
              <w:right w:val="single" w:sz="8" w:color="auto"/>
            </w:tcBorders>
          </w:tcPr>
          <w:p>
            <w:pPr>
              <w:ind w:left="100"/>
              <w:spacing w:after="0" w:line="175" w:lineRule="exact"/>
              <w:rPr>
                <w:sz w:val="20"/>
                <w:szCs w:val="20"/>
                <w:color w:val="auto"/>
              </w:rPr>
            </w:pPr>
            <w:r>
              <w:rPr>
                <w:rFonts w:ascii="Times New Roman" w:cs="Times New Roman" w:eastAsia="Times New Roman" w:hAnsi="Times New Roman"/>
                <w:sz w:val="18"/>
                <w:szCs w:val="18"/>
                <w:color w:val="auto"/>
              </w:rPr>
              <w:t>Maintain schedule for Phase 2b study of</w:t>
            </w:r>
          </w:p>
        </w:tc>
        <w:tc>
          <w:tcPr>
            <w:tcW w:w="1120" w:type="dxa"/>
            <w:vAlign w:val="bottom"/>
            <w:tcBorders>
              <w:right w:val="single" w:sz="8" w:color="auto"/>
            </w:tcBorders>
          </w:tcPr>
          <w:p>
            <w:pPr>
              <w:ind w:left="80"/>
              <w:spacing w:after="0" w:line="175" w:lineRule="exact"/>
              <w:rPr>
                <w:sz w:val="20"/>
                <w:szCs w:val="20"/>
                <w:color w:val="auto"/>
              </w:rPr>
            </w:pPr>
            <w:r>
              <w:rPr>
                <w:rFonts w:ascii="Times New Roman" w:cs="Times New Roman" w:eastAsia="Times New Roman" w:hAnsi="Times New Roman"/>
                <w:sz w:val="20"/>
                <w:szCs w:val="20"/>
                <w:color w:val="auto"/>
                <w:vertAlign w:val="subscript"/>
              </w:rPr>
              <w:t>(a)</w:t>
            </w:r>
            <w:r>
              <w:rPr>
                <w:rFonts w:ascii="Times New Roman" w:cs="Times New Roman" w:eastAsia="Times New Roman" w:hAnsi="Times New Roman"/>
                <w:sz w:val="9"/>
                <w:szCs w:val="9"/>
                <w:color w:val="auto"/>
              </w:rPr>
              <w:t>(2)</w:t>
            </w:r>
          </w:p>
        </w:tc>
        <w:tc>
          <w:tcPr>
            <w:tcW w:w="13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80" w:type="dxa"/>
            <w:vAlign w:val="bottom"/>
            <w:tcBorders>
              <w:left w:val="single" w:sz="8" w:color="auto"/>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rezpegaldesleukin in atopic dermatitis</w:t>
            </w: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i w:val="1"/>
                <w:iCs w:val="1"/>
                <w:color w:val="auto"/>
              </w:rPr>
              <w:t>Rezpegaldesleukin</w:t>
            </w:r>
          </w:p>
        </w:tc>
        <w:tc>
          <w:tcPr>
            <w:tcW w:w="9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50%</w:t>
            </w:r>
          </w:p>
        </w:tc>
        <w:tc>
          <w:tcPr>
            <w:tcW w:w="3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Maintain schedule for Phase 2b study of</w:t>
            </w:r>
          </w:p>
        </w:tc>
        <w:tc>
          <w:tcPr>
            <w:tcW w:w="11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22"/>
                <w:szCs w:val="22"/>
                <w:color w:val="auto"/>
                <w:vertAlign w:val="superscript"/>
              </w:rPr>
              <w:t>(3)</w:t>
            </w:r>
          </w:p>
        </w:tc>
        <w:tc>
          <w:tcPr>
            <w:tcW w:w="1340" w:type="dxa"/>
            <w:vAlign w:val="bottom"/>
            <w:tcBorders>
              <w:right w:val="single" w:sz="8" w:color="auto"/>
            </w:tcBorders>
            <w:vMerge w:val="restart"/>
          </w:tcPr>
          <w:p>
            <w:pPr>
              <w:jc w:val="right"/>
              <w:ind w:right="552"/>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tcBorders>
              <w:right w:val="single" w:sz="8" w:color="auto"/>
            </w:tcBorders>
            <w:vMerge w:val="restart"/>
          </w:tcPr>
          <w:p>
            <w:pPr>
              <w:jc w:val="right"/>
              <w:ind w:right="53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26"/>
        </w:trPr>
        <w:tc>
          <w:tcPr>
            <w:tcW w:w="2380" w:type="dxa"/>
            <w:vAlign w:val="bottom"/>
            <w:tcBorders>
              <w:left w:val="single" w:sz="8" w:color="auto"/>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39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rezpegaldesleukin in alopecia areata</w:t>
            </w:r>
          </w:p>
        </w:tc>
        <w:tc>
          <w:tcPr>
            <w:tcW w:w="112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tcBorders>
              <w:left w:val="single" w:sz="8" w:color="auto"/>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396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3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39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Progress commercial product and manufacturing</w:t>
            </w:r>
          </w:p>
        </w:tc>
        <w:tc>
          <w:tcPr>
            <w:tcW w:w="11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22"/>
                <w:szCs w:val="22"/>
                <w:color w:val="auto"/>
                <w:vertAlign w:val="subscript"/>
              </w:rPr>
              <w:t>(a)</w:t>
            </w:r>
            <w:r>
              <w:rPr>
                <w:rFonts w:ascii="Times New Roman" w:cs="Times New Roman" w:eastAsia="Times New Roman" w:hAnsi="Times New Roman"/>
                <w:sz w:val="10"/>
                <w:szCs w:val="10"/>
                <w:color w:val="auto"/>
              </w:rPr>
              <w:t>(4)</w:t>
            </w:r>
          </w:p>
        </w:tc>
        <w:tc>
          <w:tcPr>
            <w:tcW w:w="134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process for rezpegaldesleukin</w:t>
            </w: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3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9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39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800" w:type="dxa"/>
            <w:vAlign w:val="bottom"/>
            <w:tcBorders>
              <w:top w:val="single" w:sz="8" w:color="auto"/>
            </w:tcBorders>
          </w:tcPr>
          <w:p>
            <w:pPr>
              <w:ind w:left="80"/>
              <w:spacing w:after="0" w:line="220" w:lineRule="exact"/>
              <w:rPr>
                <w:sz w:val="20"/>
                <w:szCs w:val="20"/>
                <w:color w:val="auto"/>
              </w:rPr>
            </w:pPr>
            <w:r>
              <w:rPr>
                <w:rFonts w:ascii="Times New Roman" w:cs="Times New Roman" w:eastAsia="Times New Roman" w:hAnsi="Times New Roman"/>
                <w:sz w:val="18"/>
                <w:szCs w:val="18"/>
                <w:b w:val="1"/>
                <w:bCs w:val="1"/>
                <w:color w:val="auto"/>
                <w:w w:val="93"/>
              </w:rPr>
              <w:t>Results</w:t>
            </w:r>
            <w:r>
              <w:rPr>
                <w:rFonts w:ascii="Times New Roman" w:cs="Times New Roman" w:eastAsia="Times New Roman" w:hAnsi="Times New Roman"/>
                <w:sz w:val="24"/>
                <w:szCs w:val="24"/>
                <w:color w:val="auto"/>
                <w:w w:val="93"/>
                <w:vertAlign w:val="superscript"/>
              </w:rPr>
              <w:t>(1)</w:t>
            </w:r>
          </w:p>
        </w:tc>
        <w:tc>
          <w:tcPr>
            <w:tcW w:w="32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Category Raw</w:t>
            </w:r>
          </w:p>
        </w:tc>
        <w:tc>
          <w:tcPr>
            <w:tcW w:w="14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0" w:type="dxa"/>
            <w:vAlign w:val="bottom"/>
          </w:tcPr>
          <w:p>
            <w:pPr>
              <w:spacing w:after="0"/>
              <w:rPr>
                <w:sz w:val="1"/>
                <w:szCs w:val="1"/>
                <w:color w:val="auto"/>
              </w:rPr>
            </w:pPr>
          </w:p>
        </w:tc>
      </w:tr>
      <w:tr>
        <w:trPr>
          <w:trHeight w:val="255"/>
        </w:trPr>
        <w:tc>
          <w:tcPr>
            <w:tcW w:w="2380" w:type="dxa"/>
            <w:vAlign w:val="bottom"/>
            <w:tcBorders>
              <w:left w:val="single" w:sz="8" w:color="auto"/>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spacing w:after="0"/>
              <w:rPr>
                <w:sz w:val="22"/>
                <w:szCs w:val="22"/>
                <w:color w:val="auto"/>
              </w:rPr>
            </w:pPr>
          </w:p>
        </w:tc>
        <w:tc>
          <w:tcPr>
            <w:tcW w:w="396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Score</w:t>
            </w:r>
          </w:p>
        </w:tc>
        <w:tc>
          <w:tcPr>
            <w:tcW w:w="1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Weighted Score</w:t>
            </w:r>
          </w:p>
        </w:tc>
        <w:tc>
          <w:tcPr>
            <w:tcW w:w="0" w:type="dxa"/>
            <w:vAlign w:val="bottom"/>
          </w:tcPr>
          <w:p>
            <w:pPr>
              <w:spacing w:after="0"/>
              <w:rPr>
                <w:sz w:val="1"/>
                <w:szCs w:val="1"/>
                <w:color w:val="auto"/>
              </w:rPr>
            </w:pPr>
          </w:p>
        </w:tc>
      </w:tr>
      <w:tr>
        <w:trPr>
          <w:trHeight w:val="193"/>
        </w:trPr>
        <w:tc>
          <w:tcPr>
            <w:tcW w:w="2380" w:type="dxa"/>
            <w:vAlign w:val="bottom"/>
            <w:tcBorders>
              <w:left w:val="single" w:sz="8" w:color="auto"/>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i w:val="1"/>
                <w:iCs w:val="1"/>
                <w:color w:val="auto"/>
              </w:rPr>
              <w:t>Research and Business</w:t>
            </w:r>
          </w:p>
        </w:tc>
        <w:tc>
          <w:tcPr>
            <w:tcW w:w="980" w:type="dxa"/>
            <w:vAlign w:val="bottom"/>
            <w:tcBorders>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30%</w:t>
            </w:r>
          </w:p>
        </w:tc>
        <w:tc>
          <w:tcPr>
            <w:tcW w:w="396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Advance NKTR-255 for strategic partnerships</w:t>
            </w:r>
          </w:p>
        </w:tc>
        <w:tc>
          <w:tcPr>
            <w:tcW w:w="800" w:type="dxa"/>
            <w:vAlign w:val="bottom"/>
            <w:tcBorders>
              <w:bottom w:val="single" w:sz="8" w:color="auto"/>
            </w:tcBorders>
          </w:tcPr>
          <w:p>
            <w:pPr>
              <w:ind w:left="80"/>
              <w:spacing w:after="0" w:line="192" w:lineRule="exact"/>
              <w:rPr>
                <w:sz w:val="20"/>
                <w:szCs w:val="20"/>
                <w:color w:val="auto"/>
              </w:rPr>
            </w:pPr>
            <w:r>
              <w:rPr>
                <w:rFonts w:ascii="Times New Roman" w:cs="Times New Roman" w:eastAsia="Times New Roman" w:hAnsi="Times New Roman"/>
                <w:sz w:val="22"/>
                <w:szCs w:val="22"/>
                <w:color w:val="auto"/>
                <w:vertAlign w:val="subscript"/>
              </w:rPr>
              <w:t>(b)</w:t>
            </w:r>
            <w:r>
              <w:rPr>
                <w:rFonts w:ascii="Times New Roman" w:cs="Times New Roman" w:eastAsia="Times New Roman" w:hAnsi="Times New Roman"/>
                <w:sz w:val="10"/>
                <w:szCs w:val="10"/>
                <w:color w:val="auto"/>
              </w:rPr>
              <w:t>(5)</w:t>
            </w:r>
          </w:p>
        </w:tc>
        <w:tc>
          <w:tcPr>
            <w:tcW w:w="320" w:type="dxa"/>
            <w:vAlign w:val="bottom"/>
            <w:tcBorders>
              <w:bottom w:val="single" w:sz="8" w:color="auto"/>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Development</w:t>
            </w:r>
          </w:p>
        </w:tc>
        <w:tc>
          <w:tcPr>
            <w:tcW w:w="980" w:type="dxa"/>
            <w:vAlign w:val="bottom"/>
            <w:tcBorders>
              <w:bottom w:val="single" w:sz="8" w:color="auto"/>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Advance TNR2 program for strategic partnerships</w:t>
            </w:r>
          </w:p>
        </w:tc>
        <w:tc>
          <w:tcPr>
            <w:tcW w:w="800" w:type="dxa"/>
            <w:vAlign w:val="bottom"/>
            <w:tcBorders>
              <w:bottom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24"/>
                <w:szCs w:val="24"/>
                <w:color w:val="auto"/>
                <w:vertAlign w:val="superscript"/>
              </w:rPr>
              <w:t>(6)</w:t>
            </w:r>
          </w:p>
        </w:tc>
        <w:tc>
          <w:tcPr>
            <w:tcW w:w="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0.5-0.9</w:t>
            </w:r>
          </w:p>
        </w:tc>
        <w:tc>
          <w:tcPr>
            <w:tcW w:w="146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0.15-0.27</w:t>
            </w:r>
          </w:p>
        </w:tc>
        <w:tc>
          <w:tcPr>
            <w:tcW w:w="0" w:type="dxa"/>
            <w:vAlign w:val="bottom"/>
          </w:tcPr>
          <w:p>
            <w:pPr>
              <w:spacing w:after="0"/>
              <w:rPr>
                <w:sz w:val="1"/>
                <w:szCs w:val="1"/>
                <w:color w:val="auto"/>
              </w:rPr>
            </w:pPr>
          </w:p>
        </w:tc>
      </w:tr>
      <w:tr>
        <w:trPr>
          <w:trHeight w:val="209"/>
        </w:trPr>
        <w:tc>
          <w:tcPr>
            <w:tcW w:w="23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i w:val="1"/>
                <w:iCs w:val="1"/>
                <w:color w:val="auto"/>
              </w:rPr>
              <w:t>Financial</w:t>
            </w:r>
          </w:p>
        </w:tc>
        <w:tc>
          <w:tcPr>
            <w:tcW w:w="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w:t>
            </w:r>
          </w:p>
        </w:tc>
        <w:tc>
          <w:tcPr>
            <w:tcW w:w="3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Reduce real estate obligations</w:t>
            </w:r>
          </w:p>
        </w:tc>
        <w:tc>
          <w:tcPr>
            <w:tcW w:w="800" w:type="dxa"/>
            <w:vAlign w:val="bottom"/>
            <w:tcBorders>
              <w:bottom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24"/>
                <w:szCs w:val="24"/>
                <w:color w:val="auto"/>
                <w:vertAlign w:val="superscript"/>
              </w:rPr>
              <w:t>(7)</w:t>
            </w:r>
          </w:p>
        </w:tc>
        <w:tc>
          <w:tcPr>
            <w:tcW w:w="320" w:type="dxa"/>
            <w:vAlign w:val="bottom"/>
            <w:tcBorders>
              <w:bottom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0.6-0.9</w:t>
            </w:r>
          </w:p>
        </w:tc>
        <w:tc>
          <w:tcPr>
            <w:tcW w:w="146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0.12-0.18</w:t>
            </w:r>
          </w:p>
        </w:tc>
        <w:tc>
          <w:tcPr>
            <w:tcW w:w="0" w:type="dxa"/>
            <w:vAlign w:val="bottom"/>
          </w:tcPr>
          <w:p>
            <w:pPr>
              <w:spacing w:after="0"/>
              <w:rPr>
                <w:sz w:val="1"/>
                <w:szCs w:val="1"/>
                <w:color w:val="auto"/>
              </w:rPr>
            </w:pPr>
          </w:p>
        </w:tc>
      </w:tr>
      <w:tr>
        <w:trPr>
          <w:trHeight w:val="88"/>
        </w:trPr>
        <w:tc>
          <w:tcPr>
            <w:tcW w:w="2380" w:type="dxa"/>
            <w:vAlign w:val="bottom"/>
            <w:tcBorders>
              <w:left w:val="single" w:sz="8" w:color="auto"/>
              <w:right w:val="single" w:sz="8" w:color="auto"/>
            </w:tcBorders>
            <w:vMerge w:val="continue"/>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39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Attain certain financial metrics</w:t>
            </w:r>
          </w:p>
        </w:tc>
        <w:tc>
          <w:tcPr>
            <w:tcW w:w="800" w:type="dxa"/>
            <w:vAlign w:val="bottom"/>
            <w:vMerge w:val="restart"/>
          </w:tcPr>
          <w:p>
            <w:pPr>
              <w:ind w:left="80"/>
              <w:spacing w:after="0" w:line="210" w:lineRule="exact"/>
              <w:rPr>
                <w:sz w:val="20"/>
                <w:szCs w:val="20"/>
                <w:color w:val="auto"/>
              </w:rPr>
            </w:pP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0"/>
                <w:szCs w:val="10"/>
                <w:color w:val="auto"/>
              </w:rPr>
              <w:t>(8)</w:t>
            </w:r>
          </w:p>
        </w:tc>
        <w:tc>
          <w:tcPr>
            <w:tcW w:w="3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380" w:type="dxa"/>
            <w:vAlign w:val="bottom"/>
            <w:tcBorders>
              <w:left w:val="single" w:sz="8" w:color="auto"/>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vMerge w:val="continue"/>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380" w:type="dxa"/>
            <w:vAlign w:val="bottom"/>
            <w:tcBorders>
              <w:left w:val="single" w:sz="8" w:color="auto"/>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396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660" w:type="dxa"/>
            <w:vAlign w:val="bottom"/>
            <w:tcBorders>
              <w:right w:val="single" w:sz="8" w:color="auto"/>
            </w:tcBorders>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460" w:type="dxa"/>
            <w:vAlign w:val="bottom"/>
            <w:tcBorders>
              <w:right w:val="single" w:sz="8" w:color="auto"/>
            </w:tcBorders>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0.77-0.95</w:t>
            </w:r>
          </w:p>
        </w:tc>
        <w:tc>
          <w:tcPr>
            <w:tcW w:w="0" w:type="dxa"/>
            <w:vAlign w:val="bottom"/>
          </w:tcPr>
          <w:p>
            <w:pPr>
              <w:spacing w:after="0"/>
              <w:rPr>
                <w:sz w:val="1"/>
                <w:szCs w:val="1"/>
                <w:color w:val="auto"/>
              </w:rPr>
            </w:pPr>
          </w:p>
        </w:tc>
      </w:tr>
      <w:tr>
        <w:trPr>
          <w:trHeight w:val="234"/>
        </w:trPr>
        <w:tc>
          <w:tcPr>
            <w:tcW w:w="238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Performance Rating Range</w:t>
            </w: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40" w:hanging="382"/>
        <w:spacing w:after="0"/>
        <w:tabs>
          <w:tab w:leader="none" w:pos="5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met or exceeded; (b) partially met; (c) not met;</w:t>
      </w:r>
    </w:p>
    <w:p>
      <w:pPr>
        <w:spacing w:after="0" w:line="3" w:lineRule="exact"/>
        <w:rPr>
          <w:rFonts w:ascii="Times New Roman" w:cs="Times New Roman" w:eastAsia="Times New Roman" w:hAnsi="Times New Roman"/>
          <w:sz w:val="14"/>
          <w:szCs w:val="14"/>
          <w:color w:val="auto"/>
        </w:rPr>
      </w:pPr>
    </w:p>
    <w:p>
      <w:pPr>
        <w:ind w:left="540" w:right="100" w:hanging="382"/>
        <w:spacing w:after="0" w:line="221" w:lineRule="auto"/>
        <w:tabs>
          <w:tab w:leader="none" w:pos="5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met. On January 10, 2025, we announced that we had completed target enrollment for our Phase 2b study of rezpegaldesleukin in patients with moderate-to-severe atopic dermatitis. The study remains on track for announcement of topline data from the 16-week induction treatment period in the first half of 2025.</w:t>
      </w:r>
    </w:p>
    <w:p>
      <w:pPr>
        <w:ind w:left="540" w:right="300" w:hanging="382"/>
        <w:spacing w:after="0" w:line="221" w:lineRule="auto"/>
        <w:tabs>
          <w:tab w:leader="none" w:pos="5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met. On February 26, 2025, we announced that we had completed target enrollment for our Phase 2b study of rezpegaldesleukin in patients with severe to very severe alopecia areata. The study remains on track for announcement of topline data from the 36-week induction treatment period in the second half 2025.</w:t>
      </w:r>
    </w:p>
    <w:p>
      <w:pPr>
        <w:ind w:left="540" w:hanging="382"/>
        <w:spacing w:after="0" w:line="221" w:lineRule="auto"/>
        <w:tabs>
          <w:tab w:leader="none" w:pos="5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met. Commercial drug substance process and product strategy established.</w:t>
      </w:r>
    </w:p>
    <w:p>
      <w:pPr>
        <w:ind w:left="540" w:hanging="382"/>
        <w:spacing w:after="0" w:line="221" w:lineRule="auto"/>
        <w:tabs>
          <w:tab w:leader="none" w:pos="5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Objective was partially met. We are continuing select developmental studies of NKTR-255 in combination with cell therapies and checkpoint inhibitors while we evaluate strategic partnership pathways for the program. In December 2024, we announced the results of our Phase 2 proof-of-concept study evaluating NKTR-255 as an adjuvant treatment following CD19 directed CAR-T therapy in patients with relapsed/refractory large b-cell lymphoma. In November 2024, we presented late-breaking results from a Phase 2 study evaluating NKTR-255 for the treatment of radiation induced lymphopenia after concurrent chemoradiation in locally advanced non-small cell lung cancer patients at the Society for Immunotherapy of Cancer Annual Meeting. In October 2024, we announced publication of the first clinical data from a Phase 1 study evaluating NKTR-255 in combination with an autologous bispecific CAR-T cell therapy targeting CD19 and CD22 in patients with relapsed or refractory B-cell acute lymphoblastic leukemia in </w:t>
      </w:r>
      <w:r>
        <w:rPr>
          <w:rFonts w:ascii="Times New Roman" w:cs="Times New Roman" w:eastAsia="Times New Roman" w:hAnsi="Times New Roman"/>
          <w:sz w:val="14"/>
          <w:szCs w:val="14"/>
          <w:i w:val="1"/>
          <w:iCs w:val="1"/>
          <w:color w:val="auto"/>
        </w:rPr>
        <w:t>Blood.</w:t>
      </w:r>
    </w:p>
    <w:p>
      <w:pPr>
        <w:spacing w:after="0" w:line="1" w:lineRule="exact"/>
        <w:rPr>
          <w:rFonts w:ascii="Times New Roman" w:cs="Times New Roman" w:eastAsia="Times New Roman" w:hAnsi="Times New Roman"/>
          <w:sz w:val="14"/>
          <w:szCs w:val="14"/>
          <w:color w:val="auto"/>
        </w:rPr>
      </w:pPr>
    </w:p>
    <w:p>
      <w:pPr>
        <w:ind w:left="540" w:right="440" w:hanging="382"/>
        <w:spacing w:after="0" w:line="221" w:lineRule="auto"/>
        <w:tabs>
          <w:tab w:leader="none" w:pos="5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partially met. We completed non-GLP toxicology studies and remain on track with our IND enabling studies for an IND submission in the second half of 2025. We continue to pursue potential value generating partnerships for the program.</w:t>
      </w:r>
    </w:p>
    <w:p>
      <w:pPr>
        <w:ind w:left="540" w:hanging="382"/>
        <w:spacing w:after="0" w:line="221" w:lineRule="auto"/>
        <w:tabs>
          <w:tab w:leader="none" w:pos="5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 was not met. We have made progress in subleasing portions of our Mission Bay Facility, but did not meet the prescribed objective.</w:t>
      </w:r>
    </w:p>
    <w:p>
      <w:pPr>
        <w:ind w:left="540" w:hanging="382"/>
        <w:spacing w:after="0"/>
        <w:tabs>
          <w:tab w:leader="none" w:pos="5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Objective was exceeded. We attained and exceeded certain year-end financial objectives for the Company.</w:t>
      </w:r>
    </w:p>
    <w:p>
      <w:pPr>
        <w:spacing w:after="0" w:line="151"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The weighting of these objectives is reflective of our long-term focus as a research-based development stage biopharmaceutical company as well as our shorter-term business priorities. Our board of directors carefully considers the appropriate mix and weighting of corporate goals that will help motivate the performance of our executives as well as to build long-term growth for our business. A corporate performance rating in excess of 100% can only be achieved if the board of directors determines that the goal achievement for one or many of the goals substantially and qualitatively exceeded the target metrics, or the Organization and Compensation Committee uses its discretion to factor in other significantly positive corporate events that occurred during the performance period. The maximum potential corporate performance rating is 200%.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Annual Incentives Earned for 2024</w:t>
      </w:r>
    </w:p>
    <w:p>
      <w:pPr>
        <w:spacing w:after="0" w:line="189"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Management prepared a report on the status of achievement of the 2024 Corporate Objectives that was reviewed by the Organization and Compensation Committee in November 2024. The Organization and Compensation Committee determined that four of the seven corporate goals identified above were met or exceeded. Each of the goals that was “met” had to achieve objective and specified measurement criteria established by the board of directors in the beginning of the year. If the measurement criteria for an objective was not fully met, partial credit was given depending on the level of achievement. As noted in the footnotes to the table, we have highlighted some of the specific achievements made within each objective category that was evaluated by the board of directors in determining whether such Corporate Objective was met. Due to the sensitivity and proprietary nature of our business and certain confidentiality obligations, we cannot specify all of the achievements made by the Company in furtherance of our 2024 Corporate Objectives. Using a raw score range for the achievement of the objectives within each category, and then calculating the weighted score for each category, the 2024 corporate performance rating was between the range of 77% to 95% of the 2024 Corporate Objectives.</w:t>
      </w:r>
    </w:p>
    <w:p>
      <w:pPr>
        <w:spacing w:after="0" w:line="148"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However, in determining the final corporate performance achievement for 2024, the Organization and Compensation Committee also considered other significant business achievements of the Company in 2024 that were important in building strategic value, but were not reflected in the 2024 Corporate Objectives because of the dynamic nature of the biotechnology industry and the volatility of the capital markets and access to financial resources. These notable achievements include:</w:t>
      </w:r>
    </w:p>
    <w:p>
      <w:pPr>
        <w:spacing w:after="0" w:line="126" w:lineRule="exact"/>
        <w:rPr>
          <w:sz w:val="20"/>
          <w:szCs w:val="20"/>
          <w:color w:val="auto"/>
        </w:rPr>
      </w:pPr>
    </w:p>
    <w:p>
      <w:pPr>
        <w:ind w:left="1300" w:right="80" w:hanging="648"/>
        <w:spacing w:after="0" w:line="266" w:lineRule="auto"/>
        <w:tabs>
          <w:tab w:leader="none" w:pos="13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 March 2024, we completed a $30 million private placement financing (“PIPE”) with TCGX. In the PIPE, we sold 25 million shares of our common stock, in the form of a pre-funded warrant, at a price of $1.20 per share, which represented a premium of approximately 80% to Nektar’s 30-day volume-weighted average price at the time of sale.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00" w:right="280" w:hanging="648"/>
        <w:spacing w:after="0" w:line="312" w:lineRule="auto"/>
        <w:tabs>
          <w:tab w:leader="none" w:pos="13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In March 2024, we and entities managed by Healthcare Royalty Management LLC (“HCR”) amended our 2020 Purchase and Sale Agreement to remove the cap on the royalties received by HCR in exchange for an additional $15.0 million payment to the Company.</w:t>
      </w:r>
    </w:p>
    <w:p>
      <w:pPr>
        <w:spacing w:after="0" w:line="85" w:lineRule="exact"/>
        <w:rPr>
          <w:rFonts w:ascii="Times New Roman" w:cs="Times New Roman" w:eastAsia="Times New Roman" w:hAnsi="Times New Roman"/>
          <w:sz w:val="13"/>
          <w:szCs w:val="13"/>
          <w:color w:val="auto"/>
        </w:rPr>
      </w:pPr>
    </w:p>
    <w:p>
      <w:pPr>
        <w:ind w:left="1300" w:hanging="648"/>
        <w:spacing w:after="0" w:line="263" w:lineRule="auto"/>
        <w:tabs>
          <w:tab w:leader="none" w:pos="13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In October 2024, we successfully negotiated and entered into an Amended and Restated Manufacturing and Supply Agreement with UCB Pharma to supply PEG reagent for their manufacturing of CIMZIA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dapirolizumab pegol, which, among other things, extended the term of the agreement, committed UCB to “take or pay” minimum supply quantities and increased the selling price of the PEG reagent.</w:t>
      </w:r>
    </w:p>
    <w:p>
      <w:pPr>
        <w:spacing w:after="0" w:line="105" w:lineRule="exact"/>
        <w:rPr>
          <w:rFonts w:ascii="Times New Roman" w:cs="Times New Roman" w:eastAsia="Times New Roman" w:hAnsi="Times New Roman"/>
          <w:sz w:val="14"/>
          <w:szCs w:val="14"/>
          <w:color w:val="auto"/>
        </w:rPr>
      </w:pPr>
    </w:p>
    <w:p>
      <w:pPr>
        <w:ind w:left="1300" w:right="20" w:hanging="648"/>
        <w:spacing w:after="0" w:line="266" w:lineRule="auto"/>
        <w:tabs>
          <w:tab w:leader="none" w:pos="13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 December 2024, we completed the sale of our manufacturing facility in Huntsville, Alabama to Ampersand Capital Partners, a Boston-based private equity firm, for consideration of $64.7 million in cash, net of transaction costs, and an approximate 20% equity interest at the time of close in Gannet BioChem, a newly-created Ampersand portfolio company.</w:t>
      </w:r>
    </w:p>
    <w:p>
      <w:pPr>
        <w:spacing w:after="0" w:line="135"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In view of these significant achievements, as well as the Company having met or exceeded a substantial number of the 2024 Corporate Objectives, the Organization and Compensation Committee recommended to the board of directors (which the board of directors subsequently approved) a corporate performance achievement of 90% for 2024. In addition, in recognition of the employees of the Company who made significant contributions in 2024 to the successful completion of enrollment for the Phase 2b atopic dermatitis study and other significant business achievements, the Organization and Compensation Committee approved an additional discretionary bonus pool for Mr. Robin to allocate additional cash awards in his discretion to eligible employees.</w:t>
      </w:r>
    </w:p>
    <w:p>
      <w:pPr>
        <w:spacing w:after="0" w:line="160" w:lineRule="exact"/>
        <w:rPr>
          <w:sz w:val="20"/>
          <w:szCs w:val="20"/>
          <w:color w:val="auto"/>
        </w:rPr>
      </w:pPr>
    </w:p>
    <w:p>
      <w:pPr>
        <w:ind w:right="560" w:firstLine="644"/>
        <w:spacing w:after="0" w:line="282" w:lineRule="auto"/>
        <w:rPr>
          <w:sz w:val="20"/>
          <w:szCs w:val="20"/>
          <w:color w:val="auto"/>
        </w:rPr>
      </w:pPr>
      <w:r>
        <w:rPr>
          <w:rFonts w:ascii="Times New Roman" w:cs="Times New Roman" w:eastAsia="Times New Roman" w:hAnsi="Times New Roman"/>
          <w:sz w:val="18"/>
          <w:szCs w:val="18"/>
          <w:color w:val="auto"/>
        </w:rPr>
        <w:t>The following table shows some of the highlights of each NEO’s performance in 2024. Each NEO’s contributions were instrumental to the Company’s achievement of the above accomplishments and objectives in 2024.</w:t>
      </w:r>
    </w:p>
    <w:p>
      <w:pPr>
        <w:spacing w:after="0" w:line="250" w:lineRule="exact"/>
        <w:rPr>
          <w:sz w:val="20"/>
          <w:szCs w:val="20"/>
          <w:color w:val="auto"/>
        </w:rPr>
      </w:pPr>
    </w:p>
    <w:p>
      <w:pPr>
        <w:ind w:left="20"/>
        <w:spacing w:after="0"/>
        <w:tabs>
          <w:tab w:leader="none" w:pos="48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Individual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9836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Howard W. Robin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Wilson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314" w:right="1820" w:hanging="314"/>
        <w:spacing w:after="0" w:line="282" w:lineRule="auto"/>
        <w:tabs>
          <w:tab w:leader="none" w:pos="3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Guided the Company through four significant transactions, thereby further enhancing the Company’s cash position and extending its cash runway.</w:t>
      </w:r>
    </w:p>
    <w:p>
      <w:pPr>
        <w:spacing w:after="0" w:line="53" w:lineRule="exact"/>
        <w:rPr>
          <w:rFonts w:ascii="Times New Roman" w:cs="Times New Roman" w:eastAsia="Times New Roman" w:hAnsi="Times New Roman"/>
          <w:sz w:val="18"/>
          <w:szCs w:val="18"/>
          <w:color w:val="auto"/>
        </w:rPr>
      </w:pPr>
    </w:p>
    <w:p>
      <w:pPr>
        <w:ind w:left="314" w:right="3080" w:hanging="314"/>
        <w:spacing w:after="0" w:line="282" w:lineRule="auto"/>
        <w:tabs>
          <w:tab w:leader="none" w:pos="3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the Company on maintaining the development timelines of rezpegaldesleukin to ensure top-line readouts in 2025.</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ind w:left="314" w:hanging="314"/>
        <w:spacing w:after="0"/>
        <w:tabs>
          <w:tab w:leader="none" w:pos="3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the Company’s litigation strategy in its lawsuit against Eli Lilly and Company.</w:t>
      </w:r>
    </w:p>
    <w:p>
      <w:pPr>
        <w:spacing w:after="0" w:line="117" w:lineRule="exact"/>
        <w:rPr>
          <w:rFonts w:ascii="Times New Roman" w:cs="Times New Roman" w:eastAsia="Times New Roman" w:hAnsi="Times New Roman"/>
          <w:sz w:val="18"/>
          <w:szCs w:val="18"/>
          <w:color w:val="auto"/>
        </w:rPr>
      </w:pPr>
    </w:p>
    <w:p>
      <w:pPr>
        <w:ind w:left="314" w:right="1960" w:hanging="314"/>
        <w:spacing w:after="0" w:line="258" w:lineRule="auto"/>
        <w:tabs>
          <w:tab w:leader="none" w:pos="3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the executive leadership team involved with the negotiation, and subsequent drafting, of agreements for the $30 million PIPE, the 2020 Purchase and Sale Agreement with HCR to generate a $15 million to the Company, the amended manufacturing and supply agreement with UCB, and the sale of our manufacturing facility in Huntsville, Alabama.</w:t>
      </w:r>
    </w:p>
    <w:p>
      <w:pPr>
        <w:spacing w:after="0" w:line="200" w:lineRule="exact"/>
        <w:rPr>
          <w:sz w:val="20"/>
          <w:szCs w:val="20"/>
          <w:color w:val="auto"/>
        </w:rPr>
      </w:pPr>
    </w:p>
    <w:p>
      <w:pPr>
        <w:sectPr>
          <w:pgSz w:w="11900" w:h="16838" w:orient="portrait"/>
          <w:cols w:equalWidth="0" w:num="2">
            <w:col w:w="2226" w:space="720"/>
            <w:col w:w="8274"/>
          </w:cols>
          <w:pgMar w:left="320" w:top="117" w:right="359" w:bottom="1440" w:gutter="0" w:footer="0" w:header="0"/>
          <w:type w:val="continuous"/>
        </w:sectPr>
      </w:pP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Jonathan Zalevsky, Ph.D.</w:t>
            </w:r>
          </w:p>
        </w:tc>
        <w:tc>
          <w:tcPr>
            <w:tcW w:w="69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   Further advanced rezpegaldesleukin’s development, including leading the</w:t>
            </w:r>
          </w:p>
        </w:tc>
        <w:tc>
          <w:tcPr>
            <w:tcW w:w="0" w:type="dxa"/>
            <w:vAlign w:val="bottom"/>
          </w:tcPr>
          <w:p>
            <w:pPr>
              <w:spacing w:after="0"/>
              <w:rPr>
                <w:sz w:val="1"/>
                <w:szCs w:val="1"/>
                <w:color w:val="auto"/>
              </w:rPr>
            </w:pPr>
          </w:p>
        </w:tc>
      </w:tr>
      <w:tr>
        <w:trPr>
          <w:trHeight w:val="90"/>
        </w:trPr>
        <w:tc>
          <w:tcPr>
            <w:tcW w:w="2460" w:type="dxa"/>
            <w:vAlign w:val="bottom"/>
          </w:tcPr>
          <w:p>
            <w:pPr>
              <w:spacing w:after="0"/>
              <w:rPr>
                <w:sz w:val="7"/>
                <w:szCs w:val="7"/>
                <w:color w:val="auto"/>
              </w:rPr>
            </w:pPr>
          </w:p>
        </w:tc>
        <w:tc>
          <w:tcPr>
            <w:tcW w:w="6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9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Company’s effort that resulted in the Company’s February 2025 announcement that</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9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it had entered into a new clinical trial agreement to evaluate rezpegaldesleukin 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9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patients with new onset Type 1 diabetes mellitus and maintaining on-track</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69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enrollment of our clinical trials in atopic dermatitis and alopecia areata.</w:t>
            </w:r>
          </w:p>
        </w:tc>
        <w:tc>
          <w:tcPr>
            <w:tcW w:w="0" w:type="dxa"/>
            <w:vAlign w:val="bottom"/>
          </w:tcPr>
          <w:p>
            <w:pPr>
              <w:spacing w:after="0"/>
              <w:rPr>
                <w:sz w:val="1"/>
                <w:szCs w:val="1"/>
                <w:color w:val="auto"/>
              </w:rPr>
            </w:pPr>
          </w:p>
        </w:tc>
      </w:tr>
      <w:tr>
        <w:trPr>
          <w:trHeight w:val="306"/>
        </w:trPr>
        <w:tc>
          <w:tcPr>
            <w:tcW w:w="2460" w:type="dxa"/>
            <w:vAlign w:val="bottom"/>
          </w:tcPr>
          <w:p>
            <w:pPr>
              <w:spacing w:after="0"/>
              <w:rPr>
                <w:sz w:val="24"/>
                <w:szCs w:val="24"/>
                <w:color w:val="auto"/>
              </w:rPr>
            </w:pPr>
          </w:p>
        </w:tc>
        <w:tc>
          <w:tcPr>
            <w:tcW w:w="6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Led the pre-clinical study efforts for the development of NKTR-0165, which resulted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9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 the first preclinical data for this program, showing that NKTR-0165 demonstrated</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69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selective enhancement of Treg cell function.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table below includes the actual 2024 bonuses, including as a percentage of the target opportunity, that we awarded the NEOs for 2024. Mr. Robin’s awarded annual incentive is directly aligned to the Company’s corporate performance rating, which was 90%. In determining the annual incentive for each of our other NEOs, our Organization and Compensation Committee considers the Company’s corporate performance rating, as well as each NEO’s individual performance and accomplishments highlighted above, in particular, the significant contributions and efforts each NEO made to the Company’s successful advancement of rezpegaldesleukin in its clinical trials and the sale of the Company’s Huntsville facility. Ms. Gardiner, our Interim Chief Financial Officer, provides services as an outside consultant and is not employed or directly compensated by us, as further described under “Certain Relationships and Related Party Transactions.” Ms. Gardiner does not participate in our Incentive Compensation Plan and did not receive any bonus payment in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FFFFFF"/>
              </w:rPr>
              <w:t>x</w:t>
            </w:r>
          </w:p>
        </w:tc>
        <w:tc>
          <w:tcPr>
            <w:tcW w:w="300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 Target Annual Incentives</w:t>
            </w:r>
          </w:p>
        </w:tc>
        <w:tc>
          <w:tcPr>
            <w:tcW w:w="220" w:type="dxa"/>
            <w:vAlign w:val="bottom"/>
          </w:tcPr>
          <w:p>
            <w:pPr>
              <w:spacing w:after="0"/>
              <w:rPr>
                <w:sz w:val="15"/>
                <w:szCs w:val="15"/>
                <w:color w:val="auto"/>
              </w:rPr>
            </w:pPr>
          </w:p>
        </w:tc>
        <w:tc>
          <w:tcPr>
            <w:tcW w:w="34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2024 Earned Annual Incentives</w:t>
            </w:r>
          </w:p>
        </w:tc>
        <w:tc>
          <w:tcPr>
            <w:tcW w:w="0" w:type="dxa"/>
            <w:vAlign w:val="bottom"/>
          </w:tcPr>
          <w:p>
            <w:pPr>
              <w:spacing w:after="0"/>
              <w:rPr>
                <w:sz w:val="1"/>
                <w:szCs w:val="1"/>
                <w:color w:val="auto"/>
              </w:rPr>
            </w:pPr>
          </w:p>
        </w:tc>
      </w:tr>
      <w:tr>
        <w:trPr>
          <w:trHeight w:val="117"/>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0"/>
                <w:szCs w:val="10"/>
                <w:color w:val="auto"/>
              </w:rPr>
            </w:pPr>
          </w:p>
        </w:tc>
        <w:tc>
          <w:tcPr>
            <w:tcW w:w="174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 of Base</w:t>
            </w:r>
          </w:p>
        </w:tc>
        <w:tc>
          <w:tcPr>
            <w:tcW w:w="3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208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 of Target Bonus)</w:t>
            </w:r>
          </w:p>
        </w:tc>
        <w:tc>
          <w:tcPr>
            <w:tcW w:w="3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 the nearest %</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Howard W. Robin</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1,084,590</w:t>
            </w:r>
          </w:p>
        </w:tc>
        <w:tc>
          <w:tcPr>
            <w:tcW w:w="23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976,131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A. Wilson</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324,000</w:t>
            </w:r>
          </w:p>
        </w:tc>
        <w:tc>
          <w:tcPr>
            <w:tcW w:w="2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102 %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Zalevsky, Ph.D.</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422,094</w:t>
            </w:r>
          </w:p>
        </w:tc>
        <w:tc>
          <w:tcPr>
            <w:tcW w:w="23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Incentives</w:t>
      </w:r>
    </w:p>
    <w:p>
      <w:pPr>
        <w:spacing w:after="0" w:line="189"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In accordance with our objective of aligning executive compensation with our stockholders’ interests, an important component of our executive compensation program are long-term incentive opportunities. Our current long-term incentive program for the NEOs generally consists of annual awards of equity compensation that are subject to multi-year time-based vesting schedules as well as performance-based vesting schedules. In some years, we have used a value-based approach for sizing equity awards, consistent with market practices. More recently, and in 2024, we adopted a “percent of ownership” approach. Regardless of the approach, in determining the grant levels for equity awards, we generally consider a number of factors including an assessment of individual performance, competitive market practices, the number of unvested RSUs and stock options held by the executive and average exercise price (i.e., the retention value) of these stock options, the individual’s overall contributions, and stockholder dilution. However, we do not use a formula or assign a particular weight to any one factor in determining equity award levels. Rather, the determination of equity grant levels is subjective, and the Organization and Compensation Committee awards equity grants at levels it believes in its judgment are reasonably competitive and consistent with our philosophy that a substantial portion of our executives’ compensation should be performance-based and help to further link the interests of our executives with those of our stockholders, as well as to provide a retention incentive for the executive.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Grants</w:t>
      </w:r>
    </w:p>
    <w:p>
      <w:pPr>
        <w:spacing w:after="0" w:line="189" w:lineRule="exact"/>
        <w:rPr>
          <w:sz w:val="20"/>
          <w:szCs w:val="20"/>
          <w:color w:val="auto"/>
        </w:rPr>
      </w:pPr>
    </w:p>
    <w:p>
      <w:pPr>
        <w:ind w:right="20" w:firstLine="644"/>
        <w:spacing w:after="0" w:line="252" w:lineRule="auto"/>
        <w:rPr>
          <w:sz w:val="20"/>
          <w:szCs w:val="20"/>
          <w:color w:val="auto"/>
        </w:rPr>
      </w:pPr>
      <w:r>
        <w:rPr>
          <w:rFonts w:ascii="Times New Roman" w:cs="Times New Roman" w:eastAsia="Times New Roman" w:hAnsi="Times New Roman"/>
          <w:sz w:val="18"/>
          <w:szCs w:val="18"/>
          <w:color w:val="auto"/>
        </w:rPr>
        <w:t>We historically review our executive compensation and grant equity grants in December of each year. In 2022, in connection with our restructuring efforts, the Organization and Compensation Committee conducted its executive compensation review in July and August 2022 and “pulled forward” the timing of any annual equity grants that would have otherwise been considered in December 2022. No additional equity grants were made to our executives in 2022, which resulted in an 16-month gap in grant timing between the August 2022 and December 2023 grants. The Organization and Compensation Committee conducted their annual review of executive equity grants in December 2024 and evaluated the value of the equity compensation package of our executives, noting that the Company’s depressed stock price results in a significant portion of all existing options held by our executives to be “underwater” or trading below their strike price and reduces the value of any unvested equity of our executives compared to the value of potential new equity grants (based on market data) that our executives could receive at new positions at comparable companies, which increases retention risk. The Organization and Compensation Committee also considered, among other factors, the strategic goals and resources of the Company, each executives skills, experience and scope of responsibilities, the compensation practices of the Company’s peer group, equity grants previously awarded to each executive, and the recommendation of Aon. In order to balance the Company’s interests to motivate and incentivize our executives to perform highly and achieve business objectives, to retain talented and experienced executives and to maximize stockholder value, the Organization and Compensation Committee recommended to the board of directors (which the board of directors subsequently approved) that the equity grants to our executives in 2024 remain at the same level as the 2023 grants and consist of stock options only, with 50% subject to time-based vesting and 50% subject to performance-based vesting. The following equity grants were awarded to our NEOs in 2024. Ms. Gardiner did not receive any equity grants.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0" w:type="dxa"/>
            <w:vAlign w:val="bottom"/>
          </w:tcPr>
          <w:p>
            <w:pPr>
              <w:spacing w:after="0"/>
              <w:rPr>
                <w:sz w:val="1"/>
                <w:szCs w:val="1"/>
                <w:color w:val="auto"/>
              </w:rPr>
            </w:pPr>
          </w:p>
        </w:tc>
      </w:tr>
      <w:tr>
        <w:trPr>
          <w:trHeight w:val="17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FFFFFF"/>
              </w:rPr>
              <w:t>x</w:t>
            </w:r>
          </w:p>
        </w:tc>
        <w:tc>
          <w:tcPr>
            <w:tcW w:w="3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17"/>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0"/>
                <w:szCs w:val="10"/>
                <w:color w:val="auto"/>
              </w:rPr>
            </w:pPr>
          </w:p>
        </w:tc>
        <w:tc>
          <w:tcPr>
            <w:tcW w:w="1620" w:type="dxa"/>
            <w:vAlign w:val="bottom"/>
            <w:tcBorders>
              <w:top w:val="single" w:sz="8" w:color="auto"/>
            </w:tcBorders>
          </w:tcPr>
          <w:p>
            <w:pPr>
              <w:jc w:val="right"/>
              <w:ind w:right="381"/>
              <w:spacing w:after="0" w:line="118" w:lineRule="exact"/>
              <w:rPr>
                <w:sz w:val="20"/>
                <w:szCs w:val="20"/>
                <w:color w:val="auto"/>
              </w:rPr>
            </w:pPr>
            <w:r>
              <w:rPr>
                <w:rFonts w:ascii="Times New Roman" w:cs="Times New Roman" w:eastAsia="Times New Roman" w:hAnsi="Times New Roman"/>
                <w:sz w:val="13"/>
                <w:szCs w:val="13"/>
                <w:b w:val="1"/>
                <w:bCs w:val="1"/>
                <w:color w:val="auto"/>
              </w:rPr>
              <w:t>Time-based</w:t>
            </w:r>
          </w:p>
        </w:tc>
        <w:tc>
          <w:tcPr>
            <w:tcW w:w="2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right"/>
              <w:ind w:right="151"/>
              <w:spacing w:after="0" w:line="118" w:lineRule="exact"/>
              <w:rPr>
                <w:sz w:val="20"/>
                <w:szCs w:val="20"/>
                <w:color w:val="auto"/>
              </w:rPr>
            </w:pPr>
            <w:r>
              <w:rPr>
                <w:rFonts w:ascii="Times New Roman" w:cs="Times New Roman" w:eastAsia="Times New Roman" w:hAnsi="Times New Roman"/>
                <w:sz w:val="13"/>
                <w:szCs w:val="13"/>
                <w:b w:val="1"/>
                <w:bCs w:val="1"/>
                <w:color w:val="auto"/>
              </w:rPr>
              <w:t>Performance-based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6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Awards (#) (50%)</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Awards (#) (50%)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Howard W. Robin</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A. Wilson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Zalevsky, Ph.D.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Stock Options</w:t>
      </w:r>
    </w:p>
    <w:p>
      <w:pPr>
        <w:spacing w:after="0" w:line="187"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The Organization and Compensation Committee believes that the granting of time-based stock options are an important component of the equity vehicle mix. Stock options represent a direct alignment of executive interests with those of stockholders and motivate executives to achieve value-enhancing objectives for the Company. Time-based stock options also create strong retention incentives for executive officers in a competitive market. In 2024, 50% of the equity awards granted to our NEOs were time-based equity awards. The time-based stock options vest monthly over four years, subject to the executive’s continued service through the vesting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Stock Options</w:t>
      </w:r>
    </w:p>
    <w:p>
      <w:pPr>
        <w:spacing w:after="0" w:line="187"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In 2024, 50% of the stock options granted to our executives were performance-based and subject to both time-based vesting and performance-based vesting. These performance-based stock options vest only upon the achievement of defined performance criteria that are tied to our business strategy, which are set forth below. They help create an ownership culture, encourage individual contribution and provide a strong link between executive performance and the Company’s long-term value. In order to vest, within five years of grant of the performance-based stock options, the Company must achieve the following:</w:t>
      </w:r>
    </w:p>
    <w:p>
      <w:pPr>
        <w:spacing w:after="0" w:line="143" w:lineRule="exact"/>
        <w:rPr>
          <w:sz w:val="20"/>
          <w:szCs w:val="20"/>
          <w:color w:val="auto"/>
        </w:rPr>
      </w:pPr>
    </w:p>
    <w:p>
      <w:pPr>
        <w:ind w:left="1300" w:hanging="648"/>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of each executive’s 2024 performance-based stock options will vest at the start of a Phase 3 clinical trial for rezpegaldesleukin; and</w:t>
      </w:r>
    </w:p>
    <w:p>
      <w:pPr>
        <w:spacing w:after="0" w:line="198" w:lineRule="exact"/>
        <w:rPr>
          <w:rFonts w:ascii="Times New Roman" w:cs="Times New Roman" w:eastAsia="Times New Roman" w:hAnsi="Times New Roman"/>
          <w:sz w:val="18"/>
          <w:szCs w:val="18"/>
          <w:color w:val="auto"/>
        </w:rPr>
      </w:pPr>
    </w:p>
    <w:p>
      <w:pPr>
        <w:ind w:left="1300" w:right="40" w:hanging="648"/>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of each executive’s 2024 performance-based stock options will vest upon achievement of positive Phase 3 topline clinical results for rezpegaldesleukin in any indication.</w:t>
      </w:r>
    </w:p>
    <w:p>
      <w:pPr>
        <w:spacing w:after="0" w:line="81" w:lineRule="exact"/>
        <w:rPr>
          <w:sz w:val="20"/>
          <w:szCs w:val="20"/>
          <w:color w:val="auto"/>
        </w:rPr>
      </w:pPr>
    </w:p>
    <w:p>
      <w:pPr>
        <w:jc w:val="both"/>
        <w:ind w:right="100" w:firstLine="644"/>
        <w:spacing w:after="0" w:line="266" w:lineRule="auto"/>
        <w:rPr>
          <w:sz w:val="20"/>
          <w:szCs w:val="20"/>
          <w:color w:val="auto"/>
        </w:rPr>
      </w:pPr>
      <w:r>
        <w:rPr>
          <w:rFonts w:ascii="Times New Roman" w:cs="Times New Roman" w:eastAsia="Times New Roman" w:hAnsi="Times New Roman"/>
          <w:sz w:val="18"/>
          <w:szCs w:val="18"/>
          <w:color w:val="auto"/>
        </w:rPr>
        <w:t>The Organization and Compensation Committee believed these performance criteria would be challenging to achieve and if achieved, would help create significant long-term stockholder value. These performance milestones were set to align the interest of our executives with those of the Company’s renewed strategic focus on advancing our lead drug candidate, rezpegaldesleukin.</w:t>
      </w:r>
    </w:p>
    <w:p>
      <w:pPr>
        <w:spacing w:after="0" w:line="108" w:lineRule="exact"/>
        <w:rPr>
          <w:sz w:val="20"/>
          <w:szCs w:val="20"/>
          <w:color w:val="auto"/>
        </w:rPr>
      </w:pPr>
    </w:p>
    <w:p>
      <w:pPr>
        <w:ind w:right="100" w:firstLine="644"/>
        <w:spacing w:after="0" w:line="255" w:lineRule="auto"/>
        <w:rPr>
          <w:sz w:val="20"/>
          <w:szCs w:val="20"/>
          <w:color w:val="auto"/>
        </w:rPr>
      </w:pPr>
      <w:r>
        <w:rPr>
          <w:rFonts w:ascii="Times New Roman" w:cs="Times New Roman" w:eastAsia="Times New Roman" w:hAnsi="Times New Roman"/>
          <w:sz w:val="18"/>
          <w:szCs w:val="18"/>
          <w:color w:val="auto"/>
        </w:rPr>
        <w:t>As in 2023, the Organization and Compensation Committee in 2024 only granted stock options as equity compensation to our NEOs. In years prior, our executive equity compensation package included additional components and vehicles such as time-based and performance-based RSUs and performance-based RSUs tied to relative total shareholder return performance. Given the business changes and current stage and size of our company, we believe that granting stock options provides the appropriate incentives for our executives to continue performing highly while maximizing stockholder and company value. The Organization and Compensation Committee will continue to evaluate our executive compensation program in light of the Company’s changing business developments and it may grant RSUs or other related awards tied to short-term stock value in the future when such approaches are believed to be in the best interests of the Company and its shareholders.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Outstanding Grants of Performance-Based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2020-2023 Grants</w:t>
      </w:r>
    </w:p>
    <w:p>
      <w:pPr>
        <w:spacing w:after="0" w:line="187"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The performance criteria associated with each of the performance stock options and RSUs granted to our senior executives and NEOs in 2020 have not been met and thus, vesting of these performance-based stock options and RSUs has not occurred. If the performance criteria associated with these performance stock options and RSUs are not satisfied within five years of grant, the equity awards will be cancelled. In 2020 the Organization and Compensation Committee introduced a new component to our equity compensation in order to increase the percentage of equity grants to our senior executives that were subject to performance-based conditions and to reflect, at the time, the Company’s maturation into a biopharmaceutical company with a potential commercialized drug. In 2020 and 2021, our senior executives were granted new performance-based RSUs (“TSR RSUs”) that vest between 0% and 200% of the target award based on relative total shareholder return (TSR) performance as measured against the Nasdaq Biotechnology index over a two-year performance period. The performance period for the 2020 TSR RSUs was measured from December 18, 2020 to December 31, 2022 (the “2020 TSR RSU Performance Period”). Following the 2020 TSR RSU Performance Period, the Organization and Compensation Committee engaged Aon to independently determine the Company’s TSR percentile rank within the Nasdaq Biotechnology Index. Aon determined that the Company’s performance measured at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which pursuant to the terms of the TSR RSUs</w:t>
      </w:r>
    </w:p>
    <w:p>
      <w:pPr>
        <w:sectPr>
          <w:pgSz w:w="11900" w:h="16838" w:orient="portrait"/>
          <w:cols w:equalWidth="0" w:num="1">
            <w:col w:w="11240"/>
          </w:cols>
          <w:pgMar w:left="320" w:top="117" w:right="33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grant, corresponds to a performance multiplier of 0%. Therefore, the Organization and Compensation Committee determined that none of the 2020 TSR RSUs that were granted to our senior executives and NEOs would vest. Accordingly, all 2020 TSR RSUs granted to our executives were cancelled.</w:t>
      </w:r>
    </w:p>
    <w:p>
      <w:pPr>
        <w:spacing w:after="0" w:line="113"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In 2021, our NEOs were granted certain performance-based stock options and RSUs (the “2021 Performance Grants”) that would only vest if the Company achieved the first commercial sale to a third party of bempegaldesleukin intended for use by end-user customers within five years of the award grant date. In anticipation of the expected data readouts in the first half of 2022 for the Phase 3 registrational trials studying bempegaldesleukin in combination with nivolumab and to prioritize achievement of the success of the bempegaldesleukin programs, in 2021 our NEOs also received a one-time grant of performance-based RSUs subject to performance-based vesting conditions (the “Bempegaldesleukin Performance Grants”). In order to vest, by June 1, 2022, the Company had to achieve certain primary endpoint objectives in the Phase 3 melanoma trial studying the combination bempegaldesleukin and nivolumab, which was not achieved. Subsequently, in 2022, we and BMS discontinued all clinical development activities of bempegaldesleukin. Although the performance period for the 2021 Performance Grants has not ended yet, due to the termination of our bempegaldesleukin development program, achievement of the performance criteria for the 2021 Performance Grants is no longer realistically feasible. All RSUs granted under Bempegaldesleukin Performance Grants were cancelled. As discussed above, our NEOs were also granted TSR RSUs in 2021. The performance period for the 2021 TSR RSUs was measured from December 16, 2021 to December 31, 2023 (the “2021 TSR RSU Performance Period”). Following the 2021 TSR RSU Performance Period, the Organization and Compensation Committee engaged Aon to determine the Company’s performance mercantile. Based on Aon’s determination of the Company’s percentile performance within the Nasdaq Biotechnology Index, the Organization and Compensation Committee determined that none of the 2021 TSR RSUs that were granted to our senior executives and NEOs would vest. Accordingly, all 2021 TSR RSUs granted to our executives were cancelled.</w:t>
      </w:r>
    </w:p>
    <w:p>
      <w:pPr>
        <w:spacing w:after="0" w:line="156" w:lineRule="exact"/>
        <w:rPr>
          <w:sz w:val="20"/>
          <w:szCs w:val="20"/>
          <w:color w:val="auto"/>
        </w:rPr>
      </w:pPr>
    </w:p>
    <w:p>
      <w:pPr>
        <w:ind w:right="20" w:firstLine="644"/>
        <w:spacing w:after="0" w:line="237" w:lineRule="auto"/>
        <w:rPr>
          <w:sz w:val="20"/>
          <w:szCs w:val="20"/>
          <w:color w:val="auto"/>
        </w:rPr>
      </w:pPr>
      <w:r>
        <w:rPr>
          <w:rFonts w:ascii="Times New Roman" w:cs="Times New Roman" w:eastAsia="Times New Roman" w:hAnsi="Times New Roman"/>
          <w:sz w:val="18"/>
          <w:szCs w:val="18"/>
          <w:color w:val="auto"/>
        </w:rPr>
        <w:t>The performance criteria associated with the performance-based stock options and RSUs granted to our senior executives and NEOs in 2022 have been met. The 2022 performance-based stock options and RSUs granted on August 15, 2022 began vesting after the Organization and Compensation Committee determined on November 18, 2024, that all required performance criteria had been achieved, which included the achievement of (i) a first patient dosed in a Nektar sponsored Phase 2 comparative study of NKTR-255 in conjunction with approved autologous CD19 CAR-T therapies and (ii) a first patient dosed in a clinical collaboration for NKTR-255 in combination with cell therapy with significant co-funding support of approximately 50% of one or more clinical studies. In accordance with the terms of the 2022 grants, on December 13, 2024 approximately 3/4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the performance-based RSUs granted vested, which will be followed by continued quarterly pro-rata vesting of the remainder until August 15, 2025 and approximately 3/4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the performance-based stock options granted vested, which will be followed by continued monthly pro-rata vesting of the remainder until August 15, 2025.</w:t>
      </w:r>
    </w:p>
    <w:p>
      <w:pPr>
        <w:spacing w:after="0" w:line="159"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The performance criteria associated with each of the performance stock options granted to our senior executives and NEOs in 2023 have not been met and thus, vesting of these performance-based stock options has not occurred. If the performance criteria associated with these performance stock options are not satisfied within three years of grant, the equity awards will be cancelled.</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 for NEOs Directly Employed by the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and Change of Control Benefits</w:t>
      </w:r>
    </w:p>
    <w:p>
      <w:pPr>
        <w:spacing w:after="0" w:line="187"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If the employment of an NEO is terminated by us without cause or by the executive for a designated good reason outside of the context of a change of control transaction, the executive would be entitled to severance benefits under the applicable agreement he or she entered into with the Company. Generally, these severance benefits include a cash severance payment based on the executive’s then-current annual base salary and the amount of his or her target annual incentive bonus, payment of COBRA premiums for up to a maximum of eighteen (18) months, and an additional twelve-month period to exercise vested stock options (an eighteen-month period for Mr. Robin and a three-month period for Mr. Wilson and Dr. Zalevsky). In order to attract and retain these NEOs in a competitive environment for highly skilled senior executive talent in the biotechnology and pharmaceutical industry and to provide an incentive to obtain a broad release of claims in favor of the Company, we determined it was often necessary to offer severance benefits in the case of a termination without cause or constructive termination outside the context of a change of control transaction. Many companies provide severance benefits for similar types of terminations of employment, and we believe that it is important for us to offer these severance benefits in order to continue to provide a competitive total compensation program. These NEOs would also be entitled to certain termination benefits upon a termination of employment because of death or disability.</w:t>
      </w:r>
    </w:p>
    <w:p>
      <w:pPr>
        <w:spacing w:after="0" w:line="151"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We also maintain a Change of Control Severance Benefit Plan (the “CIC Plan”) that provides the NEOs with certain severance benefits if their employment is terminated in connection with a change of control. The CIC Plan was originally established in 2006, and no amendments have been made to the plan since that time that would increase the severance benefits available under the CIC Plan. Severance benefits under the CIC Plan are structured on a “double-trigger” basis, meaning that the executive must experience a termination without cause or resign for a specifically defined good reason in connection with the change of control in order for severance benefits to become payable under the CIC Plan. Like the severance benefits under the letter agreements, we believe that these change of control severance benefits are an important element of a competitive total compensation program. Additionally, we believe that providing change of control benefits should eliminate, or at least reduce, any reluctance of our NEOs and other key employees covered by the CIC Plan to diligently consider and pursue potential change of control opportunities that may be in the best interests of our stockholders. At the same time, by providing change of control benefits only upon the occurrence of an additional triggering event occurring in connection with the change of control transaction resulting in a job loss, we believe that this CIC Plan helps preserve the value of our key personnel for any potential acquiring company.</w:t>
      </w:r>
    </w:p>
    <w:p>
      <w:pPr>
        <w:spacing w:after="0" w:line="165"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Under the CIC Plan, the executive would be entitled to accelerated equity award vesting upon a termination described above. The other severance benefits under the CIC Plan are generally similar to the severance benefits described above; however, Mr. Robin’s cash severance would cover the two-year period following termination and Company-paid COBRA coverage would be eighteen months. Outplacement services received within twelve months following separation, up to a maximum of $5,000, are provided to all participants. In addition, each of the NEOs would be entitled to full equity vesting and, except for Dr. Zalevsky, a “gross up” payment for any excise taxes imposed under Section 4999 of the Internal Revenue Code once a 10% cutback threshold is exceeded. The excise tax gross-up was included in the CIC Plan as originally adopted in 2006 to make the participants whole for any adverse tax consequences to which they may become subject under Section 4999 of the Internal Revenue Code and to avoid unintended differences in net severance based on individual factors like the date of hire and past option exercise decisions, which preserves the level of change of control severance protections that we have determined to be appropriate. At the time the CIC Plan was established, we believed this excise tax gross-up protection was a reasonable part of a competitive total compensation package and generally consistent with industry practice at the time. On April 5, 2011, the board of directors amended the CIC Plan to eliminate any “gross up” payments for any excise taxes imposed under Section 4999 of the Internal Revenue Code for participants who became eligible to participate in the CIC Plan on or after January 1, 2010. The board of directors decided to eliminate this tax gross-up provision under the plan for new participants based on its review of current industry practices.</w:t>
      </w:r>
    </w:p>
    <w:p>
      <w:pPr>
        <w:spacing w:after="0" w:line="147" w:lineRule="exact"/>
        <w:rPr>
          <w:sz w:val="20"/>
          <w:szCs w:val="20"/>
          <w:color w:val="auto"/>
        </w:rPr>
      </w:pPr>
    </w:p>
    <w:p>
      <w:pPr>
        <w:ind w:right="600" w:firstLine="644"/>
        <w:spacing w:after="0" w:line="282" w:lineRule="auto"/>
        <w:rPr>
          <w:sz w:val="20"/>
          <w:szCs w:val="20"/>
          <w:color w:val="auto"/>
        </w:rPr>
      </w:pPr>
      <w:r>
        <w:rPr>
          <w:rFonts w:ascii="Times New Roman" w:cs="Times New Roman" w:eastAsia="Times New Roman" w:hAnsi="Times New Roman"/>
          <w:sz w:val="18"/>
          <w:szCs w:val="18"/>
          <w:color w:val="auto"/>
        </w:rPr>
        <w:t>The “Potential Payments Upon Termination or Change of Control” section below describes and quantifies the severance and other benefits potentially payable to the NEOs directly employed by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 for NEOs Directly Employed by the Company</w:t>
      </w:r>
    </w:p>
    <w:p>
      <w:pPr>
        <w:spacing w:after="0" w:line="202" w:lineRule="exact"/>
        <w:rPr>
          <w:sz w:val="20"/>
          <w:szCs w:val="20"/>
          <w:color w:val="auto"/>
        </w:rPr>
      </w:pPr>
    </w:p>
    <w:p>
      <w:pPr>
        <w:ind w:right="160" w:firstLine="644"/>
        <w:spacing w:after="0" w:line="255"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employees is an important factor in attracting and retaining highly-qualified personnel, including the NEOs. The employee NEOs are eligible to participate in all of our employee benefit plans, such as medical, dental, vision, group life, disability insurance, commuting and parking benefits, wellness benefits, travel and business meeting expenses paid or reimbursed, employee stock purchase plan and the 401(k) plan, in each case generally on the same basis as other employees. We do not offer a tax-qualified defined-benefit pension plan or any non-qualified defined benefit retirement plans, nor do we provide material perquisites to our executives. In 2024, we offered Mr. Robin third party local ground transportation and tax gross ups for such expenses. These ground transportation benefits serve business purposes, such as allowing Mr. Robin to safely increase his productivity by attending to business matters while in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transit. We also offered our NEO’s parking passes for use when commuting to the Company’s office. The parking benefits serve business purposes by facilitating our NEO’s commutes and increases their productivity. See the Summary Compensation Table below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187"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In June 2023, our board of directors adopted the Nektar Therapeutics Compensation Recovery Policy, a copy of which is filed as an exhibit to our Form 10-K for the year ended December 31, 2023. In accordance with rules and regulations of the SEC and Nasdaq listing standards, our policy provides that, in the event that we are required to prepare a material financial restatement, we will recover from any executive officer any incentive compensation erroneously paid or awarded in excess of what would have been based on the restated financials. This policy applies to any incentive compensation that is either granted or paid at any time during the period of three full fiscal years prior to the date on which the financial results applicable to such award or payment are restated.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Prohibiting Hedging and Pledging</w:t>
      </w:r>
    </w:p>
    <w:p>
      <w:pPr>
        <w:spacing w:after="0" w:line="187"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Our Security Trading Policy prohibits our employees, our executive officers, and the non-employee members of our board of directors from short-term trading, options trading, trading on margin, share pledging, and all hedging transactions with respect to our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Grant Policy</w:t>
      </w:r>
    </w:p>
    <w:p>
      <w:pPr>
        <w:spacing w:after="0" w:line="200"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As discussed above, the Organization and Compensation Committee reviews our executive compensation at its regularly scheduled meeting in December of each year and then recommends to the board of directors to approve annual equity grants for our executives in December of each year. The Organization and Compensation Committee has also delegated certain limited authority to a committee comprised of management representatives to grant equity awards under our stock incentive plan to employees who are not executive officers or directors of the Company. Historically, we have granted equity awards to non-executive employees in December of each year in connection with annual performance reviews. In addition to the annual grants, equity awards may be granted at other times during the year to new hires, employees receiving promotions, and in other circumstances. We do not have any policy or practice to grant or determine the terms of equity awards in coordination with release of material non-public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Ownership Guidelines</w:t>
      </w:r>
    </w:p>
    <w:p>
      <w:pPr>
        <w:spacing w:after="0" w:line="192"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Effective January 1, 2019 the Organization and Compensation Committee approved ownership guidelines for our executive officers, such that the CEO should own shares of our common stock equal to at least three times his or her base salary, and the employee NEOs should own shares of our common stock equal to at least one time their base salary. The minimum stock ownership level is to be achieved by each executive officer within five years of the date of his or her appointment to executive officer. As of December 31, 2024, each employee NEO met the minimum stock ownership guidelines or was within the five-year grace period provided by the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87"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Generally, Section 162(m) of the Code (“Section 162(m)”) disallows a federal income tax deduction for public corporations of remuneration in excess of $1 million paid in any fiscal year to certain specified executive officers. For taxable years beginning before January 1, 2018 (i) these executive officers consisted of a public corporation’s chief executive officer and up to three other executive officers (other than the chief financial officer) whose compensation is required to be disclosed to stockholders under the Exchange Act because they are our most highly-compensated executive officers and (ii) qualifying “performance-based compensation” was not subject to this deduction limit if specified requirements are met.</w:t>
      </w:r>
    </w:p>
    <w:p>
      <w:pPr>
        <w:spacing w:after="0" w:line="156"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Pursuant to the Tax Cuts and Jobs Act of 2017, which was signed into law on December 22, 2017 (the “Tax Act”), for taxable years beginning after December 31, 2017, the remuneration of a public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In addition, under the Tax Act, once an executive becomes a “covered employee” under Section 162(m), the individual will continue to be a “covered employee” as long as he or she remains employed by the company. Consequently, for fiscal years beginning after December 31, 2017, all remuneration in excess of $1 million paid to a</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covered executive will not be deductible unless it qualifies for transitional relief applicable to certain binding, written performance-based compensation arrangements that were in place as November 2, 2017 or transitional relief for applicable to certain newly public companies. These changes will cause more of our compensation to be non-deductible under Section 162(m) in the future and will eliminate the Company’s ability to structure performance-based awards to be exempt from Section 162(m).</w:t>
      </w:r>
    </w:p>
    <w:p>
      <w:pPr>
        <w:spacing w:after="0" w:line="153"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Furthermore, on March 11, 2021, The American Rescue Plan Act of 2021 (the “ARPA”) was signed into law to assist in the economic and health recovery brought on by the COVID-19 pandemic. Beginning on or after January 1, 2027, the ARPA expands the applicability of Section 162(m) to also include the next five highest paid corporate officers so that the total number of covered employees subject to the $1 million deduction limitation will at least be 10.</w:t>
      </w:r>
    </w:p>
    <w:p>
      <w:pPr>
        <w:spacing w:after="0" w:line="139"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In designing our executive compensation program and determining the compensation of our executive officers, including our NEOs, the Organization and Compensation Committee considers a variety of factors, including the potential impact of the Section 162(m) deduction limit. While the Organization and Compensation Committee is mindful of the benefit of the full deductibility of compensation, it believes that we should not be constrained by the requirements of Section 162(m) where those requirements would impair our flexibility in compensating our executive officers in a manner that can best promote our corporate objectives. Therefore, the Organization and Compensation Committee has not adopted a policy that would require that all compensation be deductible, though it does consider the deductibility of compensation when making compensation decisions. The Organization and Compensation Committee may authorize compensation payments that are not fully tax deductible if it believes that such payments are appropriate to attract and retain executive talent or meet other business objectives.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200"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We follow FASB ASC Topic 718 for our stock-based compensation awards. FASB ASC Topic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cost is recognized as an expense following the straight-line attribution method over the requisite service period. This calculation is performed for accounting purposes and reported in the executive compensation tables required by the federal securities laws, even though the recipient of the awards may never realize any value from such awards.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Table—Fiscal 2022-2024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Non-Equity</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2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220" w:type="dxa"/>
            <w:vAlign w:val="bottom"/>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1"/>
                <w:szCs w:val="11"/>
                <w:color w:val="auto"/>
              </w:rPr>
            </w:pP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0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20" w:type="dxa"/>
            <w:vAlign w:val="bottom"/>
          </w:tcPr>
          <w:p>
            <w:pPr>
              <w:spacing w:after="0"/>
              <w:rPr>
                <w:sz w:val="11"/>
                <w:szCs w:val="11"/>
                <w:color w:val="auto"/>
              </w:rPr>
            </w:pPr>
          </w:p>
        </w:tc>
        <w:tc>
          <w:tcPr>
            <w:tcW w:w="12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0" w:type="dxa"/>
            <w:vAlign w:val="bottom"/>
          </w:tcPr>
          <w:p>
            <w:pPr>
              <w:spacing w:after="0"/>
              <w:rPr>
                <w:sz w:val="1"/>
                <w:szCs w:val="1"/>
                <w:color w:val="auto"/>
              </w:rPr>
            </w:pPr>
          </w:p>
        </w:tc>
      </w:tr>
      <w:tr>
        <w:trPr>
          <w:trHeight w:val="135"/>
        </w:trPr>
        <w:tc>
          <w:tcPr>
            <w:tcW w:w="27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Name and Principal Position (a)</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Year (b)</w:t>
            </w: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Salary ($) (c)</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Bonus ($) (d)</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 xml:space="preserve">(2)(3) </w:t>
            </w:r>
            <w:r>
              <w:rPr>
                <w:rFonts w:ascii="Times New Roman" w:cs="Times New Roman" w:eastAsia="Times New Roman" w:hAnsi="Times New Roman"/>
                <w:sz w:val="15"/>
                <w:szCs w:val="15"/>
                <w:b w:val="1"/>
                <w:bCs w:val="1"/>
                <w:color w:val="auto"/>
                <w:vertAlign w:val="subscript"/>
              </w:rPr>
              <w:t>(e)</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 xml:space="preserve">(4)(5)(6)(7) </w:t>
            </w:r>
            <w:r>
              <w:rPr>
                <w:rFonts w:ascii="Times New Roman" w:cs="Times New Roman" w:eastAsia="Times New Roman" w:hAnsi="Times New Roman"/>
                <w:sz w:val="15"/>
                <w:szCs w:val="15"/>
                <w:b w:val="1"/>
                <w:bCs w:val="1"/>
                <w:color w:val="auto"/>
                <w:vertAlign w:val="subscript"/>
              </w:rPr>
              <w:t>(f)</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w:t>
            </w:r>
            <w:r>
              <w:rPr>
                <w:rFonts w:ascii="Times New Roman" w:cs="Times New Roman" w:eastAsia="Times New Roman" w:hAnsi="Times New Roman"/>
                <w:sz w:val="15"/>
                <w:szCs w:val="15"/>
                <w:b w:val="1"/>
                <w:bCs w:val="1"/>
                <w:color w:val="auto"/>
                <w:w w:val="98"/>
                <w:vertAlign w:val="superscript"/>
              </w:rPr>
              <w:t>(8)</w:t>
            </w:r>
            <w:r>
              <w:rPr>
                <w:rFonts w:ascii="Times New Roman" w:cs="Times New Roman" w:eastAsia="Times New Roman" w:hAnsi="Times New Roman"/>
                <w:sz w:val="12"/>
                <w:szCs w:val="12"/>
                <w:b w:val="1"/>
                <w:bCs w:val="1"/>
                <w:color w:val="auto"/>
                <w:w w:val="98"/>
              </w:rPr>
              <w:t xml:space="preserve"> (g)</w:t>
            </w:r>
          </w:p>
        </w:tc>
        <w:tc>
          <w:tcPr>
            <w:tcW w:w="2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 (i)</w:t>
            </w:r>
          </w:p>
        </w:tc>
        <w:tc>
          <w:tcPr>
            <w:tcW w:w="2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 (j)</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vMerge w:val="restart"/>
          </w:tcPr>
          <w:p>
            <w:pPr>
              <w:jc w:val="right"/>
              <w:spacing w:after="0" w:line="166" w:lineRule="exact"/>
              <w:rPr>
                <w:sz w:val="20"/>
                <w:szCs w:val="20"/>
                <w:color w:val="auto"/>
              </w:rPr>
            </w:pPr>
            <w:r>
              <w:rPr>
                <w:rFonts w:ascii="Times New Roman" w:cs="Times New Roman" w:eastAsia="Times New Roman" w:hAnsi="Times New Roman"/>
                <w:sz w:val="14"/>
                <w:szCs w:val="14"/>
                <w:color w:val="auto"/>
              </w:rPr>
              <w:t>105,850</w:t>
            </w:r>
            <w:r>
              <w:rPr>
                <w:rFonts w:ascii="Times New Roman" w:cs="Times New Roman" w:eastAsia="Times New Roman" w:hAnsi="Times New Roman"/>
                <w:sz w:val="19"/>
                <w:szCs w:val="19"/>
                <w:color w:val="auto"/>
                <w:vertAlign w:val="superscript"/>
              </w:rPr>
              <w:t>(9)</w:t>
            </w:r>
          </w:p>
        </w:tc>
        <w:tc>
          <w:tcPr>
            <w:tcW w:w="220" w:type="dxa"/>
            <w:vAlign w:val="bottom"/>
            <w:vMerge w:val="restart"/>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72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Howard W. Robin</w:t>
            </w:r>
          </w:p>
        </w:tc>
        <w:tc>
          <w:tcPr>
            <w:tcW w:w="6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2024</w:t>
            </w:r>
          </w:p>
        </w:tc>
        <w:tc>
          <w:tcPr>
            <w:tcW w:w="92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1,084,590</w:t>
            </w:r>
          </w:p>
        </w:tc>
        <w:tc>
          <w:tcPr>
            <w:tcW w:w="102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1,596,122</w:t>
            </w:r>
          </w:p>
        </w:tc>
        <w:tc>
          <w:tcPr>
            <w:tcW w:w="120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976,131</w:t>
            </w: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1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3,762,693</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720" w:type="dxa"/>
            <w:vAlign w:val="bottom"/>
            <w:vMerge w:val="continue"/>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1,084,590</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927,160</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1,030,361</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93,465</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3,135,576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2022</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1,084,590</w:t>
            </w:r>
          </w:p>
        </w:tc>
        <w:tc>
          <w:tcPr>
            <w:tcW w:w="10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4,032,255</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5,409,410</w:t>
            </w: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650,754</w:t>
            </w: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98,821</w:t>
            </w:r>
          </w:p>
        </w:tc>
        <w:tc>
          <w:tcPr>
            <w:tcW w:w="13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11,275,830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20" w:type="dxa"/>
            <w:vAlign w:val="bottom"/>
          </w:tcPr>
          <w:p>
            <w:pPr>
              <w:ind w:left="20"/>
              <w:spacing w:after="0" w:line="126" w:lineRule="exact"/>
              <w:rPr>
                <w:sz w:val="20"/>
                <w:szCs w:val="20"/>
                <w:color w:val="auto"/>
              </w:rPr>
            </w:pPr>
            <w:r>
              <w:rPr>
                <w:rFonts w:ascii="Times New Roman" w:cs="Times New Roman" w:eastAsia="Times New Roman" w:hAnsi="Times New Roman"/>
                <w:sz w:val="11"/>
                <w:szCs w:val="11"/>
                <w:color w:val="auto"/>
              </w:rPr>
              <w:t>Sandra Gardiner</w:t>
            </w:r>
            <w:r>
              <w:rPr>
                <w:rFonts w:ascii="Times New Roman" w:cs="Times New Roman" w:eastAsia="Times New Roman" w:hAnsi="Times New Roman"/>
                <w:sz w:val="14"/>
                <w:szCs w:val="14"/>
                <w:color w:val="auto"/>
                <w:vertAlign w:val="superscript"/>
              </w:rPr>
              <w:t>(1)</w:t>
            </w:r>
          </w:p>
        </w:tc>
        <w:tc>
          <w:tcPr>
            <w:tcW w:w="100" w:type="dxa"/>
            <w:vAlign w:val="bottom"/>
          </w:tcPr>
          <w:p>
            <w:pPr>
              <w:spacing w:after="0"/>
              <w:rPr>
                <w:sz w:val="10"/>
                <w:szCs w:val="10"/>
                <w:color w:val="auto"/>
              </w:rPr>
            </w:pPr>
          </w:p>
        </w:tc>
        <w:tc>
          <w:tcPr>
            <w:tcW w:w="5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9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1"/>
                <w:szCs w:val="11"/>
                <w:color w:val="auto"/>
              </w:rPr>
              <w:t>460,850</w:t>
            </w:r>
            <w:r>
              <w:rPr>
                <w:rFonts w:ascii="Times New Roman" w:cs="Times New Roman" w:eastAsia="Times New Roman" w:hAnsi="Times New Roman"/>
                <w:sz w:val="14"/>
                <w:szCs w:val="14"/>
                <w:color w:val="auto"/>
                <w:vertAlign w:val="superscript"/>
              </w:rPr>
              <w:t>(10)</w:t>
            </w:r>
          </w:p>
        </w:tc>
        <w:tc>
          <w:tcPr>
            <w:tcW w:w="13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460,850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2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Interim Chief Financial Officer</w:t>
            </w:r>
          </w:p>
        </w:tc>
        <w:tc>
          <w:tcPr>
            <w:tcW w:w="6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2023</w:t>
            </w:r>
          </w:p>
        </w:tc>
        <w:tc>
          <w:tcPr>
            <w:tcW w:w="9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376,300</w:t>
            </w:r>
          </w:p>
        </w:tc>
        <w:tc>
          <w:tcPr>
            <w:tcW w:w="13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376,300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66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2024</w:t>
            </w:r>
          </w:p>
        </w:tc>
        <w:tc>
          <w:tcPr>
            <w:tcW w:w="92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540,000</w:t>
            </w:r>
          </w:p>
        </w:tc>
        <w:tc>
          <w:tcPr>
            <w:tcW w:w="102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399,030</w:t>
            </w:r>
          </w:p>
        </w:tc>
        <w:tc>
          <w:tcPr>
            <w:tcW w:w="120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336,600</w:t>
            </w:r>
          </w:p>
        </w:tc>
        <w:tc>
          <w:tcPr>
            <w:tcW w:w="120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3"/>
                <w:szCs w:val="13"/>
                <w:color w:val="auto"/>
              </w:rPr>
              <w:t>21,697</w:t>
            </w:r>
            <w:r>
              <w:rPr>
                <w:rFonts w:ascii="Times New Roman" w:cs="Times New Roman" w:eastAsia="Times New Roman" w:hAnsi="Times New Roman"/>
                <w:sz w:val="17"/>
                <w:szCs w:val="17"/>
                <w:color w:val="auto"/>
                <w:vertAlign w:val="superscript"/>
              </w:rPr>
              <w:t>(11)</w:t>
            </w:r>
          </w:p>
        </w:tc>
        <w:tc>
          <w:tcPr>
            <w:tcW w:w="1320" w:type="dxa"/>
            <w:vAlign w:val="bottom"/>
            <w:gridSpan w:val="2"/>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rPr>
              <w:t>1,297,327</w:t>
            </w: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7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Mark A. Wilson</w:t>
            </w:r>
          </w:p>
        </w:tc>
        <w:tc>
          <w:tcPr>
            <w:tcW w:w="66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72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Chief Legal Officer</w:t>
            </w: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7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9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540,000</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231,790</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307,800</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20,878</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1,100,468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2022</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527,500</w:t>
            </w:r>
          </w:p>
        </w:tc>
        <w:tc>
          <w:tcPr>
            <w:tcW w:w="10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1,629,478</w:t>
            </w:r>
          </w:p>
        </w:tc>
        <w:tc>
          <w:tcPr>
            <w:tcW w:w="10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2,185,994</w:t>
            </w: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194,400</w:t>
            </w: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28,093</w:t>
            </w:r>
          </w:p>
        </w:tc>
        <w:tc>
          <w:tcPr>
            <w:tcW w:w="13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4,565,465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Jonathan Zalevsky, Ph.D.</w:t>
            </w:r>
          </w:p>
        </w:tc>
        <w:tc>
          <w:tcPr>
            <w:tcW w:w="100" w:type="dxa"/>
            <w:vAlign w:val="bottom"/>
          </w:tcPr>
          <w:p>
            <w:pPr>
              <w:spacing w:after="0"/>
              <w:rPr>
                <w:sz w:val="10"/>
                <w:szCs w:val="10"/>
                <w:color w:val="auto"/>
              </w:rPr>
            </w:pPr>
          </w:p>
        </w:tc>
        <w:tc>
          <w:tcPr>
            <w:tcW w:w="5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9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703,490</w:t>
            </w:r>
          </w:p>
        </w:tc>
        <w:tc>
          <w:tcPr>
            <w:tcW w:w="10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460,420</w:t>
            </w:r>
          </w:p>
        </w:tc>
        <w:tc>
          <w:tcPr>
            <w:tcW w:w="1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431,885</w:t>
            </w:r>
          </w:p>
        </w:tc>
        <w:tc>
          <w:tcPr>
            <w:tcW w:w="1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1"/>
                <w:szCs w:val="11"/>
                <w:color w:val="auto"/>
              </w:rPr>
              <w:t>15,825</w:t>
            </w:r>
            <w:r>
              <w:rPr>
                <w:rFonts w:ascii="Times New Roman" w:cs="Times New Roman" w:eastAsia="Times New Roman" w:hAnsi="Times New Roman"/>
                <w:sz w:val="14"/>
                <w:szCs w:val="14"/>
                <w:color w:val="auto"/>
                <w:vertAlign w:val="superscript"/>
              </w:rPr>
              <w:t>(12)</w:t>
            </w:r>
          </w:p>
        </w:tc>
        <w:tc>
          <w:tcPr>
            <w:tcW w:w="13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1,611,620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Chief Research and Development Officer</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703,490</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178,300</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400,989</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490,585</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1,773,364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703,490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1,325,673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1,778,436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253,256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289,625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4,350,480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-1056005</wp:posOffset>
            </wp:positionV>
            <wp:extent cx="7132320" cy="7632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spacing w:after="0" w:line="62" w:lineRule="exact"/>
        <w:rPr>
          <w:sz w:val="20"/>
          <w:szCs w:val="20"/>
          <w:color w:val="auto"/>
        </w:rPr>
      </w:pPr>
    </w:p>
    <w:p>
      <w:pPr>
        <w:ind w:left="760" w:right="260" w:hanging="378"/>
        <w:spacing w:after="0" w:line="229" w:lineRule="auto"/>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was appointed our Interim Chief Financial Officer as of April 17, 2023. Ms. Gardiner is a partner at FLG Partners and provides services as Interim Chief Financial Officer as an outside consultant pursuant to a consulting agreement between the Company and FLG Partners (“Gardiner Consulting Agreement”), and is not employed or directly compensated by the Company.</w:t>
      </w:r>
    </w:p>
    <w:p>
      <w:pPr>
        <w:ind w:left="760" w:right="80" w:hanging="378"/>
        <w:spacing w:after="0" w:line="221" w:lineRule="auto"/>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RSU awards computed in accordance with Financial Accounting Standards Board Accounting Standards Codification Topic 718, Compensation-Stock Compensation (“FASB ASC Topic 718”), based on the closing price of the Company’s common stock on the grant date and excluding the effects of estimated forfeitures. For a complete description of the assumptions made in determining the valuation, please refer to (i) Note 13 (Stock-Based Compensation) to our Consolidated Financial Statements and (ii) similar footnotes to our audited financial statements in our annual reports on Form 10-K for prior years when the awards were granted.</w:t>
      </w:r>
    </w:p>
    <w:p>
      <w:pPr>
        <w:spacing w:after="0" w:line="1" w:lineRule="exact"/>
        <w:rPr>
          <w:rFonts w:ascii="Times New Roman" w:cs="Times New Roman" w:eastAsia="Times New Roman" w:hAnsi="Times New Roman"/>
          <w:sz w:val="14"/>
          <w:szCs w:val="14"/>
          <w:color w:val="auto"/>
        </w:rPr>
      </w:pPr>
    </w:p>
    <w:p>
      <w:pPr>
        <w:ind w:left="760" w:right="40" w:hanging="378"/>
        <w:spacing w:after="0" w:line="221" w:lineRule="auto"/>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the annual equity awards granted to the NEOs in 2022 were performance-based with vesting only to the extent a specified performance-based vesting condition is satisfied within three years of grant. If the performance-based vesting condition is satisfied, then the performance-based equity awards also remain subject to a time-based vesting requirement. The amounts reported in the “Stock Awards” and “Option Awards” column of the table for 2022 include the grant date fair value of performance-based RSUs and stock options, as applicable for the year, based on the probable outcome (determined as of the grant date in accordance with generally accepted accounting principles) of the performance-based conditions applicable to the awards which assumes maximum achievement of the underlying performance conditions.</w:t>
      </w:r>
    </w:p>
    <w:p>
      <w:pPr>
        <w:spacing w:after="0" w:line="1" w:lineRule="exact"/>
        <w:rPr>
          <w:rFonts w:ascii="Times New Roman" w:cs="Times New Roman" w:eastAsia="Times New Roman" w:hAnsi="Times New Roman"/>
          <w:sz w:val="14"/>
          <w:szCs w:val="14"/>
          <w:color w:val="auto"/>
        </w:rPr>
      </w:pPr>
    </w:p>
    <w:p>
      <w:pPr>
        <w:ind w:left="760" w:right="500" w:hanging="378"/>
        <w:spacing w:after="0" w:line="239" w:lineRule="auto"/>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the stock options granted in the applicable year computed in accordance with FASB ASC Topic 718, which excludes the effects of estimated forfeitures. For a complete description of the assumptions made in determining the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400"/>
        <w:spacing w:after="0" w:line="233" w:lineRule="auto"/>
        <w:rPr>
          <w:sz w:val="20"/>
          <w:szCs w:val="20"/>
          <w:color w:val="auto"/>
        </w:rPr>
      </w:pPr>
      <w:r>
        <w:rPr>
          <w:rFonts w:ascii="Times New Roman" w:cs="Times New Roman" w:eastAsia="Times New Roman" w:hAnsi="Times New Roman"/>
          <w:sz w:val="14"/>
          <w:szCs w:val="14"/>
          <w:color w:val="auto"/>
        </w:rPr>
        <w:t>valuation, please refer to (i) Note 13 (Stock-Based Compensation) to our Consolidated Financial Statements and (ii) similar footnotes to our audited financial statements in our annual reports on Form 10-K for prior years when the awards were granted.</w:t>
      </w:r>
    </w:p>
    <w:p>
      <w:pPr>
        <w:ind w:left="760" w:right="40" w:hanging="378"/>
        <w:spacing w:after="0" w:line="221" w:lineRule="auto"/>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the annual equity awards granted to the NEOs in 2024 were performance-based with vesting only to the extent a specified performance-based vesting condition is satisfied within five years of grant. If the performance-based vesting condition is satisfied, then the performance-based equity awards also remain subject to a time-based vesting requirement. The amounts reported in the “Option Awards” column of the table for 2024 include the grant date fair value of performance-based stock options, as applicable for the year, based on the probable outcome (determined as of the grant date in accordance with generally accepted accounting principles) of the performance-based conditions applicable to the awards. Assuming maximum achievement of the underlying performance conditions, the grant date fair value of the annual equity awards would be $1,923,039 for Mr. Robin, $480,760 for Mr. Wilson, and $554,723 for Dr. Zalevsky.</w:t>
      </w:r>
    </w:p>
    <w:p>
      <w:pPr>
        <w:spacing w:after="0" w:line="1" w:lineRule="exact"/>
        <w:rPr>
          <w:rFonts w:ascii="Times New Roman" w:cs="Times New Roman" w:eastAsia="Times New Roman" w:hAnsi="Times New Roman"/>
          <w:sz w:val="14"/>
          <w:szCs w:val="14"/>
          <w:color w:val="auto"/>
        </w:rPr>
      </w:pPr>
    </w:p>
    <w:p>
      <w:pPr>
        <w:ind w:left="760" w:right="40" w:hanging="378"/>
        <w:spacing w:after="0" w:line="221" w:lineRule="auto"/>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the annual equity awards granted to the NEOs in 2023 were performance-based with vesting only to the extent a specified performance-based vesting condition is satisfied within three years of grant. If the performance-based vesting condition is satisfied, then the performance-based equity awards also remain subject to a time-based vesting requirement. The amounts reported in the “Option Awards” column of the table for 2023 include the grant date fair value of performance-based stock options, as applicable for the year, based on the probable outcome (determined as of the grant date in accordance with generally accepted accounting principles) of the performance-based conditions applicable to the awards which assumes maximum achievement of the underlying performance conditions.</w:t>
      </w:r>
    </w:p>
    <w:p>
      <w:pPr>
        <w:spacing w:after="0" w:line="1" w:lineRule="exact"/>
        <w:rPr>
          <w:rFonts w:ascii="Times New Roman" w:cs="Times New Roman" w:eastAsia="Times New Roman" w:hAnsi="Times New Roman"/>
          <w:sz w:val="14"/>
          <w:szCs w:val="14"/>
          <w:color w:val="auto"/>
        </w:rPr>
      </w:pPr>
    </w:p>
    <w:p>
      <w:pPr>
        <w:ind w:left="760" w:right="40" w:hanging="378"/>
        <w:spacing w:after="0" w:line="221" w:lineRule="auto"/>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the annual equity awards granted to the NEOs in 2022 were performance-based with vesting only to the extent a specified performance-based vesting condition is satisfied within three years of grant. If the performance-based vesting condition is satisfied, then the performance-based equity awards also remain subject to a time-based vesting requirement. The amounts reported in the “Stock Awards” and “Option Awards” column of the table for 2022 include the grant date fair value of performance-based RSUs and stock options, as applicable for the year, based on the probable outcome (determined as of the grant date in accordance with generally accepted accounting principles) of the performance-based conditions applicable to the awards which assumes maximum achievement of the underlying performance conditions.</w:t>
      </w:r>
    </w:p>
    <w:p>
      <w:pPr>
        <w:spacing w:after="0" w:line="1" w:lineRule="exact"/>
        <w:rPr>
          <w:rFonts w:ascii="Times New Roman" w:cs="Times New Roman" w:eastAsia="Times New Roman" w:hAnsi="Times New Roman"/>
          <w:sz w:val="14"/>
          <w:szCs w:val="14"/>
          <w:color w:val="auto"/>
        </w:rPr>
      </w:pPr>
    </w:p>
    <w:p>
      <w:pPr>
        <w:ind w:left="760" w:right="200" w:hanging="378"/>
        <w:spacing w:after="0" w:line="221" w:lineRule="auto"/>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for 2022, 2023 and 2024 represent amounts earned under the Incentive Compensation Plan for that year or, for Mr. Robin, under his amended and restated offer letter effective as of December 1, 2008.</w:t>
      </w:r>
    </w:p>
    <w:p>
      <w:pPr>
        <w:ind w:left="760" w:right="220" w:hanging="378"/>
        <w:spacing w:after="0" w:line="221" w:lineRule="auto"/>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life insurance premiums of $42,391, (ii) group term life insurance premiums of $49,704, (iii) a $12,000 contribution to the Company’s 401(k) plan and (iv) $1,755 for long term disability post tax.</w:t>
      </w:r>
    </w:p>
    <w:p>
      <w:pPr>
        <w:ind w:left="760" w:right="440" w:hanging="378"/>
        <w:spacing w:after="0" w:line="221" w:lineRule="auto"/>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consulting fees paid to FLG Partners, LLC, pursuant to the Gardiner Consulting Agreement, in connection with Ms. Gardiner’s services as Interim Chief Financial Officer.</w:t>
      </w:r>
    </w:p>
    <w:p>
      <w:pPr>
        <w:ind w:left="760" w:right="680" w:hanging="378"/>
        <w:spacing w:after="0" w:line="221" w:lineRule="auto"/>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life insurance premiums of $1,449, (ii) group term life insurance premiums of $2,843, (iii) a $12,000 contribution to the Company’s 401(k) plan, (iv) a $3,650 contribution to the Health Savings Account, and (v) $1,755 for parking pass and tax gross-up.</w:t>
      </w:r>
    </w:p>
    <w:p>
      <w:pPr>
        <w:ind w:left="760" w:hanging="378"/>
        <w:spacing w:after="0"/>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life insurance premiums of $945, (ii) group term life insurance premiums of $2,880 and (iii) a $12,000 contribution to the Company’s 401(k)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Employment Agreements</w:t>
      </w:r>
    </w:p>
    <w:p>
      <w:pPr>
        <w:spacing w:after="0" w:line="20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Each of the NEOs, other than Ms. Gardiner, has entered into our standard form of employment agreement and an offer letter or letter agreement. The form of employment agreement provides for protective covenants with respect to confidential information, intellectual property and assignment of inventions and also sets forth other standard terms and conditions of employment. The offer letter agreements do not provide for any minimum or guaranteed term of employment. To the extent an NEO entered into a letter agreement with us, the letter agreement(s) establish the compensation arrangements following separation from us under certain circumstances. Please see “Potential Payments upon Termination or Change of Control” below for more information on these separation arrangements.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 Based Awards in 2024</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shows, for the fiscal year ended December 31, 2024, certain information regarding grants of plan-based awards to the NEOs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7"/>
          <w:szCs w:val="17"/>
          <w:color w:val="auto"/>
        </w:rPr>
        <w:t>.</w:t>
      </w:r>
    </w:p>
    <w:p>
      <w:pPr>
        <w:spacing w:after="0" w:line="169" w:lineRule="exact"/>
        <w:rPr>
          <w:sz w:val="20"/>
          <w:szCs w:val="20"/>
          <w:color w:val="auto"/>
        </w:rPr>
      </w:pPr>
    </w:p>
    <w:tbl>
      <w:tblPr>
        <w:tblLayout w:type="fixed"/>
        <w:tblInd w:w="180" w:type="dxa"/>
        <w:tblCellMar>
          <w:top w:w="0" w:type="dxa"/>
          <w:left w:w="0" w:type="dxa"/>
          <w:bottom w:w="0" w:type="dxa"/>
          <w:right w:w="0" w:type="dxa"/>
        </w:tblCellMar>
      </w:tblPr>
      <w:tr>
        <w:trPr>
          <w:trHeight w:val="126"/>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gridSpan w:val="5"/>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Estimated Future Payouts Under</w:t>
            </w:r>
          </w:p>
        </w:tc>
        <w:tc>
          <w:tcPr>
            <w:tcW w:w="220" w:type="dxa"/>
            <w:vAlign w:val="bottom"/>
          </w:tcPr>
          <w:p>
            <w:pPr>
              <w:spacing w:after="0"/>
              <w:rPr>
                <w:sz w:val="10"/>
                <w:szCs w:val="10"/>
                <w:color w:val="auto"/>
              </w:rPr>
            </w:pP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Estimated Future Payouts Under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FFFFFF"/>
              </w:rPr>
              <w:t>x</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Borders>
              <w:bottom w:val="single" w:sz="8" w:color="auto"/>
            </w:tcBorders>
            <w:gridSpan w:val="5"/>
          </w:tcPr>
          <w:p>
            <w:pPr>
              <w:jc w:val="right"/>
              <w:ind w:right="226"/>
              <w:spacing w:after="0" w:line="140" w:lineRule="exact"/>
              <w:rPr>
                <w:sz w:val="20"/>
                <w:szCs w:val="20"/>
                <w:color w:val="auto"/>
              </w:rPr>
            </w:pPr>
            <w:r>
              <w:rPr>
                <w:rFonts w:ascii="Times New Roman" w:cs="Times New Roman" w:eastAsia="Times New Roman" w:hAnsi="Times New Roman"/>
                <w:sz w:val="11"/>
                <w:szCs w:val="11"/>
                <w:b w:val="1"/>
                <w:bCs w:val="1"/>
                <w:color w:val="auto"/>
              </w:rPr>
              <w:t>Non-Equity Incentive Plan Awards</w:t>
            </w:r>
            <w:r>
              <w:rPr>
                <w:rFonts w:ascii="Times New Roman" w:cs="Times New Roman" w:eastAsia="Times New Roman" w:hAnsi="Times New Roman"/>
                <w:sz w:val="14"/>
                <w:szCs w:val="14"/>
                <w:b w:val="1"/>
                <w:bCs w:val="1"/>
                <w:color w:val="auto"/>
                <w:vertAlign w:val="superscript"/>
              </w:rPr>
              <w:t>(2)</w:t>
            </w:r>
          </w:p>
        </w:tc>
        <w:tc>
          <w:tcPr>
            <w:tcW w:w="220" w:type="dxa"/>
            <w:vAlign w:val="bottom"/>
          </w:tcPr>
          <w:p>
            <w:pPr>
              <w:spacing w:after="0"/>
              <w:rPr>
                <w:sz w:val="12"/>
                <w:szCs w:val="12"/>
                <w:color w:val="auto"/>
              </w:rPr>
            </w:pPr>
          </w:p>
        </w:tc>
        <w:tc>
          <w:tcPr>
            <w:tcW w:w="2400" w:type="dxa"/>
            <w:vAlign w:val="bottom"/>
            <w:tcBorders>
              <w:bottom w:val="single" w:sz="8" w:color="auto"/>
            </w:tcBorders>
            <w:gridSpan w:val="5"/>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95"/>
              </w:rPr>
              <w:t>Equity Incentive Plan Awards</w:t>
            </w:r>
            <w:r>
              <w:rPr>
                <w:rFonts w:ascii="Times New Roman" w:cs="Times New Roman" w:eastAsia="Times New Roman" w:hAnsi="Times New Roman"/>
                <w:sz w:val="14"/>
                <w:szCs w:val="14"/>
                <w:b w:val="1"/>
                <w:bCs w:val="1"/>
                <w:color w:val="auto"/>
                <w:w w:val="95"/>
                <w:vertAlign w:val="superscript"/>
              </w:rPr>
              <w:t>(3)</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Grant Date</w:t>
            </w: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Exercise or</w:t>
            </w:r>
          </w:p>
        </w:tc>
        <w:tc>
          <w:tcPr>
            <w:tcW w:w="2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Fair Value</w:t>
            </w:r>
          </w:p>
        </w:tc>
        <w:tc>
          <w:tcPr>
            <w:tcW w:w="0" w:type="dxa"/>
            <w:vAlign w:val="bottom"/>
          </w:tcPr>
          <w:p>
            <w:pPr>
              <w:spacing w:after="0"/>
              <w:rPr>
                <w:sz w:val="1"/>
                <w:szCs w:val="1"/>
                <w:color w:val="auto"/>
              </w:rPr>
            </w:pPr>
          </w:p>
        </w:tc>
      </w:tr>
      <w:tr>
        <w:trPr>
          <w:trHeight w:val="121"/>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Base Price</w:t>
            </w:r>
          </w:p>
        </w:tc>
        <w:tc>
          <w:tcPr>
            <w:tcW w:w="2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of Stock</w:t>
            </w: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Option</w:t>
            </w:r>
          </w:p>
        </w:tc>
        <w:tc>
          <w:tcPr>
            <w:tcW w:w="2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and Option</w:t>
            </w:r>
          </w:p>
        </w:tc>
        <w:tc>
          <w:tcPr>
            <w:tcW w:w="0" w:type="dxa"/>
            <w:vAlign w:val="bottom"/>
          </w:tcPr>
          <w:p>
            <w:pPr>
              <w:spacing w:after="0"/>
              <w:rPr>
                <w:sz w:val="1"/>
                <w:szCs w:val="1"/>
                <w:color w:val="auto"/>
              </w:rPr>
            </w:pPr>
          </w:p>
        </w:tc>
      </w:tr>
      <w:tr>
        <w:trPr>
          <w:trHeight w:val="119"/>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w w:val="97"/>
              </w:rPr>
              <w:t>Grant Date</w:t>
            </w:r>
          </w:p>
        </w:tc>
        <w:tc>
          <w:tcPr>
            <w:tcW w:w="6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Threshold</w:t>
            </w:r>
          </w:p>
        </w:tc>
        <w:tc>
          <w:tcPr>
            <w:tcW w:w="120" w:type="dxa"/>
            <w:vAlign w:val="bottom"/>
          </w:tcPr>
          <w:p>
            <w:pPr>
              <w:spacing w:after="0"/>
              <w:rPr>
                <w:sz w:val="10"/>
                <w:szCs w:val="10"/>
                <w:color w:val="auto"/>
              </w:rPr>
            </w:pPr>
          </w:p>
        </w:tc>
        <w:tc>
          <w:tcPr>
            <w:tcW w:w="600" w:type="dxa"/>
            <w:vAlign w:val="bottom"/>
          </w:tcPr>
          <w:p>
            <w:pPr>
              <w:jc w:val="right"/>
              <w:ind w:right="86"/>
              <w:spacing w:after="0" w:line="119" w:lineRule="exact"/>
              <w:rPr>
                <w:sz w:val="20"/>
                <w:szCs w:val="20"/>
                <w:color w:val="auto"/>
              </w:rPr>
            </w:pPr>
            <w:r>
              <w:rPr>
                <w:rFonts w:ascii="Times New Roman" w:cs="Times New Roman" w:eastAsia="Times New Roman" w:hAnsi="Times New Roman"/>
                <w:sz w:val="11"/>
                <w:szCs w:val="11"/>
                <w:b w:val="1"/>
                <w:bCs w:val="1"/>
                <w:color w:val="auto"/>
              </w:rPr>
              <w:t>Target</w:t>
            </w:r>
          </w:p>
        </w:tc>
        <w:tc>
          <w:tcPr>
            <w:tcW w:w="220" w:type="dxa"/>
            <w:vAlign w:val="bottom"/>
          </w:tcPr>
          <w:p>
            <w:pPr>
              <w:spacing w:after="0"/>
              <w:rPr>
                <w:sz w:val="10"/>
                <w:szCs w:val="10"/>
                <w:color w:val="auto"/>
              </w:rPr>
            </w:pPr>
          </w:p>
        </w:tc>
        <w:tc>
          <w:tcPr>
            <w:tcW w:w="680" w:type="dxa"/>
            <w:vAlign w:val="bottom"/>
          </w:tcPr>
          <w:p>
            <w:pPr>
              <w:jc w:val="right"/>
              <w:ind w:right="46"/>
              <w:spacing w:after="0" w:line="119" w:lineRule="exact"/>
              <w:rPr>
                <w:sz w:val="20"/>
                <w:szCs w:val="20"/>
                <w:color w:val="auto"/>
              </w:rPr>
            </w:pPr>
            <w:r>
              <w:rPr>
                <w:rFonts w:ascii="Times New Roman" w:cs="Times New Roman" w:eastAsia="Times New Roman" w:hAnsi="Times New Roman"/>
                <w:sz w:val="11"/>
                <w:szCs w:val="11"/>
                <w:b w:val="1"/>
                <w:bCs w:val="1"/>
                <w:color w:val="auto"/>
              </w:rPr>
              <w:t>Maximum</w:t>
            </w:r>
          </w:p>
        </w:tc>
        <w:tc>
          <w:tcPr>
            <w:tcW w:w="22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9"/>
              </w:rPr>
              <w:t>Threshold</w:t>
            </w:r>
          </w:p>
        </w:tc>
        <w:tc>
          <w:tcPr>
            <w:tcW w:w="100" w:type="dxa"/>
            <w:vAlign w:val="bottom"/>
          </w:tcPr>
          <w:p>
            <w:pPr>
              <w:spacing w:after="0"/>
              <w:rPr>
                <w:sz w:val="10"/>
                <w:szCs w:val="10"/>
                <w:color w:val="auto"/>
              </w:rPr>
            </w:pPr>
          </w:p>
        </w:tc>
        <w:tc>
          <w:tcPr>
            <w:tcW w:w="700" w:type="dxa"/>
            <w:vAlign w:val="bottom"/>
          </w:tcPr>
          <w:p>
            <w:pPr>
              <w:jc w:val="right"/>
              <w:ind w:right="146"/>
              <w:spacing w:after="0" w:line="119" w:lineRule="exact"/>
              <w:rPr>
                <w:sz w:val="20"/>
                <w:szCs w:val="20"/>
                <w:color w:val="auto"/>
              </w:rPr>
            </w:pPr>
            <w:r>
              <w:rPr>
                <w:rFonts w:ascii="Times New Roman" w:cs="Times New Roman" w:eastAsia="Times New Roman" w:hAnsi="Times New Roman"/>
                <w:sz w:val="11"/>
                <w:szCs w:val="11"/>
                <w:b w:val="1"/>
                <w:bCs w:val="1"/>
                <w:color w:val="auto"/>
              </w:rPr>
              <w:t>Target</w:t>
            </w:r>
          </w:p>
        </w:tc>
        <w:tc>
          <w:tcPr>
            <w:tcW w:w="22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8"/>
              </w:rPr>
              <w:t>Maximum</w:t>
            </w:r>
          </w:p>
        </w:tc>
        <w:tc>
          <w:tcPr>
            <w:tcW w:w="1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6"/>
              </w:rPr>
              <w:t>Stock or</w:t>
            </w:r>
          </w:p>
        </w:tc>
        <w:tc>
          <w:tcPr>
            <w:tcW w:w="10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22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220" w:type="dxa"/>
            <w:vAlign w:val="bottom"/>
          </w:tcPr>
          <w:p>
            <w:pPr>
              <w:spacing w:after="0"/>
              <w:rPr>
                <w:sz w:val="10"/>
                <w:szCs w:val="10"/>
                <w:color w:val="auto"/>
              </w:rPr>
            </w:pPr>
          </w:p>
        </w:tc>
        <w:tc>
          <w:tcPr>
            <w:tcW w:w="80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0" w:type="dxa"/>
            <w:vAlign w:val="bottom"/>
          </w:tcPr>
          <w:p>
            <w:pPr>
              <w:spacing w:after="0"/>
              <w:rPr>
                <w:sz w:val="1"/>
                <w:szCs w:val="1"/>
                <w:color w:val="auto"/>
              </w:rPr>
            </w:pPr>
          </w:p>
        </w:tc>
      </w:tr>
      <w:tr>
        <w:trPr>
          <w:trHeight w:val="140"/>
        </w:trPr>
        <w:tc>
          <w:tcPr>
            <w:tcW w:w="1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 (a)</w:t>
            </w:r>
          </w:p>
        </w:tc>
        <w:tc>
          <w:tcPr>
            <w:tcW w:w="12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88"/>
              </w:rPr>
              <w:t>(b)</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(c)</w:t>
            </w:r>
          </w:p>
        </w:tc>
        <w:tc>
          <w:tcPr>
            <w:tcW w:w="120" w:type="dxa"/>
            <w:vAlign w:val="bottom"/>
          </w:tcPr>
          <w:p>
            <w:pPr>
              <w:spacing w:after="0"/>
              <w:rPr>
                <w:sz w:val="12"/>
                <w:szCs w:val="12"/>
                <w:color w:val="auto"/>
              </w:rPr>
            </w:pPr>
          </w:p>
        </w:tc>
        <w:tc>
          <w:tcPr>
            <w:tcW w:w="6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 (d)</w:t>
            </w:r>
          </w:p>
        </w:tc>
        <w:tc>
          <w:tcPr>
            <w:tcW w:w="220" w:type="dxa"/>
            <w:vAlign w:val="bottom"/>
          </w:tcPr>
          <w:p>
            <w:pPr>
              <w:spacing w:after="0"/>
              <w:rPr>
                <w:sz w:val="12"/>
                <w:szCs w:val="12"/>
                <w:color w:val="auto"/>
              </w:rPr>
            </w:pPr>
          </w:p>
        </w:tc>
        <w:tc>
          <w:tcPr>
            <w:tcW w:w="6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 (e)</w:t>
            </w:r>
          </w:p>
        </w:tc>
        <w:tc>
          <w:tcPr>
            <w:tcW w:w="2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 (f)</w:t>
            </w:r>
          </w:p>
        </w:tc>
        <w:tc>
          <w:tcPr>
            <w:tcW w:w="100" w:type="dxa"/>
            <w:vAlign w:val="bottom"/>
          </w:tcPr>
          <w:p>
            <w:pPr>
              <w:spacing w:after="0"/>
              <w:rPr>
                <w:sz w:val="12"/>
                <w:szCs w:val="12"/>
                <w:color w:val="auto"/>
              </w:rPr>
            </w:pPr>
          </w:p>
        </w:tc>
        <w:tc>
          <w:tcPr>
            <w:tcW w:w="7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 (g)</w:t>
            </w:r>
          </w:p>
        </w:tc>
        <w:tc>
          <w:tcPr>
            <w:tcW w:w="2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(h)</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Units (#) (i)</w:t>
            </w:r>
          </w:p>
        </w:tc>
        <w:tc>
          <w:tcPr>
            <w:tcW w:w="100" w:type="dxa"/>
            <w:vAlign w:val="bottom"/>
          </w:tcPr>
          <w:p>
            <w:pPr>
              <w:spacing w:after="0"/>
              <w:rPr>
                <w:sz w:val="12"/>
                <w:szCs w:val="12"/>
                <w:color w:val="auto"/>
              </w:rPr>
            </w:pP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90"/>
              </w:rPr>
              <w:t>(#)</w:t>
            </w:r>
            <w:r>
              <w:rPr>
                <w:rFonts w:ascii="Times New Roman" w:cs="Times New Roman" w:eastAsia="Times New Roman" w:hAnsi="Times New Roman"/>
                <w:sz w:val="14"/>
                <w:szCs w:val="14"/>
                <w:b w:val="1"/>
                <w:bCs w:val="1"/>
                <w:color w:val="auto"/>
                <w:w w:val="90"/>
                <w:vertAlign w:val="superscript"/>
              </w:rPr>
              <w:t>(4)</w:t>
            </w:r>
            <w:r>
              <w:rPr>
                <w:rFonts w:ascii="Times New Roman" w:cs="Times New Roman" w:eastAsia="Times New Roman" w:hAnsi="Times New Roman"/>
                <w:sz w:val="11"/>
                <w:szCs w:val="11"/>
                <w:b w:val="1"/>
                <w:bCs w:val="1"/>
                <w:color w:val="auto"/>
                <w:w w:val="90"/>
              </w:rPr>
              <w:t xml:space="preserve"> (j)</w:t>
            </w:r>
          </w:p>
        </w:tc>
        <w:tc>
          <w:tcPr>
            <w:tcW w:w="220" w:type="dxa"/>
            <w:vAlign w:val="bottom"/>
          </w:tcPr>
          <w:p>
            <w:pPr>
              <w:spacing w:after="0"/>
              <w:rPr>
                <w:sz w:val="12"/>
                <w:szCs w:val="12"/>
                <w:color w:val="auto"/>
              </w:rPr>
            </w:pP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1"/>
                <w:szCs w:val="11"/>
                <w:b w:val="1"/>
                <w:bCs w:val="1"/>
                <w:color w:val="auto"/>
                <w:w w:val="93"/>
              </w:rPr>
              <w:t>($/sh)</w:t>
            </w:r>
            <w:r>
              <w:rPr>
                <w:rFonts w:ascii="Times New Roman" w:cs="Times New Roman" w:eastAsia="Times New Roman" w:hAnsi="Times New Roman"/>
                <w:sz w:val="14"/>
                <w:szCs w:val="14"/>
                <w:b w:val="1"/>
                <w:bCs w:val="1"/>
                <w:color w:val="auto"/>
                <w:w w:val="93"/>
                <w:vertAlign w:val="superscript"/>
              </w:rPr>
              <w:t>(5)</w:t>
            </w:r>
            <w:r>
              <w:rPr>
                <w:rFonts w:ascii="Times New Roman" w:cs="Times New Roman" w:eastAsia="Times New Roman" w:hAnsi="Times New Roman"/>
                <w:sz w:val="11"/>
                <w:szCs w:val="11"/>
                <w:b w:val="1"/>
                <w:bCs w:val="1"/>
                <w:color w:val="auto"/>
                <w:w w:val="93"/>
              </w:rPr>
              <w:t xml:space="preserve"> (k)</w:t>
            </w:r>
          </w:p>
        </w:tc>
        <w:tc>
          <w:tcPr>
            <w:tcW w:w="220" w:type="dxa"/>
            <w:vAlign w:val="bottom"/>
          </w:tcPr>
          <w:p>
            <w:pPr>
              <w:spacing w:after="0"/>
              <w:rPr>
                <w:sz w:val="12"/>
                <w:szCs w:val="12"/>
                <w:color w:val="auto"/>
              </w:rPr>
            </w:pPr>
          </w:p>
        </w:tc>
        <w:tc>
          <w:tcPr>
            <w:tcW w:w="800" w:type="dxa"/>
            <w:vAlign w:val="bottom"/>
            <w:gridSpan w:val="2"/>
          </w:tcPr>
          <w:p>
            <w:pPr>
              <w:jc w:val="center"/>
              <w:ind w:right="140"/>
              <w:spacing w:after="0" w:line="140" w:lineRule="exact"/>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(6)</w:t>
            </w:r>
            <w:r>
              <w:rPr>
                <w:rFonts w:ascii="Times New Roman" w:cs="Times New Roman" w:eastAsia="Times New Roman" w:hAnsi="Times New Roman"/>
                <w:sz w:val="11"/>
                <w:szCs w:val="11"/>
                <w:b w:val="1"/>
                <w:bCs w:val="1"/>
                <w:color w:val="auto"/>
                <w:w w:val="92"/>
              </w:rPr>
              <w:t xml:space="preserve"> (l)</w:t>
            </w:r>
          </w:p>
        </w:tc>
        <w:tc>
          <w:tcPr>
            <w:tcW w:w="0" w:type="dxa"/>
            <w:vAlign w:val="bottom"/>
          </w:tcPr>
          <w:p>
            <w:pPr>
              <w:spacing w:after="0"/>
              <w:rPr>
                <w:sz w:val="1"/>
                <w:szCs w:val="1"/>
                <w:color w:val="auto"/>
              </w:rPr>
            </w:pPr>
          </w:p>
        </w:tc>
      </w:tr>
      <w:tr>
        <w:trPr>
          <w:trHeight w:val="129"/>
        </w:trPr>
        <w:tc>
          <w:tcPr>
            <w:tcW w:w="1660" w:type="dxa"/>
            <w:vAlign w:val="bottom"/>
            <w:tcBorders>
              <w:top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Howard W. Robin</w:t>
            </w:r>
          </w:p>
        </w:tc>
        <w:tc>
          <w:tcPr>
            <w:tcW w:w="1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Annual Incentive Award</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1,084,59</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N/A</w:t>
            </w:r>
          </w:p>
        </w:tc>
        <w:tc>
          <w:tcPr>
            <w:tcW w:w="6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2,169,180</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Options</w:t>
            </w:r>
          </w:p>
        </w:tc>
        <w:tc>
          <w:tcPr>
            <w:tcW w:w="1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12/13/2024</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1,300,000</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961,519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Stock Options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1,300,00</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12/13/2024</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634,603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1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Mark A. Wilson</w:t>
            </w:r>
          </w:p>
        </w:tc>
        <w:tc>
          <w:tcPr>
            <w:tcW w:w="1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Annual Incentive Award</w:t>
            </w:r>
          </w:p>
        </w:tc>
        <w:tc>
          <w:tcPr>
            <w:tcW w:w="1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4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324,000</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648,000</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Options</w:t>
            </w:r>
          </w:p>
        </w:tc>
        <w:tc>
          <w:tcPr>
            <w:tcW w:w="1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325,000</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240,380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Options</w:t>
            </w:r>
          </w:p>
        </w:tc>
        <w:tc>
          <w:tcPr>
            <w:tcW w:w="1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12/13/2024</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325,000</w:t>
            </w:r>
          </w:p>
        </w:tc>
        <w:tc>
          <w:tcPr>
            <w:tcW w:w="8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158,650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1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Jonathan Zalevsky</w:t>
            </w:r>
          </w:p>
        </w:tc>
        <w:tc>
          <w:tcPr>
            <w:tcW w:w="1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Annual Incentive Award</w:t>
            </w:r>
          </w:p>
        </w:tc>
        <w:tc>
          <w:tcPr>
            <w:tcW w:w="1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64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422,094</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844,188</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Options</w:t>
            </w:r>
          </w:p>
        </w:tc>
        <w:tc>
          <w:tcPr>
            <w:tcW w:w="1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12/13/2024</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375,000</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277,361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12/13/2024</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375,000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183,058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did not receive any equity grants in 2024 and does not participate in our Incentive Compensation Plan</w:t>
      </w:r>
      <w:r>
        <w:rPr>
          <w:rFonts w:ascii="Times New Roman" w:cs="Times New Roman" w:eastAsia="Times New Roman" w:hAnsi="Times New Roman"/>
          <w:sz w:val="21"/>
          <w:szCs w:val="21"/>
          <w:color w:val="auto"/>
        </w:rPr>
        <w:t>.</w:t>
      </w:r>
    </w:p>
    <w:p>
      <w:pPr>
        <w:spacing w:after="0" w:line="22" w:lineRule="exact"/>
        <w:rPr>
          <w:rFonts w:ascii="Times New Roman" w:cs="Times New Roman" w:eastAsia="Times New Roman" w:hAnsi="Times New Roman"/>
          <w:sz w:val="14"/>
          <w:szCs w:val="14"/>
          <w:color w:val="auto"/>
        </w:rPr>
      </w:pPr>
    </w:p>
    <w:p>
      <w:pPr>
        <w:ind w:left="760" w:right="80" w:hanging="378"/>
        <w:spacing w:after="0" w:line="233" w:lineRule="auto"/>
        <w:tabs>
          <w:tab w:leader="none" w:pos="7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potential short-term incentive compensation amounts payable for our 2024 fiscal year under our Incentive Compensation Plan (or for Mr. Robin, the potential amounts payable under his offer letter). The amounts reported represent each NEO’s target and maximum possible payments for 2024. Because actual payments to the NEOs could range from 0% to 200% of their target bonus, no threshold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180"/>
        <w:spacing w:after="0" w:line="233" w:lineRule="auto"/>
        <w:rPr>
          <w:sz w:val="20"/>
          <w:szCs w:val="20"/>
          <w:color w:val="auto"/>
        </w:rPr>
      </w:pPr>
      <w:r>
        <w:rPr>
          <w:rFonts w:ascii="Times New Roman" w:cs="Times New Roman" w:eastAsia="Times New Roman" w:hAnsi="Times New Roman"/>
          <w:sz w:val="14"/>
          <w:szCs w:val="14"/>
          <w:color w:val="auto"/>
        </w:rPr>
        <w:t>payment amount has been established for the NEOs. The actual short-term incentive bonus amount earned by each NEO for 2024 is reported in Column (g) (Non-Equity Incentive Plan Compensation) of the Summary Compensation Table—Fiscal 2022-2024 above.</w:t>
      </w:r>
    </w:p>
    <w:p>
      <w:pPr>
        <w:ind w:left="760" w:right="120" w:hanging="378"/>
        <w:spacing w:after="0" w:line="221" w:lineRule="auto"/>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stock option grants are subject to both a five-year time-based vesting requirement (monthly pro-rata vesting) and the achievement of specified performance criteria within five years of grant. For additional information regarding these equity awards, see the Outstanding Equity Awards At Fiscal Year-End For 2024, below.</w:t>
      </w:r>
    </w:p>
    <w:p>
      <w:pPr>
        <w:ind w:left="760" w:hanging="378"/>
        <w:spacing w:after="0" w:line="221" w:lineRule="auto"/>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 grants are subject to a four-year monthly pro-rata time vesting requirement.</w:t>
      </w:r>
    </w:p>
    <w:p>
      <w:pPr>
        <w:ind w:left="760" w:hanging="378"/>
        <w:spacing w:after="0" w:line="221" w:lineRule="auto"/>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is the closing price of our common stock on the date of grant.</w:t>
      </w:r>
    </w:p>
    <w:p>
      <w:pPr>
        <w:ind w:left="760" w:right="220" w:hanging="378"/>
        <w:spacing w:after="0" w:line="230" w:lineRule="auto"/>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13 (Stock-Based Compensation) to our Consolidated Financial Statements for the relevant assumptions used to determine the grant date fair value of the stock options granted during 2024. The amounts reflected in this column for stock options granted during 2024 that are subject to performance-based vesting conditions represent the grant date fair value of these awards based on the probable outcome (determined as of the grant date in accordance with applicable accounting rules) of the performance-based conditions applicable to the awards.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Plan-Based Awards</w:t>
      </w:r>
    </w:p>
    <w:p>
      <w:pPr>
        <w:spacing w:after="0" w:line="200"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Time-Based Stock Options. </w:t>
      </w:r>
      <w:r>
        <w:rPr>
          <w:rFonts w:ascii="Times New Roman" w:cs="Times New Roman" w:eastAsia="Times New Roman" w:hAnsi="Times New Roman"/>
          <w:sz w:val="18"/>
          <w:szCs w:val="18"/>
          <w:color w:val="auto"/>
        </w:rPr>
        <w:t>Each time-based stock option granted to the NEOs during 2024 may be exercised to purchase the designated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of our common stock at an exercise price equal to the closing price of the underlying common stock on the grant date. Each NEO’s time-based stock option award granted in 2024 has a maximum term of eight (8) years and is subject to a vesting schedule that requires the executive’s continued service through the vesting date. The 2024 stock option awards granted to the NEOs will vest on a monthly pro-rata basis over a four-year period following the grant date, subject to the executive’s continued service through the vesting date.</w:t>
      </w:r>
    </w:p>
    <w:p>
      <w:pPr>
        <w:spacing w:after="0" w:line="143" w:lineRule="exact"/>
        <w:rPr>
          <w:sz w:val="20"/>
          <w:szCs w:val="20"/>
          <w:color w:val="auto"/>
        </w:rPr>
      </w:pPr>
    </w:p>
    <w:p>
      <w:pPr>
        <w:ind w:right="60" w:firstLine="644"/>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Performance-Based Stock Options. </w:t>
      </w:r>
      <w:r>
        <w:rPr>
          <w:rFonts w:ascii="Times New Roman" w:cs="Times New Roman" w:eastAsia="Times New Roman" w:hAnsi="Times New Roman"/>
          <w:sz w:val="17"/>
          <w:szCs w:val="17"/>
          <w:color w:val="auto"/>
        </w:rPr>
        <w:t>Each performance-based stock option granted to the NEOs during 2024 may be exercised to purchase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designated number of shares of our common stock at an exercise price equal to the closing price of the underlying common stock on the grant date. Each NEO’s performance-based stock option award granted in 2024 has a maximum term of eight (8) years and is subject to a vesting schedule that requires the executive’s continued service through the vesting date as well as the achievement of a separate performance condition. The 2024 stock option awards granted to the NEOs will vest on a monthly pro-rata basis over a five-year period following the grant date, subject to the executive’s continued service through the vesting date and contingent upon achievement of the following performance criteria within five (5) years following the grant date: (i) 66% of each executives 2024 performance-based stock options will vest at the start of a Phase 3 clinical trial for rezpegaldesleukin and (ii) 34% of each executives 2024 performance-based stock options will vest upon achievement of positive Phase 3 topline clinical results for rezpegaldesleukin in any indication.</w:t>
      </w:r>
    </w:p>
    <w:p>
      <w:pPr>
        <w:spacing w:after="0" w:line="133"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Any stock options that are unvested upon an NEO’s termination of continuous employment or services will be forfeited without any value, unless the termination of continuous service is a result of death, in which event, subject to any restrictions in the stock option agreement or equity incentive plan, the stock option would become fully vested and exercisable as of the date of death. For Mr. Robin, in accordance with his letter agreements, if any stock options are unvested upon a termination of continuous employment as a result of a disability, 50% of the unvested stock options would become fully vested and exercisable as of the date of termination. In accordance with the letter agreements described above, any stock options that are vested upon termination of continuous service by us without cause or by the executive for a good reason resignation (as defined in the CIC Plan) will remain outstanding and exercisable for eighteen (18) months for Mr. Robin and three (3) months for Mr. Wilson and Dr. Zalevsky. This exercise period is also twelve (12) months if the termination of employment or continuous services is because of disability and is eighteen (18) months if the termination is a result of death. We also have the discretion to extend the applicable exercise period in connection with other terminations of employment. Any vested stock options that are not exercised within the applicable post-termination of employment exercise period will terminate.</w:t>
      </w:r>
    </w:p>
    <w:p>
      <w:pPr>
        <w:spacing w:after="0" w:line="167"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Under the terms of our 2017 Amended and Restated Performance Incentive Plan (2017 Plan), if there is a change of control of the Company, outstanding awards granted under the plan will generally become fully vested and, in the case of stock options, exercisable, unless the Organization and Compensation Committee provides for the substitution, assumption, exchange or other continuation of the outstanding awards. Any stock options that become vested in connection with a change of control generally must be exercised prior to the change of control, or they will be cancelled in exchange for the right to receive a cash payment in connection with the change of control transaction. In addition, outstanding awards held by our NEOs may vest, upon certain terminations of the NEO’s employment without cause or for a good reason resignation in connection with a change of control and in connection with terminations of employment resulting from disability or death. Please see the “Potential Payments Upon Termination or Change of Control” section below for a description of the vesting that may occur in such circumstances.</w:t>
      </w:r>
    </w:p>
    <w:p>
      <w:pPr>
        <w:spacing w:after="0" w:line="151"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In 2024 each NEO’s stock option award was granted under, and is subject to the terms of, the 2017 Plan. The plan is administered by the Organization and Compensation Committee, and this committee has the ability to interpret and make all required determinations under the plan. This authority includes making required proportionate adjustments to outstanding equity awards to reflect certain corporate transactions and making provision to ensure that participants satisfy any required withholding taxes.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The NEOs are not entitled to any dividend equivalent rights on their stock option, and stock option awards are generally only transferable to a beneficiary of an NEO upon his death.</w:t>
      </w:r>
    </w:p>
    <w:p>
      <w:pPr>
        <w:spacing w:after="0" w:line="133"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Short-Term Incentive Compensation. </w:t>
      </w:r>
      <w:r>
        <w:rPr>
          <w:rFonts w:ascii="Times New Roman" w:cs="Times New Roman" w:eastAsia="Times New Roman" w:hAnsi="Times New Roman"/>
          <w:sz w:val="18"/>
          <w:szCs w:val="18"/>
          <w:color w:val="auto"/>
        </w:rPr>
        <w:t>For 2024, all of the NEOs were eligible to earn a short-term incentive compensation payment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Compensation Plan or, for Mr. Robin, under an arrangement that mirrors the Incentive Compensation Plan in his amended and restated offer letter effective as of December 1, 2008. These opportunities are reflected in the “Estimated Possible Payouts Under Non-Equity Incentive Plan Awards” columns of the table above. Please see “Compensation Discussion and Analysis—Current Executive Compensation Program Elements—Short-Term Incentive Compensation” for a description of the material terms of the Incentive Compensation Plan and Mr. Robin’s related short-term incentive compensation arrangement. In 2024 each NEO received an incentive cash compensation payment for the 2024 performance period based on the Company’s achievement of corporate performance objectives and, except for Mr. Robin, his individual performance. As previously discussed, Mr. Robin’s annual bonus is determined based solely on the Company’s corporate performance rating approved by the board of directors.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2024</w:t>
      </w:r>
    </w:p>
    <w:p>
      <w:pPr>
        <w:spacing w:after="0" w:line="202" w:lineRule="exact"/>
        <w:rPr>
          <w:sz w:val="20"/>
          <w:szCs w:val="20"/>
          <w:color w:val="auto"/>
        </w:rPr>
      </w:pPr>
    </w:p>
    <w:p>
      <w:pPr>
        <w:ind w:right="720" w:firstLine="644"/>
        <w:spacing w:after="0" w:line="282" w:lineRule="auto"/>
        <w:rPr>
          <w:sz w:val="20"/>
          <w:szCs w:val="20"/>
          <w:color w:val="auto"/>
        </w:rPr>
      </w:pPr>
      <w:r>
        <w:rPr>
          <w:rFonts w:ascii="Times New Roman" w:cs="Times New Roman" w:eastAsia="Times New Roman" w:hAnsi="Times New Roman"/>
          <w:sz w:val="18"/>
          <w:szCs w:val="18"/>
          <w:color w:val="auto"/>
        </w:rPr>
        <w:t>The following table includes certain information with respect to the value of all unexercised stock options and outstanding equity awards previously awarded to the NEOs as of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FFFFFF"/>
              </w:rPr>
              <w:t>x</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9"/>
              </w:rPr>
              <w:t>Option Awards</w:t>
            </w: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Incentive</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Plan</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Incentive</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Plan</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Market or</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Payout</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Incentive</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value of</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Plan</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Market</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Shares,</w:t>
            </w: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Shares,</w:t>
            </w: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Shares or</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Shares or</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Units or</w:t>
            </w: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Units or</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Units of</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Units of</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2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Stock</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Rights</w:t>
            </w: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Rights</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2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That</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2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2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0" w:type="dxa"/>
            <w:vAlign w:val="bottom"/>
          </w:tcPr>
          <w:p>
            <w:pPr>
              <w:spacing w:after="0"/>
              <w:rPr>
                <w:sz w:val="1"/>
                <w:szCs w:val="1"/>
                <w:color w:val="auto"/>
              </w:rPr>
            </w:pPr>
          </w:p>
        </w:tc>
      </w:tr>
      <w:tr>
        <w:trPr>
          <w:trHeight w:val="110"/>
        </w:trPr>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220" w:type="dxa"/>
            <w:vAlign w:val="bottom"/>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100" w:type="dxa"/>
            <w:vAlign w:val="bottom"/>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10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220" w:type="dxa"/>
            <w:vAlign w:val="bottom"/>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Expiration</w:t>
            </w:r>
          </w:p>
        </w:tc>
        <w:tc>
          <w:tcPr>
            <w:tcW w:w="120" w:type="dxa"/>
            <w:vAlign w:val="bottom"/>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Vested</w:t>
            </w:r>
          </w:p>
        </w:tc>
        <w:tc>
          <w:tcPr>
            <w:tcW w:w="100" w:type="dxa"/>
            <w:vAlign w:val="bottom"/>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Vested</w:t>
            </w:r>
          </w:p>
        </w:tc>
        <w:tc>
          <w:tcPr>
            <w:tcW w:w="220" w:type="dxa"/>
            <w:vAlign w:val="bottom"/>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Vested</w:t>
            </w:r>
          </w:p>
        </w:tc>
        <w:tc>
          <w:tcPr>
            <w:tcW w:w="100" w:type="dxa"/>
            <w:vAlign w:val="bottom"/>
          </w:tcPr>
          <w:p>
            <w:pPr>
              <w:spacing w:after="0"/>
              <w:rPr>
                <w:sz w:val="9"/>
                <w:szCs w:val="9"/>
                <w:color w:val="auto"/>
              </w:rPr>
            </w:pPr>
          </w:p>
        </w:tc>
        <w:tc>
          <w:tcPr>
            <w:tcW w:w="1040" w:type="dxa"/>
            <w:vAlign w:val="bottom"/>
            <w:gridSpan w:val="2"/>
          </w:tcPr>
          <w:p>
            <w:pPr>
              <w:jc w:val="center"/>
              <w:ind w:right="140"/>
              <w:spacing w:after="0" w:line="111"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Exercisable</w:t>
            </w:r>
          </w:p>
        </w:tc>
        <w:tc>
          <w:tcPr>
            <w:tcW w:w="22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Unexercisable</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860" w:type="dxa"/>
            <w:vAlign w:val="bottom"/>
            <w:gridSpan w:val="2"/>
          </w:tcPr>
          <w:p>
            <w:pPr>
              <w:jc w:val="center"/>
              <w:ind w:left="17"/>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1"/>
                <w:szCs w:val="11"/>
                <w:b w:val="1"/>
                <w:bCs w:val="1"/>
                <w:color w:val="auto"/>
                <w:w w:val="91"/>
              </w:rPr>
              <w:t>Date</w:t>
            </w:r>
            <w:r>
              <w:rPr>
                <w:rFonts w:ascii="Times New Roman" w:cs="Times New Roman" w:eastAsia="Times New Roman" w:hAnsi="Times New Roman"/>
                <w:sz w:val="14"/>
                <w:szCs w:val="14"/>
                <w:b w:val="1"/>
                <w:bCs w:val="1"/>
                <w:color w:val="auto"/>
                <w:w w:val="91"/>
                <w:vertAlign w:val="superscript"/>
              </w:rPr>
              <w:t>(2)</w:t>
            </w:r>
          </w:p>
        </w:tc>
        <w:tc>
          <w:tcPr>
            <w:tcW w:w="960" w:type="dxa"/>
            <w:vAlign w:val="bottom"/>
            <w:gridSpan w:val="2"/>
          </w:tcPr>
          <w:p>
            <w:pPr>
              <w:jc w:val="center"/>
              <w:ind w:left="19"/>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960" w:type="dxa"/>
            <w:vAlign w:val="bottom"/>
            <w:gridSpan w:val="2"/>
          </w:tcPr>
          <w:p>
            <w:pPr>
              <w:jc w:val="center"/>
              <w:ind w:left="19"/>
              <w:spacing w:after="0" w:line="133" w:lineRule="exact"/>
              <w:rPr>
                <w:sz w:val="20"/>
                <w:szCs w:val="20"/>
                <w:color w:val="auto"/>
              </w:rPr>
            </w:pPr>
            <w:r>
              <w:rPr>
                <w:rFonts w:ascii="Times New Roman" w:cs="Times New Roman" w:eastAsia="Times New Roman" w:hAnsi="Times New Roman"/>
                <w:sz w:val="11"/>
                <w:szCs w:val="11"/>
                <w:b w:val="1"/>
                <w:bCs w:val="1"/>
                <w:color w:val="auto"/>
                <w:w w:val="84"/>
              </w:rPr>
              <w:t>($)</w:t>
            </w:r>
            <w:r>
              <w:rPr>
                <w:rFonts w:ascii="Times New Roman" w:cs="Times New Roman" w:eastAsia="Times New Roman" w:hAnsi="Times New Roman"/>
                <w:sz w:val="14"/>
                <w:szCs w:val="14"/>
                <w:b w:val="1"/>
                <w:bCs w:val="1"/>
                <w:color w:val="auto"/>
                <w:w w:val="84"/>
                <w:vertAlign w:val="superscript"/>
              </w:rPr>
              <w:t>(3)</w:t>
            </w:r>
          </w:p>
        </w:tc>
        <w:tc>
          <w:tcPr>
            <w:tcW w:w="1080" w:type="dxa"/>
            <w:vAlign w:val="bottom"/>
            <w:gridSpan w:val="2"/>
          </w:tcPr>
          <w:p>
            <w:pPr>
              <w:jc w:val="center"/>
              <w:ind w:left="139"/>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20" w:type="dxa"/>
            <w:vAlign w:val="bottom"/>
            <w:gridSpan w:val="2"/>
          </w:tcPr>
          <w:p>
            <w:pPr>
              <w:jc w:val="center"/>
              <w:ind w:left="19"/>
              <w:spacing w:after="0" w:line="133" w:lineRule="exact"/>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 (a)</w:t>
            </w:r>
          </w:p>
        </w:tc>
        <w:tc>
          <w:tcPr>
            <w:tcW w:w="100" w:type="dxa"/>
            <w:vAlign w:val="bottom"/>
          </w:tcPr>
          <w:p>
            <w:pPr>
              <w:spacing w:after="0"/>
              <w:rPr>
                <w:sz w:val="11"/>
                <w:szCs w:val="11"/>
                <w:color w:val="auto"/>
              </w:rPr>
            </w:pPr>
          </w:p>
        </w:tc>
        <w:tc>
          <w:tcPr>
            <w:tcW w:w="6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0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(b)</w:t>
            </w:r>
          </w:p>
        </w:tc>
        <w:tc>
          <w:tcPr>
            <w:tcW w:w="22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10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(d)</w:t>
            </w:r>
          </w:p>
        </w:tc>
        <w:tc>
          <w:tcPr>
            <w:tcW w:w="100" w:type="dxa"/>
            <w:vAlign w:val="bottom"/>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w:t>
            </w:r>
          </w:p>
        </w:tc>
        <w:tc>
          <w:tcPr>
            <w:tcW w:w="22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w:t>
            </w:r>
          </w:p>
        </w:tc>
        <w:tc>
          <w:tcPr>
            <w:tcW w:w="12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(g)</w:t>
            </w:r>
          </w:p>
        </w:tc>
        <w:tc>
          <w:tcPr>
            <w:tcW w:w="10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(h)</w:t>
            </w:r>
          </w:p>
        </w:tc>
        <w:tc>
          <w:tcPr>
            <w:tcW w:w="22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w:t>
            </w:r>
          </w:p>
        </w:tc>
        <w:tc>
          <w:tcPr>
            <w:tcW w:w="10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(j)</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Howard W. Robin</w:t>
            </w:r>
          </w:p>
        </w:tc>
        <w:tc>
          <w:tcPr>
            <w:tcW w:w="7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12/15/2017</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151,250</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56.90</w:t>
            </w:r>
          </w:p>
        </w:tc>
        <w:tc>
          <w:tcPr>
            <w:tcW w:w="11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12/14/2025</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12/15/2017</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151,250</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56.90</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12/14/2025</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12/14/2018</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138,350</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36.51</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12/13/2026</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12/14/2018</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138,350</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36.51</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12/13/2026</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12/12/2019</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167,650</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21.79</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12/11/2027</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12/12/2019</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167,650</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21.79</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12/11/2027</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12/12/2019</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44,600</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21.79</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12/11/2027</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3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12/18/2020</w:t>
            </w: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190,650</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190,650</w:t>
            </w:r>
            <w:r>
              <w:rPr>
                <w:rFonts w:ascii="Times New Roman" w:cs="Times New Roman" w:eastAsia="Times New Roman" w:hAnsi="Times New Roman"/>
                <w:sz w:val="16"/>
                <w:szCs w:val="16"/>
                <w:color w:val="auto"/>
                <w:vertAlign w:val="superscript"/>
              </w:rPr>
              <w:t>(4)</w:t>
            </w:r>
          </w:p>
        </w:tc>
        <w:tc>
          <w:tcPr>
            <w:tcW w:w="8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18.75</w:t>
            </w:r>
          </w:p>
        </w:tc>
        <w:tc>
          <w:tcPr>
            <w:tcW w:w="11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12/17/2028</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12/18/2020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18.75</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12/17/2028</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106,650</w:t>
            </w:r>
            <w:r>
              <w:rPr>
                <w:rFonts w:ascii="Times New Roman" w:cs="Times New Roman" w:eastAsia="Times New Roman" w:hAnsi="Times New Roman"/>
                <w:sz w:val="16"/>
                <w:szCs w:val="16"/>
                <w:color w:val="auto"/>
                <w:vertAlign w:val="superscript"/>
              </w:rPr>
              <w:t>(5)</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12/18/2020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55,938</w:t>
            </w:r>
            <w:r>
              <w:rPr>
                <w:rFonts w:ascii="Times New Roman" w:cs="Times New Roman" w:eastAsia="Times New Roman" w:hAnsi="Times New Roman"/>
                <w:sz w:val="16"/>
                <w:szCs w:val="16"/>
                <w:color w:val="auto"/>
                <w:vertAlign w:val="superscript"/>
              </w:rPr>
              <w:t>(6)</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99,185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12/16/2021</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167,812</w:t>
            </w:r>
          </w:p>
        </w:tc>
        <w:tc>
          <w:tcPr>
            <w:tcW w:w="1120" w:type="dxa"/>
            <w:vAlign w:val="bottom"/>
            <w:gridSpan w:val="2"/>
            <w:vMerge w:val="continue"/>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223,750</w:t>
            </w:r>
            <w:r>
              <w:rPr>
                <w:rFonts w:ascii="Times New Roman" w:cs="Times New Roman" w:eastAsia="Times New Roman" w:hAnsi="Times New Roman"/>
                <w:sz w:val="16"/>
                <w:szCs w:val="16"/>
                <w:color w:val="auto"/>
                <w:vertAlign w:val="superscript"/>
              </w:rPr>
              <w:t>(4)</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13.22</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12/15/2029</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12/16/2021</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13.22</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12/15/2029</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126,050</w:t>
            </w:r>
            <w:r>
              <w:rPr>
                <w:rFonts w:ascii="Times New Roman" w:cs="Times New Roman" w:eastAsia="Times New Roman" w:hAnsi="Times New Roman"/>
                <w:sz w:val="16"/>
                <w:szCs w:val="16"/>
                <w:color w:val="auto"/>
                <w:vertAlign w:val="superscript"/>
              </w:rPr>
              <w:t>(5)</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12/16/2021</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182,500</w:t>
            </w:r>
            <w:r>
              <w:rPr>
                <w:rFonts w:ascii="Times New Roman" w:cs="Times New Roman" w:eastAsia="Times New Roman" w:hAnsi="Times New Roman"/>
                <w:sz w:val="16"/>
                <w:szCs w:val="16"/>
                <w:color w:val="auto"/>
                <w:vertAlign w:val="superscript"/>
              </w:rPr>
              <w:t>(7)</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117,227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8/15/2022</w:t>
            </w:r>
          </w:p>
        </w:tc>
        <w:tc>
          <w:tcPr>
            <w:tcW w:w="1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638,750</w:t>
            </w: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4.91</w:t>
            </w:r>
          </w:p>
        </w:tc>
        <w:tc>
          <w:tcPr>
            <w:tcW w:w="1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8/14/2030</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8/15/2022</w:t>
            </w:r>
          </w:p>
        </w:tc>
        <w:tc>
          <w:tcPr>
            <w:tcW w:w="10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638,750</w:t>
            </w:r>
          </w:p>
        </w:tc>
        <w:tc>
          <w:tcPr>
            <w:tcW w:w="11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182,500</w:t>
            </w:r>
            <w:r>
              <w:rPr>
                <w:rFonts w:ascii="Times New Roman" w:cs="Times New Roman" w:eastAsia="Times New Roman" w:hAnsi="Times New Roman"/>
                <w:sz w:val="16"/>
                <w:szCs w:val="16"/>
                <w:color w:val="auto"/>
                <w:vertAlign w:val="superscript"/>
              </w:rPr>
              <w:t>(8)</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4.91</w:t>
            </w:r>
          </w:p>
        </w:tc>
        <w:tc>
          <w:tcPr>
            <w:tcW w:w="11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8/14/2030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102,657</w:t>
            </w:r>
            <w:r>
              <w:rPr>
                <w:rFonts w:ascii="Times New Roman" w:cs="Times New Roman" w:eastAsia="Times New Roman" w:hAnsi="Times New Roman"/>
                <w:sz w:val="16"/>
                <w:szCs w:val="16"/>
                <w:color w:val="auto"/>
                <w:vertAlign w:val="superscript"/>
              </w:rPr>
              <w:t>(9)</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8/15/2022</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95,471</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8/15/2022</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866,667</w:t>
            </w:r>
            <w:r>
              <w:rPr>
                <w:rFonts w:ascii="Times New Roman" w:cs="Times New Roman" w:eastAsia="Times New Roman" w:hAnsi="Times New Roman"/>
                <w:sz w:val="16"/>
                <w:szCs w:val="16"/>
                <w:color w:val="auto"/>
                <w:vertAlign w:val="superscript"/>
              </w:rPr>
              <w:t>(7)</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102,656</w:t>
            </w:r>
            <w:r>
              <w:rPr>
                <w:rFonts w:ascii="Times New Roman" w:cs="Times New Roman" w:eastAsia="Times New Roman" w:hAnsi="Times New Roman"/>
                <w:sz w:val="16"/>
                <w:szCs w:val="16"/>
                <w:color w:val="auto"/>
                <w:vertAlign w:val="superscript"/>
              </w:rPr>
              <w:t>(10)</w:t>
            </w:r>
          </w:p>
        </w:tc>
        <w:tc>
          <w:tcPr>
            <w:tcW w:w="9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95,470</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12/13/2023</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433,333</w:t>
            </w:r>
          </w:p>
        </w:tc>
        <w:tc>
          <w:tcPr>
            <w:tcW w:w="1120" w:type="dxa"/>
            <w:vAlign w:val="bottom"/>
            <w:gridSpan w:val="2"/>
            <w:vMerge w:val="continue"/>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1,300,000</w:t>
            </w:r>
            <w:r>
              <w:rPr>
                <w:rFonts w:ascii="Times New Roman" w:cs="Times New Roman" w:eastAsia="Times New Roman" w:hAnsi="Times New Roman"/>
                <w:sz w:val="16"/>
                <w:szCs w:val="16"/>
                <w:color w:val="auto"/>
                <w:vertAlign w:val="superscript"/>
              </w:rPr>
              <w:t>(11)</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12/12/2031</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12/13/2023</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1,300,000</w:t>
            </w:r>
            <w:r>
              <w:rPr>
                <w:rFonts w:ascii="Times New Roman" w:cs="Times New Roman" w:eastAsia="Times New Roman" w:hAnsi="Times New Roman"/>
                <w:sz w:val="16"/>
                <w:szCs w:val="16"/>
                <w:color w:val="auto"/>
                <w:vertAlign w:val="superscript"/>
              </w:rPr>
              <w:t>(6)</w:t>
            </w:r>
          </w:p>
        </w:tc>
        <w:tc>
          <w:tcPr>
            <w:tcW w:w="940" w:type="dxa"/>
            <w:vAlign w:val="bottom"/>
            <w:gridSpan w:val="2"/>
            <w:vMerge w:val="continue"/>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12/12/2031</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12/13/2024</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1,300,000</w:t>
            </w:r>
            <w:r>
              <w:rPr>
                <w:rFonts w:ascii="Times New Roman" w:cs="Times New Roman" w:eastAsia="Times New Roman" w:hAnsi="Times New Roman"/>
                <w:sz w:val="16"/>
                <w:szCs w:val="16"/>
                <w:color w:val="auto"/>
                <w:vertAlign w:val="superscript"/>
              </w:rPr>
              <w:t>(12)</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12/12/2032</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12/13/2024</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1.01</w:t>
            </w:r>
          </w:p>
        </w:tc>
        <w:tc>
          <w:tcPr>
            <w:tcW w:w="1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12/12/2032</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2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Sandra Gardiner</w:t>
            </w:r>
            <w:r>
              <w:rPr>
                <w:rFonts w:ascii="Times New Roman" w:cs="Times New Roman" w:eastAsia="Times New Roman" w:hAnsi="Times New Roman"/>
                <w:sz w:val="16"/>
                <w:szCs w:val="16"/>
                <w:color w:val="auto"/>
                <w:vertAlign w:val="superscript"/>
              </w:rPr>
              <w:t>(1)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Mark A. Wilson</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12/15/2017</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110,000</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56.90</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12/14/2025</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12/15/2017</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42,000</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56.90</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12/14/2025</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12/14/2018</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10,225</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36.51</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12/13/2026</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12/12/2019</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35,800</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21.79</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12/11/2027</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12/12/2019</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35,800</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21.79</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12/11/2027</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3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12/12/2019</w:t>
            </w: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11,600</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21.79</w:t>
            </w:r>
          </w:p>
        </w:tc>
        <w:tc>
          <w:tcPr>
            <w:tcW w:w="11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12/11/2027</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12/18/2020</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51,000</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51,000</w:t>
            </w:r>
            <w:r>
              <w:rPr>
                <w:rFonts w:ascii="Times New Roman" w:cs="Times New Roman" w:eastAsia="Times New Roman" w:hAnsi="Times New Roman"/>
                <w:sz w:val="16"/>
                <w:szCs w:val="16"/>
                <w:color w:val="auto"/>
                <w:vertAlign w:val="superscript"/>
              </w:rPr>
              <w:t>(4)</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18.75</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12/17/2028</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12/18/2020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18.75</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12/17/2028</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28,550</w:t>
            </w:r>
            <w:r>
              <w:rPr>
                <w:rFonts w:ascii="Times New Roman" w:cs="Times New Roman" w:eastAsia="Times New Roman" w:hAnsi="Times New Roman"/>
                <w:sz w:val="16"/>
                <w:szCs w:val="16"/>
                <w:color w:val="auto"/>
                <w:vertAlign w:val="superscript"/>
              </w:rPr>
              <w:t>(5)</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12/18/2020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16,788</w:t>
            </w:r>
            <w:r>
              <w:rPr>
                <w:rFonts w:ascii="Times New Roman" w:cs="Times New Roman" w:eastAsia="Times New Roman" w:hAnsi="Times New Roman"/>
                <w:sz w:val="16"/>
                <w:szCs w:val="16"/>
                <w:color w:val="auto"/>
                <w:vertAlign w:val="superscript"/>
              </w:rPr>
              <w:t>(6)</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26,552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12/16/2021</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50,362</w:t>
            </w:r>
          </w:p>
        </w:tc>
        <w:tc>
          <w:tcPr>
            <w:tcW w:w="1120" w:type="dxa"/>
            <w:vAlign w:val="bottom"/>
            <w:gridSpan w:val="2"/>
            <w:vMerge w:val="continue"/>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67,150</w:t>
            </w:r>
            <w:r>
              <w:rPr>
                <w:rFonts w:ascii="Times New Roman" w:cs="Times New Roman" w:eastAsia="Times New Roman" w:hAnsi="Times New Roman"/>
                <w:sz w:val="16"/>
                <w:szCs w:val="16"/>
                <w:color w:val="auto"/>
                <w:vertAlign w:val="superscript"/>
              </w:rPr>
              <w:t>(4)</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13.22</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12/15/2029</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12/16/2021</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13.22</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12/15/2029</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37,800</w:t>
            </w:r>
            <w:r>
              <w:rPr>
                <w:rFonts w:ascii="Times New Roman" w:cs="Times New Roman" w:eastAsia="Times New Roman" w:hAnsi="Times New Roman"/>
                <w:sz w:val="16"/>
                <w:szCs w:val="16"/>
                <w:color w:val="auto"/>
                <w:vertAlign w:val="superscript"/>
              </w:rPr>
              <w:t>(5)</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12/16/2021</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73,750</w:t>
            </w:r>
            <w:r>
              <w:rPr>
                <w:rFonts w:ascii="Times New Roman" w:cs="Times New Roman" w:eastAsia="Times New Roman" w:hAnsi="Times New Roman"/>
                <w:sz w:val="16"/>
                <w:szCs w:val="16"/>
                <w:color w:val="auto"/>
                <w:vertAlign w:val="superscript"/>
              </w:rPr>
              <w:t>(7)</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35,154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8/15/2022</w:t>
            </w:r>
          </w:p>
        </w:tc>
        <w:tc>
          <w:tcPr>
            <w:tcW w:w="1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258,125</w:t>
            </w: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4.91</w:t>
            </w:r>
          </w:p>
        </w:tc>
        <w:tc>
          <w:tcPr>
            <w:tcW w:w="1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8/14/2030</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8/15/2022</w:t>
            </w:r>
          </w:p>
        </w:tc>
        <w:tc>
          <w:tcPr>
            <w:tcW w:w="10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258,125</w:t>
            </w:r>
          </w:p>
        </w:tc>
        <w:tc>
          <w:tcPr>
            <w:tcW w:w="11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73,750</w:t>
            </w:r>
            <w:r>
              <w:rPr>
                <w:rFonts w:ascii="Times New Roman" w:cs="Times New Roman" w:eastAsia="Times New Roman" w:hAnsi="Times New Roman"/>
                <w:sz w:val="16"/>
                <w:szCs w:val="16"/>
                <w:color w:val="auto"/>
                <w:vertAlign w:val="superscript"/>
              </w:rPr>
              <w:t>(8)</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4.91</w:t>
            </w:r>
          </w:p>
        </w:tc>
        <w:tc>
          <w:tcPr>
            <w:tcW w:w="112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8/14/2030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41,485</w:t>
            </w:r>
            <w:r>
              <w:rPr>
                <w:rFonts w:ascii="Times New Roman" w:cs="Times New Roman" w:eastAsia="Times New Roman" w:hAnsi="Times New Roman"/>
                <w:sz w:val="16"/>
                <w:szCs w:val="16"/>
                <w:color w:val="auto"/>
                <w:vertAlign w:val="superscript"/>
              </w:rPr>
              <w:t>(9)</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8/15/2022</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38,581</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3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8/15/2022</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216,667</w:t>
            </w:r>
            <w:r>
              <w:rPr>
                <w:rFonts w:ascii="Times New Roman" w:cs="Times New Roman" w:eastAsia="Times New Roman" w:hAnsi="Times New Roman"/>
                <w:sz w:val="16"/>
                <w:szCs w:val="16"/>
                <w:color w:val="auto"/>
                <w:vertAlign w:val="superscript"/>
              </w:rPr>
              <w:t>(7)</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41,484</w:t>
            </w:r>
            <w:r>
              <w:rPr>
                <w:rFonts w:ascii="Times New Roman" w:cs="Times New Roman" w:eastAsia="Times New Roman" w:hAnsi="Times New Roman"/>
                <w:sz w:val="16"/>
                <w:szCs w:val="16"/>
                <w:color w:val="auto"/>
                <w:vertAlign w:val="superscript"/>
              </w:rPr>
              <w:t>(10)</w:t>
            </w:r>
          </w:p>
        </w:tc>
        <w:tc>
          <w:tcPr>
            <w:tcW w:w="96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38,580</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12/13/2023</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108,333</w:t>
            </w:r>
          </w:p>
        </w:tc>
        <w:tc>
          <w:tcPr>
            <w:tcW w:w="1120" w:type="dxa"/>
            <w:vAlign w:val="bottom"/>
            <w:gridSpan w:val="2"/>
            <w:vMerge w:val="continue"/>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325,000</w:t>
            </w:r>
            <w:r>
              <w:rPr>
                <w:rFonts w:ascii="Times New Roman" w:cs="Times New Roman" w:eastAsia="Times New Roman" w:hAnsi="Times New Roman"/>
                <w:sz w:val="16"/>
                <w:szCs w:val="16"/>
                <w:color w:val="auto"/>
                <w:vertAlign w:val="superscript"/>
              </w:rPr>
              <w:t>(11)</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12/12/2031</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12/13/2023</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325,000</w:t>
            </w:r>
            <w:r>
              <w:rPr>
                <w:rFonts w:ascii="Times New Roman" w:cs="Times New Roman" w:eastAsia="Times New Roman" w:hAnsi="Times New Roman"/>
                <w:sz w:val="16"/>
                <w:szCs w:val="16"/>
                <w:color w:val="auto"/>
                <w:vertAlign w:val="superscript"/>
              </w:rPr>
              <w:t>(6)</w:t>
            </w:r>
          </w:p>
        </w:tc>
        <w:tc>
          <w:tcPr>
            <w:tcW w:w="940" w:type="dxa"/>
            <w:vAlign w:val="bottom"/>
            <w:gridSpan w:val="2"/>
            <w:vMerge w:val="continue"/>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12/12/2031</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12/13/2024</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325,000</w:t>
            </w:r>
            <w:r>
              <w:rPr>
                <w:rFonts w:ascii="Times New Roman" w:cs="Times New Roman" w:eastAsia="Times New Roman" w:hAnsi="Times New Roman"/>
                <w:sz w:val="16"/>
                <w:szCs w:val="16"/>
                <w:color w:val="auto"/>
                <w:vertAlign w:val="superscript"/>
              </w:rPr>
              <w:t>(12)</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12/12/2032</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12/13/2024</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12/12/2032</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Jonathan Zalevsky</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3/16/2017</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21,250</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15.71</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3/15/2025</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4/18/2017</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36,459</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18.59</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4/17/2025</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6/15/2017</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77,084</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18.09</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6/14/2025</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11/15/2017</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87,500</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43.07</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11/14/2025</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12/15/2017</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37,625</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56.90</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12/14/2025</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12/14/2018</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48,400</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36.51</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12/13/2026</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12/14/2018</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48,400</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36.51</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12/13/2026</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10/1/2019</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150,000</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18.43</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9/30/2027</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12/12/2019</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71,550</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21.79</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12/11/2027</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12/12/2019</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71,550</w:t>
            </w: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21.79</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12/11/2027</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3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12/12/2019</w:t>
            </w:r>
          </w:p>
        </w:tc>
        <w:tc>
          <w:tcPr>
            <w:tcW w:w="10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20,100</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21.79</w:t>
            </w:r>
          </w:p>
        </w:tc>
        <w:tc>
          <w:tcPr>
            <w:tcW w:w="11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12/11/2027</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12/18/2020</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71,500</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71,500</w:t>
            </w:r>
            <w:r>
              <w:rPr>
                <w:rFonts w:ascii="Times New Roman" w:cs="Times New Roman" w:eastAsia="Times New Roman" w:hAnsi="Times New Roman"/>
                <w:sz w:val="16"/>
                <w:szCs w:val="16"/>
                <w:color w:val="auto"/>
                <w:vertAlign w:val="superscript"/>
              </w:rPr>
              <w:t>(4)</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18.75</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12/17/2028</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12/18/2020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18.75</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12/17/2028</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40,000</w:t>
            </w:r>
            <w:r>
              <w:rPr>
                <w:rFonts w:ascii="Times New Roman" w:cs="Times New Roman" w:eastAsia="Times New Roman" w:hAnsi="Times New Roman"/>
                <w:sz w:val="16"/>
                <w:szCs w:val="16"/>
                <w:color w:val="auto"/>
                <w:vertAlign w:val="superscript"/>
              </w:rPr>
              <w:t>(5)</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12/18/2020</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23,500</w:t>
            </w:r>
            <w:r>
              <w:rPr>
                <w:rFonts w:ascii="Times New Roman" w:cs="Times New Roman" w:eastAsia="Times New Roman" w:hAnsi="Times New Roman"/>
                <w:sz w:val="16"/>
                <w:szCs w:val="16"/>
                <w:color w:val="auto"/>
                <w:vertAlign w:val="superscript"/>
              </w:rPr>
              <w:t>(6)</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37,200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12/16/2021</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70,500</w:t>
            </w: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12/15/2029</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-4312285</wp:posOffset>
            </wp:positionV>
            <wp:extent cx="7132320" cy="857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-4140835</wp:posOffset>
            </wp:positionV>
            <wp:extent cx="7132320" cy="857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-3969385</wp:posOffset>
            </wp:positionV>
            <wp:extent cx="7132320" cy="857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-3797935</wp:posOffset>
            </wp:positionV>
            <wp:extent cx="7132320" cy="857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-3626485</wp:posOffset>
            </wp:positionV>
            <wp:extent cx="7132320" cy="857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-3455035</wp:posOffset>
            </wp:positionV>
            <wp:extent cx="7132320" cy="857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-3283585</wp:posOffset>
            </wp:positionV>
            <wp:extent cx="7132320" cy="857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-2597785</wp:posOffset>
            </wp:positionV>
            <wp:extent cx="7132320" cy="857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-2426335</wp:posOffset>
            </wp:positionV>
            <wp:extent cx="7132320" cy="857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-2254885</wp:posOffset>
            </wp:positionV>
            <wp:extent cx="7132320" cy="857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-2083435</wp:posOffset>
            </wp:positionV>
            <wp:extent cx="7132320" cy="857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-1911985</wp:posOffset>
            </wp:positionV>
            <wp:extent cx="7132320" cy="857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7132320" cy="857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-1569085</wp:posOffset>
            </wp:positionV>
            <wp:extent cx="7132320" cy="857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57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57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FFFFFF"/>
              </w:rPr>
              <w:t>x</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9"/>
              </w:rPr>
              <w:t>Option Awards</w:t>
            </w: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99"/>
        </w:trPr>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8"/>
                <w:szCs w:val="8"/>
                <w:color w:val="auto"/>
              </w:rPr>
            </w:pP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Incentive</w:t>
            </w: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Plan</w:t>
            </w: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Incentive</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r>
      <w:tr>
        <w:trPr>
          <w:trHeight w:val="121"/>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Plan</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Market or</w:t>
            </w: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Payout</w:t>
            </w: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Incentive</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value of</w:t>
            </w: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Plan</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Market</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Unearned</w:t>
            </w: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Shares,</w:t>
            </w: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Shares,</w:t>
            </w:r>
          </w:p>
        </w:tc>
      </w:tr>
      <w:tr>
        <w:trPr>
          <w:trHeight w:val="121"/>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Shares or</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Shares or</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Units or</w:t>
            </w: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Units or</w:t>
            </w: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Units of</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Units of</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2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1"/>
              </w:rPr>
              <w:t>Stock</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Rights</w:t>
            </w: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Rights</w:t>
            </w: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2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That</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100" w:type="dxa"/>
            <w:vAlign w:val="bottom"/>
          </w:tcPr>
          <w:p>
            <w:pPr>
              <w:spacing w:after="0"/>
              <w:rPr>
                <w:sz w:val="10"/>
                <w:szCs w:val="10"/>
                <w:color w:val="auto"/>
              </w:rPr>
            </w:pPr>
          </w:p>
        </w:tc>
        <w:tc>
          <w:tcPr>
            <w:tcW w:w="104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That</w:t>
            </w:r>
          </w:p>
        </w:tc>
      </w:tr>
      <w:tr>
        <w:trPr>
          <w:trHeight w:val="122"/>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2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10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22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22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100" w:type="dxa"/>
            <w:vAlign w:val="bottom"/>
          </w:tcPr>
          <w:p>
            <w:pPr>
              <w:spacing w:after="0"/>
              <w:rPr>
                <w:sz w:val="10"/>
                <w:szCs w:val="10"/>
                <w:color w:val="auto"/>
              </w:rPr>
            </w:pPr>
          </w:p>
        </w:tc>
        <w:tc>
          <w:tcPr>
            <w:tcW w:w="104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r>
      <w:tr>
        <w:trPr>
          <w:trHeight w:val="110"/>
        </w:trPr>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220" w:type="dxa"/>
            <w:vAlign w:val="bottom"/>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100" w:type="dxa"/>
            <w:vAlign w:val="bottom"/>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100" w:type="dxa"/>
            <w:vAlign w:val="bottom"/>
          </w:tcPr>
          <w:p>
            <w:pPr>
              <w:spacing w:after="0"/>
              <w:rPr>
                <w:sz w:val="9"/>
                <w:szCs w:val="9"/>
                <w:color w:val="auto"/>
              </w:rPr>
            </w:pPr>
          </w:p>
        </w:tc>
        <w:tc>
          <w:tcPr>
            <w:tcW w:w="7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220" w:type="dxa"/>
            <w:vAlign w:val="bottom"/>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Expiration</w:t>
            </w:r>
          </w:p>
        </w:tc>
        <w:tc>
          <w:tcPr>
            <w:tcW w:w="120" w:type="dxa"/>
            <w:vAlign w:val="bottom"/>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Vested</w:t>
            </w:r>
          </w:p>
        </w:tc>
        <w:tc>
          <w:tcPr>
            <w:tcW w:w="100" w:type="dxa"/>
            <w:vAlign w:val="bottom"/>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Vested</w:t>
            </w:r>
          </w:p>
        </w:tc>
        <w:tc>
          <w:tcPr>
            <w:tcW w:w="220" w:type="dxa"/>
            <w:vAlign w:val="bottom"/>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Vested</w:t>
            </w:r>
          </w:p>
        </w:tc>
        <w:tc>
          <w:tcPr>
            <w:tcW w:w="100" w:type="dxa"/>
            <w:vAlign w:val="bottom"/>
          </w:tcPr>
          <w:p>
            <w:pPr>
              <w:spacing w:after="0"/>
              <w:rPr>
                <w:sz w:val="9"/>
                <w:szCs w:val="9"/>
                <w:color w:val="auto"/>
              </w:rPr>
            </w:pPr>
          </w:p>
        </w:tc>
        <w:tc>
          <w:tcPr>
            <w:tcW w:w="1040" w:type="dxa"/>
            <w:vAlign w:val="bottom"/>
            <w:gridSpan w:val="2"/>
          </w:tcPr>
          <w:p>
            <w:pPr>
              <w:jc w:val="center"/>
              <w:ind w:right="140"/>
              <w:spacing w:after="0" w:line="111" w:lineRule="exact"/>
              <w:rPr>
                <w:sz w:val="20"/>
                <w:szCs w:val="20"/>
                <w:color w:val="auto"/>
              </w:rPr>
            </w:pPr>
            <w:r>
              <w:rPr>
                <w:rFonts w:ascii="Times New Roman" w:cs="Times New Roman" w:eastAsia="Times New Roman" w:hAnsi="Times New Roman"/>
                <w:sz w:val="11"/>
                <w:szCs w:val="11"/>
                <w:b w:val="1"/>
                <w:bCs w:val="1"/>
                <w:color w:val="auto"/>
                <w:w w:val="94"/>
              </w:rPr>
              <w:t>Vested</w:t>
            </w:r>
          </w:p>
        </w:tc>
      </w:tr>
      <w:tr>
        <w:trPr>
          <w:trHeight w:val="133"/>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Exercisable</w:t>
            </w:r>
          </w:p>
        </w:tc>
        <w:tc>
          <w:tcPr>
            <w:tcW w:w="22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Unexercisable</w:t>
            </w:r>
          </w:p>
        </w:tc>
        <w:tc>
          <w:tcPr>
            <w:tcW w:w="940" w:type="dxa"/>
            <w:vAlign w:val="bottom"/>
            <w:gridSpan w:val="2"/>
          </w:tcPr>
          <w:p>
            <w:pPr>
              <w:jc w:val="center"/>
              <w:ind w:left="2"/>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860" w:type="dxa"/>
            <w:vAlign w:val="bottom"/>
            <w:gridSpan w:val="2"/>
          </w:tcPr>
          <w:p>
            <w:pPr>
              <w:jc w:val="center"/>
              <w:ind w:left="18"/>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1"/>
                <w:szCs w:val="11"/>
                <w:b w:val="1"/>
                <w:bCs w:val="1"/>
                <w:color w:val="auto"/>
                <w:w w:val="91"/>
              </w:rPr>
              <w:t>Date</w:t>
            </w:r>
            <w:r>
              <w:rPr>
                <w:rFonts w:ascii="Times New Roman" w:cs="Times New Roman" w:eastAsia="Times New Roman" w:hAnsi="Times New Roman"/>
                <w:sz w:val="14"/>
                <w:szCs w:val="14"/>
                <w:b w:val="1"/>
                <w:bCs w:val="1"/>
                <w:color w:val="auto"/>
                <w:w w:val="91"/>
                <w:vertAlign w:val="superscript"/>
              </w:rPr>
              <w:t>(2)</w:t>
            </w:r>
          </w:p>
        </w:tc>
        <w:tc>
          <w:tcPr>
            <w:tcW w:w="960" w:type="dxa"/>
            <w:vAlign w:val="bottom"/>
            <w:gridSpan w:val="2"/>
          </w:tcPr>
          <w:p>
            <w:pPr>
              <w:jc w:val="center"/>
              <w:ind w:left="22"/>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960" w:type="dxa"/>
            <w:vAlign w:val="bottom"/>
            <w:gridSpan w:val="2"/>
          </w:tcPr>
          <w:p>
            <w:pPr>
              <w:jc w:val="center"/>
              <w:ind w:left="20"/>
              <w:spacing w:after="0" w:line="133" w:lineRule="exact"/>
              <w:rPr>
                <w:sz w:val="20"/>
                <w:szCs w:val="20"/>
                <w:color w:val="auto"/>
              </w:rPr>
            </w:pPr>
            <w:r>
              <w:rPr>
                <w:rFonts w:ascii="Times New Roman" w:cs="Times New Roman" w:eastAsia="Times New Roman" w:hAnsi="Times New Roman"/>
                <w:sz w:val="11"/>
                <w:szCs w:val="11"/>
                <w:b w:val="1"/>
                <w:bCs w:val="1"/>
                <w:color w:val="auto"/>
                <w:w w:val="84"/>
              </w:rPr>
              <w:t>($)</w:t>
            </w:r>
            <w:r>
              <w:rPr>
                <w:rFonts w:ascii="Times New Roman" w:cs="Times New Roman" w:eastAsia="Times New Roman" w:hAnsi="Times New Roman"/>
                <w:sz w:val="14"/>
                <w:szCs w:val="14"/>
                <w:b w:val="1"/>
                <w:bCs w:val="1"/>
                <w:color w:val="auto"/>
                <w:w w:val="84"/>
                <w:vertAlign w:val="superscript"/>
              </w:rPr>
              <w:t>(3)</w:t>
            </w:r>
          </w:p>
        </w:tc>
        <w:tc>
          <w:tcPr>
            <w:tcW w:w="1080" w:type="dxa"/>
            <w:vAlign w:val="bottom"/>
            <w:gridSpan w:val="2"/>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20" w:type="dxa"/>
            <w:vAlign w:val="bottom"/>
            <w:gridSpan w:val="2"/>
          </w:tcPr>
          <w:p>
            <w:pPr>
              <w:jc w:val="center"/>
              <w:ind w:left="22"/>
              <w:spacing w:after="0" w:line="133" w:lineRule="exact"/>
              <w:rPr>
                <w:sz w:val="20"/>
                <w:szCs w:val="20"/>
                <w:color w:val="auto"/>
              </w:rPr>
            </w:pPr>
            <w:r>
              <w:rPr>
                <w:rFonts w:ascii="Times New Roman" w:cs="Times New Roman" w:eastAsia="Times New Roman" w:hAnsi="Times New Roman"/>
                <w:sz w:val="11"/>
                <w:szCs w:val="11"/>
                <w:b w:val="1"/>
                <w:bCs w:val="1"/>
                <w:color w:val="auto"/>
                <w:w w:val="92"/>
              </w:rPr>
              <w:t>($)</w:t>
            </w:r>
            <w:r>
              <w:rPr>
                <w:rFonts w:ascii="Times New Roman" w:cs="Times New Roman" w:eastAsia="Times New Roman" w:hAnsi="Times New Roman"/>
                <w:sz w:val="14"/>
                <w:szCs w:val="14"/>
                <w:b w:val="1"/>
                <w:bCs w:val="1"/>
                <w:color w:val="auto"/>
                <w:w w:val="92"/>
                <w:vertAlign w:val="superscript"/>
              </w:rPr>
              <w:t>(3)</w:t>
            </w:r>
          </w:p>
        </w:tc>
        <w:tc>
          <w:tcPr>
            <w:tcW w:w="120" w:type="dxa"/>
            <w:vAlign w:val="bottom"/>
          </w:tcPr>
          <w:p>
            <w:pPr>
              <w:spacing w:after="0"/>
              <w:rPr>
                <w:sz w:val="11"/>
                <w:szCs w:val="11"/>
                <w:color w:val="auto"/>
              </w:rPr>
            </w:pPr>
          </w:p>
        </w:tc>
      </w:tr>
      <w:tr>
        <w:trPr>
          <w:trHeight w:val="137"/>
        </w:trPr>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 (a)</w:t>
            </w:r>
          </w:p>
        </w:tc>
        <w:tc>
          <w:tcPr>
            <w:tcW w:w="100" w:type="dxa"/>
            <w:vAlign w:val="bottom"/>
          </w:tcPr>
          <w:p>
            <w:pPr>
              <w:spacing w:after="0"/>
              <w:rPr>
                <w:sz w:val="11"/>
                <w:szCs w:val="11"/>
                <w:color w:val="auto"/>
              </w:rPr>
            </w:pPr>
          </w:p>
        </w:tc>
        <w:tc>
          <w:tcPr>
            <w:tcW w:w="6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0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(b)</w:t>
            </w:r>
          </w:p>
        </w:tc>
        <w:tc>
          <w:tcPr>
            <w:tcW w:w="22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10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(d)</w:t>
            </w:r>
          </w:p>
        </w:tc>
        <w:tc>
          <w:tcPr>
            <w:tcW w:w="100" w:type="dxa"/>
            <w:vAlign w:val="bottom"/>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w:t>
            </w:r>
          </w:p>
        </w:tc>
        <w:tc>
          <w:tcPr>
            <w:tcW w:w="22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w:t>
            </w:r>
          </w:p>
        </w:tc>
        <w:tc>
          <w:tcPr>
            <w:tcW w:w="12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(g)</w:t>
            </w:r>
          </w:p>
        </w:tc>
        <w:tc>
          <w:tcPr>
            <w:tcW w:w="10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(h)</w:t>
            </w:r>
          </w:p>
        </w:tc>
        <w:tc>
          <w:tcPr>
            <w:tcW w:w="22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w:t>
            </w:r>
          </w:p>
        </w:tc>
        <w:tc>
          <w:tcPr>
            <w:tcW w:w="10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(j)</w:t>
            </w:r>
          </w:p>
        </w:tc>
        <w:tc>
          <w:tcPr>
            <w:tcW w:w="120" w:type="dxa"/>
            <w:vAlign w:val="bottom"/>
          </w:tcPr>
          <w:p>
            <w:pPr>
              <w:spacing w:after="0"/>
              <w:rPr>
                <w:sz w:val="11"/>
                <w:szCs w:val="11"/>
                <w:color w:val="auto"/>
              </w:rPr>
            </w:pPr>
          </w:p>
        </w:tc>
      </w:tr>
      <w:tr>
        <w:trPr>
          <w:trHeight w:val="129"/>
        </w:trPr>
        <w:tc>
          <w:tcPr>
            <w:tcW w:w="13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12/16/2021</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1"/>
                <w:szCs w:val="11"/>
                <w:color w:val="auto"/>
              </w:rPr>
              <w:t>94,000</w:t>
            </w:r>
            <w:r>
              <w:rPr>
                <w:rFonts w:ascii="Times New Roman" w:cs="Times New Roman" w:eastAsia="Times New Roman" w:hAnsi="Times New Roman"/>
                <w:sz w:val="14"/>
                <w:szCs w:val="14"/>
                <w:color w:val="auto"/>
                <w:vertAlign w:val="superscript"/>
              </w:rPr>
              <w:t>(4)</w:t>
            </w:r>
          </w:p>
        </w:tc>
        <w:tc>
          <w:tcPr>
            <w:tcW w:w="8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13.22</w:t>
            </w:r>
          </w:p>
        </w:tc>
        <w:tc>
          <w:tcPr>
            <w:tcW w:w="11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12/15/2029</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12/16/2021</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52,950</w:t>
            </w:r>
            <w:r>
              <w:rPr>
                <w:rFonts w:ascii="Times New Roman" w:cs="Times New Roman" w:eastAsia="Times New Roman" w:hAnsi="Times New Roman"/>
                <w:sz w:val="15"/>
                <w:szCs w:val="15"/>
                <w:color w:val="auto"/>
                <w:vertAlign w:val="superscript"/>
              </w:rPr>
              <w:t>(5)</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49,244</w:t>
            </w:r>
          </w:p>
        </w:tc>
        <w:tc>
          <w:tcPr>
            <w:tcW w:w="120" w:type="dxa"/>
            <w:vAlign w:val="bottom"/>
          </w:tcPr>
          <w:p>
            <w:pPr>
              <w:spacing w:after="0"/>
              <w:rPr>
                <w:sz w:val="11"/>
                <w:szCs w:val="1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8/15/2022</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210,000</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60,000</w:t>
            </w:r>
            <w:r>
              <w:rPr>
                <w:rFonts w:ascii="Times New Roman" w:cs="Times New Roman" w:eastAsia="Times New Roman" w:hAnsi="Times New Roman"/>
                <w:sz w:val="15"/>
                <w:szCs w:val="15"/>
                <w:color w:val="auto"/>
                <w:vertAlign w:val="superscript"/>
              </w:rPr>
              <w:t>(7)</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4.91</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8/14/2030</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8/15/2022</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210,000</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60,000</w:t>
            </w:r>
            <w:r>
              <w:rPr>
                <w:rFonts w:ascii="Times New Roman" w:cs="Times New Roman" w:eastAsia="Times New Roman" w:hAnsi="Times New Roman"/>
                <w:sz w:val="15"/>
                <w:szCs w:val="15"/>
                <w:color w:val="auto"/>
                <w:vertAlign w:val="superscript"/>
              </w:rPr>
              <w:t>(8)</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4.91</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8/14/2030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8/15/2022</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33,750</w:t>
            </w:r>
            <w:r>
              <w:rPr>
                <w:rFonts w:ascii="Times New Roman" w:cs="Times New Roman" w:eastAsia="Times New Roman" w:hAnsi="Times New Roman"/>
                <w:sz w:val="15"/>
                <w:szCs w:val="15"/>
                <w:color w:val="auto"/>
                <w:vertAlign w:val="superscript"/>
              </w:rPr>
              <w:t>(9)</w:t>
            </w:r>
          </w:p>
        </w:tc>
        <w:tc>
          <w:tcPr>
            <w:tcW w:w="9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31,388</w:t>
            </w: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8/15/2022</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33,750</w:t>
            </w:r>
            <w:r>
              <w:rPr>
                <w:rFonts w:ascii="Times New Roman" w:cs="Times New Roman" w:eastAsia="Times New Roman" w:hAnsi="Times New Roman"/>
                <w:sz w:val="15"/>
                <w:szCs w:val="15"/>
                <w:color w:val="auto"/>
                <w:vertAlign w:val="superscript"/>
              </w:rPr>
              <w:t>(10)</w:t>
            </w:r>
          </w:p>
        </w:tc>
        <w:tc>
          <w:tcPr>
            <w:tcW w:w="9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31,388</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12/13/2023</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83,333</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166,667</w:t>
            </w:r>
            <w:r>
              <w:rPr>
                <w:rFonts w:ascii="Times New Roman" w:cs="Times New Roman" w:eastAsia="Times New Roman" w:hAnsi="Times New Roman"/>
                <w:sz w:val="15"/>
                <w:szCs w:val="15"/>
                <w:color w:val="auto"/>
                <w:vertAlign w:val="superscript"/>
              </w:rPr>
              <w:t>(7)</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12/12/2031</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13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12/13/2023</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250,000</w:t>
            </w:r>
            <w:r>
              <w:rPr>
                <w:rFonts w:ascii="Times New Roman" w:cs="Times New Roman" w:eastAsia="Times New Roman" w:hAnsi="Times New Roman"/>
                <w:sz w:val="15"/>
                <w:szCs w:val="15"/>
                <w:color w:val="auto"/>
                <w:vertAlign w:val="superscript"/>
              </w:rPr>
              <w:t>(11)</w:t>
            </w:r>
          </w:p>
        </w:tc>
        <w:tc>
          <w:tcPr>
            <w:tcW w:w="8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0.50</w:t>
            </w: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12/12/2031</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CFF0FC"/>
              </w:rPr>
              <w:t>x</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12/13/2024</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375,000</w:t>
            </w:r>
            <w:r>
              <w:rPr>
                <w:rFonts w:ascii="Times New Roman" w:cs="Times New Roman" w:eastAsia="Times New Roman" w:hAnsi="Times New Roman"/>
                <w:sz w:val="15"/>
                <w:szCs w:val="15"/>
                <w:color w:val="auto"/>
                <w:vertAlign w:val="superscript"/>
              </w:rPr>
              <w:t>(6)</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11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12/12/2032</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220"/>
        </w:trPr>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FFFFFF"/>
              </w:rPr>
              <w:t>x</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12/13/2024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375,000</w:t>
            </w:r>
            <w:r>
              <w:rPr>
                <w:rFonts w:ascii="Times New Roman" w:cs="Times New Roman" w:eastAsia="Times New Roman" w:hAnsi="Times New Roman"/>
                <w:sz w:val="16"/>
                <w:szCs w:val="16"/>
                <w:color w:val="auto"/>
                <w:vertAlign w:val="superscript"/>
              </w:rPr>
              <w:t>(12)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12/12/2032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162" w:lineRule="exact"/>
        <w:rPr>
          <w:sz w:val="20"/>
          <w:szCs w:val="20"/>
          <w:color w:val="auto"/>
        </w:rPr>
      </w:pPr>
    </w:p>
    <w:p>
      <w:pPr>
        <w:jc w:val="both"/>
        <w:ind w:left="760" w:right="320" w:hanging="378"/>
        <w:spacing w:after="0" w:line="241" w:lineRule="auto"/>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was appointed our Interim Chief Financial Officer as of April 17, 2023. Ms. Gardiner is a partner at FLG Partners and provides services as Interim Chief Financial Officer as an outside consultant pursuant to a consulting agreement between the Company and FLG Partners and is not employed or directly compensated by the Company. Ms. Gardiner has not received any equity awards.</w:t>
      </w:r>
    </w:p>
    <w:p>
      <w:pPr>
        <w:spacing w:after="0" w:line="14" w:lineRule="exact"/>
        <w:rPr>
          <w:rFonts w:ascii="Times New Roman" w:cs="Times New Roman" w:eastAsia="Times New Roman" w:hAnsi="Times New Roman"/>
          <w:sz w:val="14"/>
          <w:szCs w:val="14"/>
          <w:color w:val="auto"/>
        </w:rPr>
      </w:pPr>
    </w:p>
    <w:p>
      <w:pPr>
        <w:ind w:left="760" w:right="140" w:hanging="378"/>
        <w:spacing w:after="0" w:line="241" w:lineRule="auto"/>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date shown is the normal expiration date occurring on the eighth anniversary of the grant date, which is the latest date that the stock options may be exercised. Stock options may terminate earlier in certain circumstances, such as in connection with an NEO’s termination of employment or in connection with certain corporate transactions, including a change of control.</w:t>
      </w:r>
    </w:p>
    <w:p>
      <w:pPr>
        <w:spacing w:after="0" w:line="14"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market value is calculated based on $0.93 per share, the closing price of our common stock on December 31, 2024</w:t>
      </w:r>
    </w:p>
    <w:p>
      <w:pPr>
        <w:spacing w:after="0" w:line="41" w:lineRule="exact"/>
        <w:rPr>
          <w:rFonts w:ascii="Times New Roman" w:cs="Times New Roman" w:eastAsia="Times New Roman" w:hAnsi="Times New Roman"/>
          <w:sz w:val="14"/>
          <w:szCs w:val="14"/>
          <w:color w:val="auto"/>
        </w:rPr>
      </w:pPr>
    </w:p>
    <w:p>
      <w:pPr>
        <w:ind w:left="760" w:right="20" w:hanging="378"/>
        <w:spacing w:after="0" w:line="261" w:lineRule="auto"/>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stock options are subject to both a four-year time-based vesting requirement (monthly pro-rata vesting) and the achievement of specified performance criteria within five years of grant, subject to the executive’s continued service through each vesting date.</w:t>
      </w:r>
    </w:p>
    <w:p>
      <w:pPr>
        <w:ind w:left="760" w:right="360" w:hanging="378"/>
        <w:spacing w:after="0" w:line="261" w:lineRule="auto"/>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RSUs are subject to both a three year time-based vesting requirement (quarterly pro-rata vesting) and the achievement of specified performance criteria within five years of grant, subject to the executive’s continued service through each vesting date.</w:t>
      </w:r>
    </w:p>
    <w:p>
      <w:pPr>
        <w:ind w:left="760" w:hanging="378"/>
        <w:spacing w:after="0"/>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vest pro-rata on a monthly basis over a period of four years from the date of grant, subject to the executive’s continued service through each vesting date.</w:t>
      </w:r>
    </w:p>
    <w:p>
      <w:pPr>
        <w:spacing w:after="0" w:line="4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vest pro-rata on a monthly basis over a period of three years from the date of grant, subject to the executive’s continued service through each vesting date.</w:t>
      </w:r>
    </w:p>
    <w:p>
      <w:pPr>
        <w:spacing w:after="0" w:line="41" w:lineRule="exact"/>
        <w:rPr>
          <w:rFonts w:ascii="Times New Roman" w:cs="Times New Roman" w:eastAsia="Times New Roman" w:hAnsi="Times New Roman"/>
          <w:sz w:val="14"/>
          <w:szCs w:val="14"/>
          <w:color w:val="auto"/>
        </w:rPr>
      </w:pPr>
    </w:p>
    <w:p>
      <w:pPr>
        <w:ind w:left="760" w:right="60" w:hanging="378"/>
        <w:spacing w:after="0" w:line="236" w:lineRule="auto"/>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stock options are subject to both a three-year time-based vesting requirement (monthly pro-rata vesting) and the achievement of specified performance criteria within three years of grant, subject to the executive’s continued service through each vesting date. The Organization and Compensation Committee determined on November 18, 2024 that all required performance criteria had been achieved. In accordance with the terms of the grant, on December 13, 2024 approximately 3/4th of the performance-based stock options granted vested, followed by continued monthly pro-rata vesting of the remainder until August 15, 2025.</w:t>
      </w:r>
    </w:p>
    <w:p>
      <w:pPr>
        <w:spacing w:after="0" w:line="14"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pro-rata on a quarterly basis over a three-year period from the date of grant.</w:t>
      </w:r>
    </w:p>
    <w:p>
      <w:pPr>
        <w:spacing w:after="0" w:line="41" w:lineRule="exact"/>
        <w:rPr>
          <w:rFonts w:ascii="Times New Roman" w:cs="Times New Roman" w:eastAsia="Times New Roman" w:hAnsi="Times New Roman"/>
          <w:sz w:val="14"/>
          <w:szCs w:val="14"/>
          <w:color w:val="auto"/>
        </w:rPr>
      </w:pPr>
    </w:p>
    <w:p>
      <w:pPr>
        <w:ind w:left="760" w:right="60" w:hanging="378"/>
        <w:spacing w:after="0" w:line="236" w:lineRule="auto"/>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RSUs are subject to both a three year time-based vesting requirement (quarterly pro-rata vesting) and the achievement of specified performance criteria within three years of grant, subject to the executive’s continued service through each vesting date. The Organization and Compensation Committee determined on November 18, 2024 that all required performance criteria had been achieved. In accordance with the terms of the grant, on December 13, 2024 approximately 3/4th of the performance-based RSUs granted vested, followed by continued quarterly pro-rata vesting of the remainder until August 15, 2025.</w:t>
      </w:r>
    </w:p>
    <w:p>
      <w:pPr>
        <w:spacing w:after="0" w:line="14" w:lineRule="exact"/>
        <w:rPr>
          <w:rFonts w:ascii="Times New Roman" w:cs="Times New Roman" w:eastAsia="Times New Roman" w:hAnsi="Times New Roman"/>
          <w:sz w:val="14"/>
          <w:szCs w:val="14"/>
          <w:color w:val="auto"/>
        </w:rPr>
      </w:pPr>
    </w:p>
    <w:p>
      <w:pPr>
        <w:ind w:left="760" w:right="420" w:hanging="378"/>
        <w:spacing w:after="0" w:line="261" w:lineRule="auto"/>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stock options are subject to both a three-year time-based vesting requirement (monthly pro-rata vesting) and the achievement of specified performance criteria within three years of grant, subject to the executive’s continued service through each vesting date.</w:t>
      </w:r>
    </w:p>
    <w:p>
      <w:pPr>
        <w:ind w:left="760" w:right="40" w:hanging="378"/>
        <w:spacing w:after="0" w:line="261" w:lineRule="auto"/>
        <w:tabs>
          <w:tab w:leader="none" w:pos="7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performance-based stock options are subject to both a five-year time-based vesting requirement (monthly pro-rata vesting) and the achievement of specified performance criteria within five years of grant, subject to the executive’s continued service through each vesting date.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2024</w:t>
      </w:r>
    </w:p>
    <w:p>
      <w:pPr>
        <w:spacing w:after="0" w:line="202"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The following table includes certain information with respect to the exercise of stock options and vesting of stock awards held by the NEOs during the fiscal year ended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FFFFFF"/>
              </w:rPr>
              <w:t>x</w:t>
            </w:r>
          </w:p>
        </w:tc>
        <w:tc>
          <w:tcPr>
            <w:tcW w:w="2640" w:type="dxa"/>
            <w:vAlign w:val="bottom"/>
            <w:tcBorders>
              <w:bottom w:val="single" w:sz="8" w:color="auto"/>
            </w:tcBorders>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tcBorders>
              <w:bottom w:val="single" w:sz="8" w:color="auto"/>
            </w:tcBorders>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120" w:type="dxa"/>
            <w:vAlign w:val="bottom"/>
            <w:vMerge w:val="restart"/>
          </w:tcPr>
          <w:p>
            <w:pPr>
              <w:spacing w:after="0"/>
              <w:rPr>
                <w:sz w:val="10"/>
                <w:szCs w:val="10"/>
                <w:color w:val="auto"/>
              </w:rPr>
            </w:pPr>
          </w:p>
        </w:tc>
        <w:tc>
          <w:tcPr>
            <w:tcW w:w="2640" w:type="dxa"/>
            <w:vAlign w:val="bottom"/>
            <w:gridSpan w:val="3"/>
          </w:tcPr>
          <w:p>
            <w:pPr>
              <w:ind w:left="560"/>
              <w:spacing w:after="0" w:line="115"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480" w:type="dxa"/>
            <w:vAlign w:val="bottom"/>
          </w:tcPr>
          <w:p>
            <w:pPr>
              <w:jc w:val="right"/>
              <w:ind w:right="177"/>
              <w:spacing w:after="0" w:line="115"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200" w:type="dxa"/>
            <w:vAlign w:val="bottom"/>
          </w:tcPr>
          <w:p>
            <w:pPr>
              <w:spacing w:after="0"/>
              <w:rPr>
                <w:sz w:val="10"/>
                <w:szCs w:val="10"/>
                <w:color w:val="auto"/>
              </w:rPr>
            </w:pPr>
          </w:p>
        </w:tc>
        <w:tc>
          <w:tcPr>
            <w:tcW w:w="2200" w:type="dxa"/>
            <w:vAlign w:val="bottom"/>
          </w:tcPr>
          <w:p>
            <w:pPr>
              <w:jc w:val="right"/>
              <w:ind w:right="470"/>
              <w:spacing w:after="0" w:line="115"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jc w:val="right"/>
              <w:ind w:right="197"/>
              <w:spacing w:after="0" w:line="115" w:lineRule="exact"/>
              <w:rPr>
                <w:sz w:val="20"/>
                <w:szCs w:val="20"/>
                <w:color w:val="auto"/>
              </w:rPr>
            </w:pPr>
            <w:r>
              <w:rPr>
                <w:rFonts w:ascii="Times New Roman" w:cs="Times New Roman" w:eastAsia="Times New Roman" w:hAnsi="Times New Roman"/>
                <w:sz w:val="13"/>
                <w:szCs w:val="13"/>
                <w:b w:val="1"/>
                <w:bCs w:val="1"/>
                <w:color w:val="auto"/>
              </w:rPr>
              <w:t>Value Realized 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6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2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Acquired on Exercise (#) (b)</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17"/>
              <w:spacing w:after="0" w:line="175" w:lineRule="exact"/>
              <w:rPr>
                <w:sz w:val="20"/>
                <w:szCs w:val="20"/>
                <w:color w:val="auto"/>
              </w:rPr>
            </w:pPr>
            <w:r>
              <w:rPr>
                <w:rFonts w:ascii="Times New Roman" w:cs="Times New Roman" w:eastAsia="Times New Roman" w:hAnsi="Times New Roman"/>
                <w:sz w:val="14"/>
                <w:szCs w:val="14"/>
                <w:b w:val="1"/>
                <w:bCs w:val="1"/>
                <w:color w:val="auto"/>
              </w:rPr>
              <w:t>Exercise ($) (c)</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5"/>
                <w:szCs w:val="15"/>
                <w:color w:val="auto"/>
              </w:rPr>
            </w:pPr>
          </w:p>
        </w:tc>
        <w:tc>
          <w:tcPr>
            <w:tcW w:w="2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Acquired on Vesting (#) (d)</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7"/>
              <w:spacing w:after="0" w:line="175" w:lineRule="exact"/>
              <w:rPr>
                <w:sz w:val="20"/>
                <w:szCs w:val="20"/>
                <w:color w:val="auto"/>
              </w:rPr>
            </w:pPr>
            <w:r>
              <w:rPr>
                <w:rFonts w:ascii="Times New Roman" w:cs="Times New Roman" w:eastAsia="Times New Roman" w:hAnsi="Times New Roman"/>
                <w:sz w:val="14"/>
                <w:szCs w:val="14"/>
                <w:b w:val="1"/>
                <w:bCs w:val="1"/>
                <w:color w:val="auto"/>
              </w:rPr>
              <w:t>Vesting ($) (e)</w:t>
            </w:r>
            <w:r>
              <w:rPr>
                <w:rFonts w:ascii="Times New Roman" w:cs="Times New Roman" w:eastAsia="Times New Roman" w:hAnsi="Times New Roman"/>
                <w:sz w:val="19"/>
                <w:szCs w:val="19"/>
                <w:b w:val="1"/>
                <w:bCs w:val="1"/>
                <w:color w:val="auto"/>
                <w:vertAlign w:val="superscript"/>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Howard W. Robin</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486,861</w:t>
            </w:r>
          </w:p>
        </w:tc>
        <w:tc>
          <w:tcPr>
            <w:tcW w:w="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525,301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Sandra Gardiner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 A. Wilson</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192,367</w:t>
            </w:r>
          </w:p>
        </w:tc>
        <w:tc>
          <w:tcPr>
            <w:tcW w:w="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Jonathan Zalevsky, Ph.D.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163,900</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60" w:right="160" w:hanging="378"/>
        <w:spacing w:after="0" w:line="233" w:lineRule="auto"/>
        <w:tabs>
          <w:tab w:leader="none" w:pos="7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upon the exercise of stock options is calculated by (a) subtracting the stock option exercise price from the market price on the date of exercise to get the realized value per share, and (b) multiplying the realized value per share by the number of shares underlying the stock options exercised.</w:t>
      </w:r>
    </w:p>
    <w:p>
      <w:pPr>
        <w:ind w:left="760" w:hanging="378"/>
        <w:spacing w:after="0"/>
        <w:tabs>
          <w:tab w:leader="none" w:pos="7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upon vesting of RSUs is calculated by multiplying the number of RSUs vested by the market price on the vest date.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89"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The following section describes the benefits that may become payable to the employee NEOs in connection with their termination of employment with us or in connection with a change of control. Please see “Compensation Discussion and Analysis—Severance and Change of Control Benefits” for a discussion of how the payments and benefits presented below were determined.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Benefits—No Change of Control</w:t>
      </w:r>
    </w:p>
    <w:p>
      <w:pPr>
        <w:spacing w:after="0" w:line="189"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Mr. Robin is a party to certain letter agreement, which includes provisions for severance benefits upon certain terminations of employment that are not related to a change of control. Upon a termination of employment by us without Cause or by the executive for a Good Reason Resignation (as defined in the CIC Plan and described below), Mr. Robin would be entitled to the following severance benefits: (i) a cash severance payment equal to his total annual cash compensation target (including base salary and the target value of his annual incentive bonus, as such bonus target may be adjusted downward to take into account our performance through the fiscal quarter preceding termination), (ii) an extension of the exercise period for the vested and unexercised portion of all outstanding stock options held by him for up to eighteen (18) months following termination and (iii) payment of all applicable COBRA premiums for one year following the termination date. In order to receive the severance benefits described above, Mr. Robin must first execute an effective waiver and release of claims in favor of us. Mr. Robin’s cash severance payment would ordinarily be paid in a lump-sum within 60 days following the executive’s separation from service, although payment will be delayed to the extent required to comply with Section 409A of the Internal Revenue Code.</w:t>
      </w:r>
    </w:p>
    <w:p>
      <w:pPr>
        <w:spacing w:after="0" w:line="154"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Neither Dr. Zalevsky nor Mr. Wilson is a party to a letter agreement or our standard form executive employment agreement that provides for severance benefits upon certain terminations of employment that are not related to a change of control. Upon a termination of employment by us without Cause or by the executive for a Good Reason Resignation (as defined in the CIC Plan and described below), Dr. Zalevsky and Mr. Wilson would be entitled to the following severance benefits: (i) a negotiated cash severance payment, (ii) an extension of the exercise period for the vested and unexercised portion of all outstanding stock options held by them for up to three (3) months following termination and (iii) payment of all applicable COBRA premiums for the same period as the severance benefit following the termination date. In order to receive the severance benefit described above, Dr. Zalevsky and Mr. Wilson must first execute an effective waiver and release of claims in favor of us. Dr. Zalevsky’s and Mr. Wilson’s cash severance payment would ordinarily be paid in a lump-sum within 60 days following their separation from service, although payment will be delayed to the extent required to comply with Section 409A of the Internal Revenue Code.</w:t>
      </w:r>
    </w:p>
    <w:p>
      <w:pPr>
        <w:spacing w:after="0" w:line="161"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If an NEO’s employment with us terminates due to death, the executive’s outstanding unvested stock options will become fully vested and will be exercisable for up to eighteen months following termination pursuant to the terms of the Company’s equity incentive compensation plans and agreement, and the NEO’s RSUs will become fully vested and released. In addition, in the case of Mr. Robin, the executive’s estate would be entitled to a pro-rata portion of the target annual incentive bonus for the year in which his death occurred.</w:t>
      </w:r>
    </w:p>
    <w:p>
      <w:pPr>
        <w:spacing w:after="0" w:line="139" w:lineRule="exact"/>
        <w:rPr>
          <w:sz w:val="20"/>
          <w:szCs w:val="20"/>
          <w:color w:val="auto"/>
        </w:rPr>
      </w:pPr>
    </w:p>
    <w:p>
      <w:pPr>
        <w:ind w:right="180" w:firstLine="644"/>
        <w:spacing w:after="0" w:line="277" w:lineRule="auto"/>
        <w:rPr>
          <w:sz w:val="20"/>
          <w:szCs w:val="20"/>
          <w:color w:val="auto"/>
        </w:rPr>
      </w:pPr>
      <w:r>
        <w:rPr>
          <w:rFonts w:ascii="Times New Roman" w:cs="Times New Roman" w:eastAsia="Times New Roman" w:hAnsi="Times New Roman"/>
          <w:sz w:val="17"/>
          <w:szCs w:val="17"/>
          <w:color w:val="auto"/>
        </w:rPr>
        <w:t>If an NEO terminates employment with us as a result of disability, vested stock options will be exercisable for up to twelve months following termination pursuant to the terms of the Company’s stock option agreement. For Mr. Robin, he is also entitled to have 50% of outstanding unvested stock options become fully vested upon disability for stock options granted under the equity plan in place at time of grant in accordance with the terms and conditions of his offer letter agreement. The NEO’s unvested RSUs are forfeited. In addition, pursuant to his offer letter agreement, Mr. Robin would be entitled to receive a pro-rata portion of his target annual incentive bonus for the year of termination in the event of a termination due to disability.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80" w:firstLine="644"/>
        <w:spacing w:after="0" w:line="282" w:lineRule="auto"/>
        <w:rPr>
          <w:sz w:val="20"/>
          <w:szCs w:val="20"/>
          <w:color w:val="auto"/>
        </w:rPr>
      </w:pPr>
      <w:r>
        <w:rPr>
          <w:rFonts w:ascii="Times New Roman" w:cs="Times New Roman" w:eastAsia="Times New Roman" w:hAnsi="Times New Roman"/>
          <w:sz w:val="18"/>
          <w:szCs w:val="18"/>
          <w:color w:val="auto"/>
        </w:rPr>
        <w:t>Pursuant to our standard form employment agreement, following a termination of employment, each NEO will be subject to an indefinite restriction on the disclosure of our confidential information and a one-year non-solicitation restriction covering our customers and employees.</w:t>
      </w:r>
    </w:p>
    <w:p>
      <w:pPr>
        <w:spacing w:after="0" w:line="135" w:lineRule="exact"/>
        <w:rPr>
          <w:sz w:val="20"/>
          <w:szCs w:val="20"/>
          <w:color w:val="auto"/>
        </w:rPr>
      </w:pPr>
    </w:p>
    <w:p>
      <w:pPr>
        <w:ind w:right="600" w:firstLine="644"/>
        <w:spacing w:after="0" w:line="282" w:lineRule="auto"/>
        <w:rPr>
          <w:sz w:val="20"/>
          <w:szCs w:val="20"/>
          <w:color w:val="auto"/>
        </w:rPr>
      </w:pPr>
      <w:r>
        <w:rPr>
          <w:rFonts w:ascii="Times New Roman" w:cs="Times New Roman" w:eastAsia="Times New Roman" w:hAnsi="Times New Roman"/>
          <w:sz w:val="18"/>
          <w:szCs w:val="18"/>
          <w:color w:val="auto"/>
        </w:rPr>
        <w:t>The following table lists the estimated amounts that would become payable to each of the NEOs under the circumstances described above, assuming that the applicable triggering event occurred on December 31, 2024.</w:t>
      </w:r>
    </w:p>
    <w:p>
      <w:pPr>
        <w:spacing w:after="0" w:line="148"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Estimated Value of</w:t>
            </w:r>
          </w:p>
        </w:tc>
        <w:tc>
          <w:tcPr>
            <w:tcW w:w="200" w:type="dxa"/>
            <w:vAlign w:val="bottom"/>
          </w:tcPr>
          <w:p>
            <w:pPr>
              <w:spacing w:after="0"/>
              <w:rPr>
                <w:sz w:val="11"/>
                <w:szCs w:val="11"/>
                <w:color w:val="auto"/>
              </w:rPr>
            </w:pPr>
          </w:p>
        </w:tc>
        <w:tc>
          <w:tcPr>
            <w:tcW w:w="156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Estimated Value of</w:t>
            </w:r>
          </w:p>
        </w:tc>
        <w:tc>
          <w:tcPr>
            <w:tcW w:w="200" w:type="dxa"/>
            <w:vAlign w:val="bottom"/>
          </w:tcPr>
          <w:p>
            <w:pPr>
              <w:spacing w:after="0"/>
              <w:rPr>
                <w:sz w:val="11"/>
                <w:szCs w:val="11"/>
                <w:color w:val="auto"/>
              </w:rPr>
            </w:pPr>
          </w:p>
        </w:tc>
        <w:tc>
          <w:tcPr>
            <w:tcW w:w="1860" w:type="dxa"/>
            <w:vAlign w:val="bottom"/>
          </w:tcPr>
          <w:p>
            <w:pPr>
              <w:jc w:val="right"/>
              <w:ind w:right="437"/>
              <w:spacing w:after="0"/>
              <w:rPr>
                <w:sz w:val="20"/>
                <w:szCs w:val="20"/>
                <w:color w:val="auto"/>
              </w:rPr>
            </w:pPr>
            <w:r>
              <w:rPr>
                <w:rFonts w:ascii="Times New Roman" w:cs="Times New Roman" w:eastAsia="Times New Roman" w:hAnsi="Times New Roman"/>
                <w:sz w:val="11"/>
                <w:szCs w:val="11"/>
                <w:b w:val="1"/>
                <w:bCs w:val="1"/>
                <w:color w:val="auto"/>
              </w:rPr>
              <w:t>Estimated Value of</w:t>
            </w:r>
          </w:p>
        </w:tc>
        <w:tc>
          <w:tcPr>
            <w:tcW w:w="180" w:type="dxa"/>
            <w:vAlign w:val="bottom"/>
          </w:tcPr>
          <w:p>
            <w:pPr>
              <w:spacing w:after="0"/>
              <w:rPr>
                <w:sz w:val="11"/>
                <w:szCs w:val="11"/>
                <w:color w:val="auto"/>
              </w:rPr>
            </w:pPr>
          </w:p>
        </w:tc>
        <w:tc>
          <w:tcPr>
            <w:tcW w:w="140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Estimated Value of</w:t>
            </w: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2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Executive &amp; Triggering Event</w:t>
            </w:r>
          </w:p>
        </w:tc>
        <w:tc>
          <w:tcPr>
            <w:tcW w:w="100" w:type="dxa"/>
            <w:vAlign w:val="bottom"/>
          </w:tcPr>
          <w:p>
            <w:pPr>
              <w:spacing w:after="0"/>
              <w:rPr>
                <w:sz w:val="12"/>
                <w:szCs w:val="12"/>
                <w:color w:val="auto"/>
              </w:rPr>
            </w:pP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Cash Severance ($)</w:t>
            </w:r>
          </w:p>
        </w:tc>
        <w:tc>
          <w:tcPr>
            <w:tcW w:w="200" w:type="dxa"/>
            <w:vAlign w:val="bottom"/>
          </w:tcPr>
          <w:p>
            <w:pPr>
              <w:spacing w:after="0"/>
              <w:rPr>
                <w:sz w:val="12"/>
                <w:szCs w:val="12"/>
                <w:color w:val="auto"/>
              </w:rPr>
            </w:pPr>
          </w:p>
        </w:tc>
        <w:tc>
          <w:tcPr>
            <w:tcW w:w="156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1"/>
                <w:szCs w:val="11"/>
                <w:b w:val="1"/>
                <w:bCs w:val="1"/>
                <w:color w:val="auto"/>
              </w:rPr>
              <w:t>COBRA Benefits ($)</w:t>
            </w:r>
            <w:r>
              <w:rPr>
                <w:rFonts w:ascii="Times New Roman" w:cs="Times New Roman" w:eastAsia="Times New Roman" w:hAnsi="Times New Roman"/>
                <w:sz w:val="14"/>
                <w:szCs w:val="14"/>
                <w:b w:val="1"/>
                <w:bCs w:val="1"/>
                <w:color w:val="auto"/>
                <w:vertAlign w:val="superscript"/>
              </w:rPr>
              <w:t>(1)</w:t>
            </w:r>
          </w:p>
        </w:tc>
        <w:tc>
          <w:tcPr>
            <w:tcW w:w="200" w:type="dxa"/>
            <w:vAlign w:val="bottom"/>
          </w:tcPr>
          <w:p>
            <w:pPr>
              <w:spacing w:after="0"/>
              <w:rPr>
                <w:sz w:val="12"/>
                <w:szCs w:val="12"/>
                <w:color w:val="auto"/>
              </w:rPr>
            </w:pPr>
          </w:p>
        </w:tc>
        <w:tc>
          <w:tcPr>
            <w:tcW w:w="1860" w:type="dxa"/>
            <w:vAlign w:val="bottom"/>
          </w:tcPr>
          <w:p>
            <w:pPr>
              <w:jc w:val="right"/>
              <w:ind w:right="277"/>
              <w:spacing w:after="0" w:line="149" w:lineRule="exact"/>
              <w:rPr>
                <w:sz w:val="20"/>
                <w:szCs w:val="20"/>
                <w:color w:val="auto"/>
              </w:rPr>
            </w:pPr>
            <w:r>
              <w:rPr>
                <w:rFonts w:ascii="Times New Roman" w:cs="Times New Roman" w:eastAsia="Times New Roman" w:hAnsi="Times New Roman"/>
                <w:sz w:val="11"/>
                <w:szCs w:val="11"/>
                <w:b w:val="1"/>
                <w:bCs w:val="1"/>
                <w:color w:val="auto"/>
              </w:rPr>
              <w:t>Vesting Acceleration ($)</w:t>
            </w:r>
            <w:r>
              <w:rPr>
                <w:rFonts w:ascii="Times New Roman" w:cs="Times New Roman" w:eastAsia="Times New Roman" w:hAnsi="Times New Roman"/>
                <w:sz w:val="14"/>
                <w:szCs w:val="14"/>
                <w:b w:val="1"/>
                <w:bCs w:val="1"/>
                <w:color w:val="auto"/>
                <w:vertAlign w:val="superscript"/>
              </w:rPr>
              <w:t>(2)</w:t>
            </w:r>
          </w:p>
        </w:tc>
        <w:tc>
          <w:tcPr>
            <w:tcW w:w="180" w:type="dxa"/>
            <w:vAlign w:val="bottom"/>
          </w:tcPr>
          <w:p>
            <w:pPr>
              <w:spacing w:after="0"/>
              <w:rPr>
                <w:sz w:val="12"/>
                <w:szCs w:val="12"/>
                <w:color w:val="auto"/>
              </w:rPr>
            </w:pPr>
          </w:p>
        </w:tc>
        <w:tc>
          <w:tcPr>
            <w:tcW w:w="1400" w:type="dxa"/>
            <w:vAlign w:val="bottom"/>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Pro-Rata Bonus ($)</w:t>
            </w:r>
          </w:p>
        </w:tc>
        <w:tc>
          <w:tcPr>
            <w:tcW w:w="180" w:type="dxa"/>
            <w:vAlign w:val="bottom"/>
          </w:tcPr>
          <w:p>
            <w:pPr>
              <w:spacing w:after="0"/>
              <w:rPr>
                <w:sz w:val="12"/>
                <w:szCs w:val="12"/>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Value Total ($)</w:t>
            </w:r>
          </w:p>
        </w:tc>
      </w:tr>
      <w:tr>
        <w:trPr>
          <w:trHeight w:val="142"/>
        </w:trPr>
        <w:tc>
          <w:tcPr>
            <w:tcW w:w="2180" w:type="dxa"/>
            <w:vAlign w:val="bottom"/>
            <w:tcBorders>
              <w:top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Howard W. Robin</w:t>
            </w:r>
          </w:p>
        </w:tc>
        <w:tc>
          <w:tcPr>
            <w:tcW w:w="100" w:type="dxa"/>
            <w:vAlign w:val="bottom"/>
            <w:shd w:val="clear" w:color="auto" w:fill="CFF0FC"/>
          </w:tcPr>
          <w:p>
            <w:pPr>
              <w:spacing w:after="0"/>
              <w:rPr>
                <w:sz w:val="12"/>
                <w:szCs w:val="12"/>
                <w:color w:val="auto"/>
              </w:rPr>
            </w:pPr>
          </w:p>
        </w:tc>
        <w:tc>
          <w:tcPr>
            <w:tcW w:w="13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6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2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Without Cause or Good Reason</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2,060,721</w:t>
            </w:r>
          </w:p>
        </w:tc>
        <w:tc>
          <w:tcPr>
            <w:tcW w:w="1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61,971</w:t>
            </w:r>
          </w:p>
        </w:tc>
        <w:tc>
          <w:tcPr>
            <w:tcW w:w="2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2,122,692</w:t>
            </w:r>
          </w:p>
        </w:tc>
        <w:tc>
          <w:tcPr>
            <w:tcW w:w="120" w:type="dxa"/>
            <w:vAlign w:val="bottom"/>
          </w:tcPr>
          <w:p>
            <w:pPr>
              <w:spacing w:after="0"/>
              <w:rPr>
                <w:sz w:val="12"/>
                <w:szCs w:val="12"/>
                <w:color w:val="auto"/>
              </w:rPr>
            </w:pPr>
          </w:p>
        </w:tc>
      </w:tr>
      <w:tr>
        <w:trPr>
          <w:trHeight w:val="148"/>
        </w:trPr>
        <w:tc>
          <w:tcPr>
            <w:tcW w:w="2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Disability</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670,679</w:t>
            </w:r>
          </w:p>
        </w:tc>
        <w:tc>
          <w:tcPr>
            <w:tcW w:w="15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1,084,590</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1,755,269</w:t>
            </w:r>
          </w:p>
        </w:tc>
        <w:tc>
          <w:tcPr>
            <w:tcW w:w="120" w:type="dxa"/>
            <w:vAlign w:val="bottom"/>
            <w:shd w:val="clear" w:color="auto" w:fill="CFF0FC"/>
          </w:tcPr>
          <w:p>
            <w:pPr>
              <w:spacing w:after="0"/>
              <w:rPr>
                <w:sz w:val="12"/>
                <w:szCs w:val="12"/>
                <w:color w:val="auto"/>
              </w:rPr>
            </w:pPr>
          </w:p>
        </w:tc>
      </w:tr>
      <w:tr>
        <w:trPr>
          <w:trHeight w:val="148"/>
        </w:trPr>
        <w:tc>
          <w:tcPr>
            <w:tcW w:w="2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Death</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1,341,358</w:t>
            </w:r>
          </w:p>
        </w:tc>
        <w:tc>
          <w:tcPr>
            <w:tcW w:w="1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1,084,590</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2,425,948</w:t>
            </w:r>
          </w:p>
        </w:tc>
        <w:tc>
          <w:tcPr>
            <w:tcW w:w="120" w:type="dxa"/>
            <w:vAlign w:val="bottom"/>
          </w:tcPr>
          <w:p>
            <w:pPr>
              <w:spacing w:after="0"/>
              <w:rPr>
                <w:sz w:val="12"/>
                <w:szCs w:val="12"/>
                <w:color w:val="auto"/>
              </w:rPr>
            </w:pPr>
          </w:p>
        </w:tc>
      </w:tr>
      <w:tr>
        <w:trPr>
          <w:trHeight w:val="148"/>
        </w:trPr>
        <w:tc>
          <w:tcPr>
            <w:tcW w:w="2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Sandra Gardiner</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r>
      <w:tr>
        <w:trPr>
          <w:trHeight w:val="148"/>
        </w:trPr>
        <w:tc>
          <w:tcPr>
            <w:tcW w:w="2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Mark A. Wilson</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2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Without Cause or Good Reason</w:t>
            </w: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FF0FC"/>
          </w:tcPr>
          <w:p>
            <w:pPr>
              <w:spacing w:after="0"/>
              <w:rPr>
                <w:sz w:val="12"/>
                <w:szCs w:val="12"/>
                <w:color w:val="auto"/>
              </w:rPr>
            </w:pP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ind w:left="1160"/>
              <w:spacing w:after="0" w:line="149" w:lineRule="exact"/>
              <w:rPr>
                <w:sz w:val="20"/>
                <w:szCs w:val="20"/>
                <w:color w:val="auto"/>
              </w:rPr>
            </w:pPr>
            <w:r>
              <w:rPr>
                <w:rFonts w:ascii="Times New Roman" w:cs="Times New Roman" w:eastAsia="Times New Roman" w:hAnsi="Times New Roman"/>
                <w:sz w:val="14"/>
                <w:szCs w:val="14"/>
                <w:color w:val="auto"/>
              </w:rPr>
              <w:t>N/A</w:t>
            </w:r>
          </w:p>
        </w:tc>
      </w:tr>
      <w:tr>
        <w:trPr>
          <w:trHeight w:val="149"/>
        </w:trPr>
        <w:tc>
          <w:tcPr>
            <w:tcW w:w="2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Disability</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r>
      <w:tr>
        <w:trPr>
          <w:trHeight w:val="148"/>
        </w:trPr>
        <w:tc>
          <w:tcPr>
            <w:tcW w:w="2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Death</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372,364</w:t>
            </w:r>
          </w:p>
        </w:tc>
        <w:tc>
          <w:tcPr>
            <w:tcW w:w="15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372,364</w:t>
            </w:r>
          </w:p>
        </w:tc>
        <w:tc>
          <w:tcPr>
            <w:tcW w:w="120" w:type="dxa"/>
            <w:vAlign w:val="bottom"/>
            <w:shd w:val="clear" w:color="auto" w:fill="CFF0FC"/>
          </w:tcPr>
          <w:p>
            <w:pPr>
              <w:spacing w:after="0"/>
              <w:rPr>
                <w:sz w:val="12"/>
                <w:szCs w:val="12"/>
                <w:color w:val="auto"/>
              </w:rPr>
            </w:pPr>
          </w:p>
        </w:tc>
      </w:tr>
      <w:tr>
        <w:trPr>
          <w:trHeight w:val="148"/>
        </w:trPr>
        <w:tc>
          <w:tcPr>
            <w:tcW w:w="2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Jonathan Zalevsky, Ph.D.</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2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Without Cause or Good Reason</w:t>
            </w:r>
          </w:p>
        </w:tc>
        <w:tc>
          <w:tcPr>
            <w:tcW w:w="1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FF0FC"/>
          </w:tcPr>
          <w:p>
            <w:pPr>
              <w:spacing w:after="0"/>
              <w:rPr>
                <w:sz w:val="12"/>
                <w:szCs w:val="12"/>
                <w:color w:val="auto"/>
              </w:rPr>
            </w:pPr>
          </w:p>
        </w:tc>
        <w:tc>
          <w:tcPr>
            <w:tcW w:w="1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ind w:left="1160"/>
              <w:spacing w:after="0" w:line="149" w:lineRule="exact"/>
              <w:rPr>
                <w:sz w:val="20"/>
                <w:szCs w:val="20"/>
                <w:color w:val="auto"/>
              </w:rPr>
            </w:pPr>
            <w:r>
              <w:rPr>
                <w:rFonts w:ascii="Times New Roman" w:cs="Times New Roman" w:eastAsia="Times New Roman" w:hAnsi="Times New Roman"/>
                <w:sz w:val="14"/>
                <w:szCs w:val="14"/>
                <w:color w:val="auto"/>
              </w:rPr>
              <w:t>N/A</w:t>
            </w:r>
          </w:p>
        </w:tc>
      </w:tr>
      <w:tr>
        <w:trPr>
          <w:trHeight w:val="148"/>
        </w:trPr>
        <w:tc>
          <w:tcPr>
            <w:tcW w:w="2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Disability</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r>
      <w:tr>
        <w:trPr>
          <w:trHeight w:val="149"/>
        </w:trPr>
        <w:tc>
          <w:tcPr>
            <w:tcW w:w="21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Death</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328,828</w:t>
            </w:r>
          </w:p>
        </w:tc>
        <w:tc>
          <w:tcPr>
            <w:tcW w:w="15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328,828</w:t>
            </w:r>
          </w:p>
        </w:tc>
        <w:tc>
          <w:tcPr>
            <w:tcW w:w="120" w:type="dxa"/>
            <w:vAlign w:val="bottom"/>
            <w:shd w:val="clear" w:color="auto" w:fill="CFF0FC"/>
          </w:tcPr>
          <w:p>
            <w:pPr>
              <w:spacing w:after="0"/>
              <w:rPr>
                <w:sz w:val="12"/>
                <w:szCs w:val="12"/>
                <w:color w:val="auto"/>
              </w:rPr>
            </w:pPr>
          </w:p>
        </w:tc>
      </w:tr>
    </w:tbl>
    <w:p>
      <w:pPr>
        <w:spacing w:after="0" w:line="193" w:lineRule="exact"/>
        <w:rPr>
          <w:sz w:val="20"/>
          <w:szCs w:val="20"/>
          <w:color w:val="auto"/>
        </w:rPr>
      </w:pPr>
    </w:p>
    <w:p>
      <w:pPr>
        <w:ind w:left="760" w:hanging="378"/>
        <w:spacing w:after="0"/>
        <w:tabs>
          <w:tab w:leader="none" w:pos="7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COBRA benefits are based upon actual rates as of December 2024</w:t>
      </w:r>
    </w:p>
    <w:p>
      <w:pPr>
        <w:spacing w:after="0" w:line="3" w:lineRule="exact"/>
        <w:rPr>
          <w:rFonts w:ascii="Times New Roman" w:cs="Times New Roman" w:eastAsia="Times New Roman" w:hAnsi="Times New Roman"/>
          <w:sz w:val="14"/>
          <w:szCs w:val="14"/>
          <w:color w:val="auto"/>
        </w:rPr>
      </w:pPr>
    </w:p>
    <w:p>
      <w:pPr>
        <w:ind w:left="760" w:right="60" w:hanging="378"/>
        <w:spacing w:after="0" w:line="221" w:lineRule="auto"/>
        <w:tabs>
          <w:tab w:leader="none" w:pos="7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we have assumed that (i) the price per share of our common stock is equal to the closing price per share on the last trading day of the fiscal year ended December 31, 2024 ($0.93), (ii) the value of any stock options that may be accelerated is equal to the full “spread” value of such awards on that date, and (iii) the value of any RSUs that may be accelerated is equal to the underlying shares multiplied by $0.93.</w:t>
      </w:r>
    </w:p>
    <w:p>
      <w:pPr>
        <w:ind w:left="760" w:right="500" w:hanging="378"/>
        <w:spacing w:after="0" w:line="239" w:lineRule="auto"/>
        <w:tabs>
          <w:tab w:leader="none" w:pos="7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Dr. Zalevsky nor Mr. Wilson is a party to a letter agreement or our standard form executive employment agreement that provides for severance benefits upon certain terminations of employment that are not related to a change of control.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Benefits—Change of Control</w:t>
      </w:r>
    </w:p>
    <w:p>
      <w:pPr>
        <w:spacing w:after="0" w:line="189"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Each of the employee NEOs is covered under the CIC Plan. The CIC Plan provides for certain severance benefits to these executives and our other employees covered by the plan upon certain terminations of employment occurring in connection with a change of control of us.</w:t>
      </w:r>
    </w:p>
    <w:p>
      <w:pPr>
        <w:spacing w:after="0" w:line="135" w:lineRule="exact"/>
        <w:rPr>
          <w:sz w:val="20"/>
          <w:szCs w:val="20"/>
          <w:color w:val="auto"/>
        </w:rPr>
      </w:pPr>
    </w:p>
    <w:p>
      <w:pPr>
        <w:ind w:right="20" w:firstLine="644"/>
        <w:spacing w:after="0" w:line="270" w:lineRule="auto"/>
        <w:rPr>
          <w:sz w:val="20"/>
          <w:szCs w:val="20"/>
          <w:color w:val="auto"/>
        </w:rPr>
      </w:pPr>
      <w:r>
        <w:rPr>
          <w:rFonts w:ascii="Times New Roman" w:cs="Times New Roman" w:eastAsia="Times New Roman" w:hAnsi="Times New Roman"/>
          <w:sz w:val="17"/>
          <w:szCs w:val="17"/>
          <w:color w:val="auto"/>
        </w:rPr>
        <w:t>If a change of control of the Company occurs, each employee NEO will be entitled to severance benefits under the CIC Plan if the executive’s employment is terminated by us or a successor company without Cause or by the executive for Good Reason Resignation (as defined in the CIC Plan), in each case within a period generally beginning on the date the agreement providing for a change of control is executed and ending twelve months following the change of control. Severance benefits under the CIC Plan include: (i) a cash severance payment equal to twelve (12) months of base salary (twenty-four</w:t>
      </w:r>
    </w:p>
    <w:p>
      <w:pPr>
        <w:spacing w:after="0" w:line="3"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for Mr. Robin) and the target value of the executive’s annual incentive bonus; (ii) payment by us of the same portion of the executive’s</w:t>
      </w:r>
    </w:p>
    <w:p>
      <w:pPr>
        <w:spacing w:after="0" w:line="9"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 premiums as we pay for active employees’ group health coverage for up to twelve (12) months (eighteen (18) months for Mr. Robin) following termination; (iii) provision of up to $5,000 for outplacement services received within twelve (12) months following termination; (iv) accelerated vesting of all outstanding stock options and other outstanding equity awards; and (v) other than in the case of Dr. Zalevsky, a “gross up” payment to compensate the executive for excise taxes (if any) on payments that are considered “parachute payments” under Section 280G of the Internal Revenue Code and therefore subject to an excise tax imposed under Section 4999 of the Code, but only to the extent the excise tax cannot be avoided by reducing the severance benefits by an amount not exceeding 10% such that the executive receives a greater-after tax amount as a result of the “cut-back” in benefits. In April 2011, the board of directors amended the CIC Plan so that this “gross up” benefit is not available for new hires following January 1, 2010 but is grandfathered for employees who joined the CIC Plan before that date so long as they are not promoted to a position such that he or she would be entitled to additional benefits under the plan. Accordingly, Dr. Zalevsky is not entitled to this “gross up” benefit as he joined the CIC Plan after January 1, 2010. In order to receive the severance benefits described above, the executive must first execute an effective waiver and release of claims in favor of us pursuant to a separation and release agreement. Each executive’s cash severance payment will ordinarily be paid in a lump-sum within 60 days following the executive’s separation from service, although payment will be delayed to the extent required to comply with Section 409A of the Internal Revenue Code.</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For the purposes of the CIC Plan, a Good Reason Resignation means a resignation upon the occurrence of one or more of the following events: (i) assignment of any authority, duties or responsibilities that results in a material diminution in the executive’s authority, duties or responsibilities as in effect immediately prior to the change of control; (ii) assignment to a work location more than 50 miles from the executive’s immediately previous work location, unless such reassignment of work location decreases the executive’s commuting distance from his or her residence to the executive’s assigned work location; (iii) a material diminution in the executive’s monthly base salary as in effect on the date of the change of control or as increased thereafter; (iv) notice to the executive by us or the successor company during the 12-month period following the change of control that the executive’s employment will be terminated under circumstances that would trigger severance benefits under the CIC Plan but for the designation of a date for termination that is greater than 12 months following the change of control and (v) for Mr. Robin, if he does not serve in his same position in the successor company or is not appointed to the board of directors of the successor company. In order for a Good Reason Resignation to occur, the executive must first give us timely written notice of the grounds for good reason resignation, and we must have failed to cure such condition after a period of 30 days.</w:t>
      </w:r>
    </w:p>
    <w:p>
      <w:pPr>
        <w:spacing w:after="0" w:line="167"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Pursuant to the CIC Plan, the separation and release agreement that each of the NEOs will be required to execute to receive severance benefits under the plan will also require each executive to agree to continue to be subject to the restrictions on the disclosure of our confidential information in his or her employment agreement, to non-solicitation restrictions and to certain other restrictions.</w:t>
      </w:r>
    </w:p>
    <w:p>
      <w:pPr>
        <w:spacing w:after="0" w:line="135"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Had a change of control occurred (where outstanding equity awards were assumed, continued or substituted by a successor entity) during the 2024 fiscal year and had the employment of each of the NEOs terminated on December 31, 2024 under one of the qualifying circumstances described above, each executive would have been entitled to receive the estimated benefits set forth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Estimated</w:t>
            </w:r>
          </w:p>
        </w:tc>
        <w:tc>
          <w:tcPr>
            <w:tcW w:w="22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Estimated Value of</w:t>
            </w: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Welfare and</w:t>
            </w:r>
          </w:p>
        </w:tc>
        <w:tc>
          <w:tcPr>
            <w:tcW w:w="22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Estimated Value of</w:t>
            </w:r>
          </w:p>
        </w:tc>
        <w:tc>
          <w:tcPr>
            <w:tcW w:w="20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22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Excise Tax</w:t>
            </w: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0"/>
        </w:trPr>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jc w:val="right"/>
              <w:ind w:right="106"/>
              <w:spacing w:after="0" w:line="111" w:lineRule="exact"/>
              <w:rPr>
                <w:sz w:val="20"/>
                <w:szCs w:val="20"/>
                <w:color w:val="auto"/>
              </w:rPr>
            </w:pPr>
            <w:r>
              <w:rPr>
                <w:rFonts w:ascii="Times New Roman" w:cs="Times New Roman" w:eastAsia="Times New Roman" w:hAnsi="Times New Roman"/>
                <w:sz w:val="11"/>
                <w:szCs w:val="11"/>
                <w:b w:val="1"/>
                <w:bCs w:val="1"/>
                <w:color w:val="auto"/>
              </w:rPr>
              <w:t>Estimated Value of</w:t>
            </w:r>
          </w:p>
        </w:tc>
        <w:tc>
          <w:tcPr>
            <w:tcW w:w="220" w:type="dxa"/>
            <w:vAlign w:val="bottom"/>
          </w:tcPr>
          <w:p>
            <w:pPr>
              <w:spacing w:after="0"/>
              <w:rPr>
                <w:sz w:val="9"/>
                <w:szCs w:val="9"/>
                <w:color w:val="auto"/>
              </w:rPr>
            </w:pPr>
          </w:p>
        </w:tc>
        <w:tc>
          <w:tcPr>
            <w:tcW w:w="12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Outplacement</w:t>
            </w:r>
          </w:p>
        </w:tc>
        <w:tc>
          <w:tcPr>
            <w:tcW w:w="220" w:type="dxa"/>
            <w:vAlign w:val="bottom"/>
          </w:tcPr>
          <w:p>
            <w:pPr>
              <w:spacing w:after="0"/>
              <w:rPr>
                <w:sz w:val="9"/>
                <w:szCs w:val="9"/>
                <w:color w:val="auto"/>
              </w:rPr>
            </w:pPr>
          </w:p>
        </w:tc>
        <w:tc>
          <w:tcPr>
            <w:tcW w:w="12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Vesting Acceleration</w:t>
            </w:r>
          </w:p>
        </w:tc>
        <w:tc>
          <w:tcPr>
            <w:tcW w:w="200" w:type="dxa"/>
            <w:vAlign w:val="bottom"/>
          </w:tcPr>
          <w:p>
            <w:pPr>
              <w:spacing w:after="0"/>
              <w:rPr>
                <w:sz w:val="9"/>
                <w:szCs w:val="9"/>
                <w:color w:val="auto"/>
              </w:rPr>
            </w:pPr>
          </w:p>
        </w:tc>
        <w:tc>
          <w:tcPr>
            <w:tcW w:w="12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Forfeited by</w:t>
            </w:r>
          </w:p>
        </w:tc>
        <w:tc>
          <w:tcPr>
            <w:tcW w:w="220" w:type="dxa"/>
            <w:vAlign w:val="bottom"/>
          </w:tcPr>
          <w:p>
            <w:pPr>
              <w:spacing w:after="0"/>
              <w:rPr>
                <w:sz w:val="9"/>
                <w:szCs w:val="9"/>
                <w:color w:val="auto"/>
              </w:rPr>
            </w:pPr>
          </w:p>
        </w:tc>
        <w:tc>
          <w:tcPr>
            <w:tcW w:w="12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Gross-Up</w:t>
            </w: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8"/>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Executive &amp; Triggering Event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Cash Severance ($)</w:t>
            </w:r>
          </w:p>
        </w:tc>
        <w:tc>
          <w:tcPr>
            <w:tcW w:w="22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6"/>
              </w:rPr>
              <w:t>Benefits ($)</w:t>
            </w:r>
            <w:r>
              <w:rPr>
                <w:rFonts w:ascii="Times New Roman" w:cs="Times New Roman" w:eastAsia="Times New Roman" w:hAnsi="Times New Roman"/>
                <w:sz w:val="14"/>
                <w:szCs w:val="14"/>
                <w:b w:val="1"/>
                <w:bCs w:val="1"/>
                <w:color w:val="auto"/>
                <w:w w:val="96"/>
                <w:vertAlign w:val="superscript"/>
              </w:rPr>
              <w:t>(1)</w:t>
            </w:r>
          </w:p>
        </w:tc>
        <w:tc>
          <w:tcPr>
            <w:tcW w:w="220" w:type="dxa"/>
            <w:vAlign w:val="bottom"/>
          </w:tcPr>
          <w:p>
            <w:pPr>
              <w:spacing w:after="0"/>
              <w:rPr>
                <w:sz w:val="12"/>
                <w:szCs w:val="12"/>
                <w:color w:val="auto"/>
              </w:rPr>
            </w:pPr>
          </w:p>
        </w:tc>
        <w:tc>
          <w:tcPr>
            <w:tcW w:w="12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84"/>
              </w:rPr>
              <w:t>($)</w:t>
            </w:r>
            <w:r>
              <w:rPr>
                <w:rFonts w:ascii="Times New Roman" w:cs="Times New Roman" w:eastAsia="Times New Roman" w:hAnsi="Times New Roman"/>
                <w:sz w:val="14"/>
                <w:szCs w:val="14"/>
                <w:b w:val="1"/>
                <w:bCs w:val="1"/>
                <w:color w:val="auto"/>
                <w:w w:val="84"/>
                <w:vertAlign w:val="superscript"/>
              </w:rPr>
              <w:t>(2)</w:t>
            </w:r>
          </w:p>
        </w:tc>
        <w:tc>
          <w:tcPr>
            <w:tcW w:w="200" w:type="dxa"/>
            <w:vAlign w:val="bottom"/>
          </w:tcPr>
          <w:p>
            <w:pPr>
              <w:spacing w:after="0"/>
              <w:rPr>
                <w:sz w:val="12"/>
                <w:szCs w:val="12"/>
                <w:color w:val="auto"/>
              </w:rPr>
            </w:pPr>
          </w:p>
        </w:tc>
        <w:tc>
          <w:tcPr>
            <w:tcW w:w="12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4"/>
              </w:rPr>
              <w:t>Executive ($)</w:t>
            </w:r>
            <w:r>
              <w:rPr>
                <w:rFonts w:ascii="Times New Roman" w:cs="Times New Roman" w:eastAsia="Times New Roman" w:hAnsi="Times New Roman"/>
                <w:sz w:val="14"/>
                <w:szCs w:val="14"/>
                <w:b w:val="1"/>
                <w:bCs w:val="1"/>
                <w:color w:val="auto"/>
                <w:w w:val="94"/>
                <w:vertAlign w:val="superscript"/>
              </w:rPr>
              <w:t>(3)</w:t>
            </w:r>
          </w:p>
        </w:tc>
        <w:tc>
          <w:tcPr>
            <w:tcW w:w="220" w:type="dxa"/>
            <w:vAlign w:val="bottom"/>
          </w:tcPr>
          <w:p>
            <w:pPr>
              <w:spacing w:after="0"/>
              <w:rPr>
                <w:sz w:val="12"/>
                <w:szCs w:val="1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20" w:type="dxa"/>
            <w:vAlign w:val="bottom"/>
          </w:tcPr>
          <w:p>
            <w:pPr>
              <w:spacing w:after="0"/>
              <w:rPr>
                <w:sz w:val="12"/>
                <w:szCs w:val="12"/>
                <w:color w:val="auto"/>
              </w:rPr>
            </w:pPr>
          </w:p>
        </w:tc>
        <w:tc>
          <w:tcPr>
            <w:tcW w:w="1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Estimated Total ($)</w:t>
            </w:r>
          </w:p>
        </w:tc>
        <w:tc>
          <w:tcPr>
            <w:tcW w:w="100" w:type="dxa"/>
            <w:vAlign w:val="bottom"/>
          </w:tcPr>
          <w:p>
            <w:pPr>
              <w:spacing w:after="0"/>
              <w:rPr>
                <w:sz w:val="12"/>
                <w:szCs w:val="12"/>
                <w:color w:val="auto"/>
              </w:rPr>
            </w:pPr>
          </w:p>
        </w:tc>
      </w:tr>
      <w:tr>
        <w:trPr>
          <w:trHeight w:val="210"/>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Howard W. Robin</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4,338,360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97,956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1,341,358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5,777,674</w:t>
            </w:r>
          </w:p>
        </w:tc>
        <w:tc>
          <w:tcPr>
            <w:tcW w:w="100" w:type="dxa"/>
            <w:vAlign w:val="bottom"/>
            <w:shd w:val="clear" w:color="auto" w:fill="CFF0FC"/>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A. Wilson</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864,000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372,364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1,284,086</w:t>
            </w:r>
          </w:p>
        </w:tc>
        <w:tc>
          <w:tcPr>
            <w:tcW w:w="100" w:type="dxa"/>
            <w:vAlign w:val="bottom"/>
          </w:tcPr>
          <w:p>
            <w:pPr>
              <w:spacing w:after="0"/>
              <w:rPr>
                <w:sz w:val="18"/>
                <w:szCs w:val="18"/>
                <w:color w:val="auto"/>
              </w:rPr>
            </w:pPr>
          </w:p>
        </w:tc>
      </w:tr>
      <w:tr>
        <w:trPr>
          <w:trHeight w:val="216"/>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Jonathan Zalevsky, Ph.D.</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1,125,584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328,828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1,471,692</w:t>
            </w:r>
          </w:p>
        </w:tc>
        <w:tc>
          <w:tcPr>
            <w:tcW w:w="100" w:type="dxa"/>
            <w:vAlign w:val="bottom"/>
            <w:shd w:val="clear" w:color="auto" w:fill="CFF0FC"/>
          </w:tcPr>
          <w:p>
            <w:pPr>
              <w:spacing w:after="0"/>
              <w:rPr>
                <w:sz w:val="18"/>
                <w:szCs w:val="18"/>
                <w:color w:val="auto"/>
              </w:rPr>
            </w:pPr>
          </w:p>
        </w:tc>
      </w:tr>
    </w:tbl>
    <w:p>
      <w:pPr>
        <w:spacing w:after="0" w:line="193" w:lineRule="exact"/>
        <w:rPr>
          <w:sz w:val="20"/>
          <w:szCs w:val="20"/>
          <w:color w:val="auto"/>
        </w:rPr>
      </w:pPr>
    </w:p>
    <w:p>
      <w:pPr>
        <w:ind w:left="760" w:hanging="378"/>
        <w:spacing w:after="0"/>
        <w:tabs>
          <w:tab w:leader="none" w:pos="7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estimated COBRA premiums based upon actual rates as of December 2024 and up to $5,000 for outplacement services.</w:t>
      </w:r>
    </w:p>
    <w:p>
      <w:pPr>
        <w:spacing w:after="0" w:line="3" w:lineRule="exact"/>
        <w:rPr>
          <w:rFonts w:ascii="Times New Roman" w:cs="Times New Roman" w:eastAsia="Times New Roman" w:hAnsi="Times New Roman"/>
          <w:sz w:val="14"/>
          <w:szCs w:val="14"/>
          <w:color w:val="auto"/>
        </w:rPr>
      </w:pPr>
    </w:p>
    <w:p>
      <w:pPr>
        <w:ind w:left="760" w:hanging="378"/>
        <w:spacing w:after="0" w:line="221" w:lineRule="auto"/>
        <w:tabs>
          <w:tab w:leader="none" w:pos="7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our equity compensation plans, these NEOs would also have been entitled to this same full equity acceleration (i) if a corporate transaction (as defined in the applicable plan) occurred and the surviving or acquiring corporation refused to assume outstanding equity awards or substitute similar replacement awards for outstanding equity awards or (ii) upon the acquisition by any person of beneficial ownership of 50% or more of the combined voting power of our shares in a transaction that is not a corporate transaction as defined in the applicable plan. For purposes of this table, we have assumed that (i) the price per share of our common stock is equal to the closing price per share on the last trading day of the fiscal year ended December 31, 2024 ($0.93), (ii) the value of any stock options that may be accelerated is equal to the full “spread” value of such awards on that date, and (iii) the value of any RSUs that may be accelerated is equal to the underlying shares multiplied by $0.93.</w:t>
      </w:r>
    </w:p>
    <w:p>
      <w:pPr>
        <w:spacing w:after="0" w:line="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Executives with a gross-up provision are required to forfeit payments up to 10% if it will avoid an excise tax exposure.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202"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we are required to disclose the median of the annual total compensation of our employees, the annual total compensation of our President and CEO Howard Robin, and the ratio of these two amounts.</w:t>
      </w:r>
    </w:p>
    <w:p>
      <w:pPr>
        <w:spacing w:after="0" w:line="121"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We have estimated the median of the 2024 annual total compensation of our employees, excluding Mr. Robin, to be $407,377 as calculated in accordance with Item 402(u) of Regulation S-K. The annual total compensation of our President and CEO, as reported in the Summary Compensation Table is $3,762,693. The ratio of the annual total compensation of our President and CEO to the estimated median of the annual total compensation of our employees was 9 to 1. We believe this pay ratio is a reasonable estimate calculated in a manner consistent with SEC rules.</w:t>
      </w:r>
    </w:p>
    <w:p>
      <w:pPr>
        <w:spacing w:after="0" w:line="139"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We selected December 31, 2024 as the date to identify our median employee. We determined our median employee based on the sum of taxable wages for 2024, FASB ASC Topic 718 value of option and stock awards granted in 2024, and other compensation including taxable benefits of each of our employees, excluding Mr. Robin, earned in 2024.</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Table—Fiscal 2024</w:t>
      </w:r>
    </w:p>
    <w:p>
      <w:pPr>
        <w:spacing w:after="0" w:line="202" w:lineRule="exact"/>
        <w:rPr>
          <w:sz w:val="20"/>
          <w:szCs w:val="20"/>
          <w:color w:val="auto"/>
        </w:rPr>
      </w:pPr>
    </w:p>
    <w:p>
      <w:pPr>
        <w:ind w:right="340" w:firstLine="644"/>
        <w:spacing w:after="0" w:line="266" w:lineRule="auto"/>
        <w:rPr>
          <w:sz w:val="20"/>
          <w:szCs w:val="20"/>
          <w:color w:val="auto"/>
        </w:rPr>
      </w:pPr>
      <w:r>
        <w:rPr>
          <w:rFonts w:ascii="Times New Roman" w:cs="Times New Roman" w:eastAsia="Times New Roman" w:hAnsi="Times New Roman"/>
          <w:sz w:val="18"/>
          <w:szCs w:val="18"/>
          <w:color w:val="auto"/>
        </w:rPr>
        <w:t>Each of our non-employee directors participates in our Amended and Restated Compensation Plan for Non-Employee Directors (the “Director Plan”). Only our non-employee directors are eligible to participate in the Director Plan. The following table shows the fees earned or paid to our non-employee directors for the fiscal year ended December 31,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 xml:space="preserve"> (a)</w:t>
            </w:r>
          </w:p>
        </w:tc>
        <w:tc>
          <w:tcPr>
            <w:tcW w:w="120" w:type="dxa"/>
            <w:vAlign w:val="bottom"/>
          </w:tcPr>
          <w:p>
            <w:pPr>
              <w:spacing w:after="0"/>
              <w:rPr>
                <w:sz w:val="12"/>
                <w:szCs w:val="12"/>
                <w:color w:val="auto"/>
              </w:rPr>
            </w:pPr>
          </w:p>
        </w:tc>
        <w:tc>
          <w:tcPr>
            <w:tcW w:w="168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00" w:type="dxa"/>
            <w:vAlign w:val="bottom"/>
          </w:tcPr>
          <w:p>
            <w:pPr>
              <w:spacing w:after="0"/>
              <w:rPr>
                <w:sz w:val="12"/>
                <w:szCs w:val="12"/>
                <w:color w:val="auto"/>
              </w:rPr>
            </w:pPr>
          </w:p>
        </w:tc>
        <w:tc>
          <w:tcPr>
            <w:tcW w:w="168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Paid in Cash ($) (b)</w:t>
            </w:r>
          </w:p>
        </w:tc>
        <w:tc>
          <w:tcPr>
            <w:tcW w:w="200" w:type="dxa"/>
            <w:vAlign w:val="bottom"/>
          </w:tcPr>
          <w:p>
            <w:pPr>
              <w:spacing w:after="0"/>
              <w:rPr>
                <w:sz w:val="14"/>
                <w:szCs w:val="14"/>
                <w:color w:val="auto"/>
              </w:rPr>
            </w:pPr>
          </w:p>
        </w:tc>
        <w:tc>
          <w:tcPr>
            <w:tcW w:w="1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Stock Awards ($) (c)</w:t>
            </w: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6"/>
                <w:szCs w:val="16"/>
                <w:b w:val="1"/>
                <w:bCs w:val="1"/>
                <w:color w:val="auto"/>
                <w:vertAlign w:val="superscript"/>
              </w:rPr>
              <w:t>(2)</w:t>
            </w:r>
          </w:p>
        </w:tc>
        <w:tc>
          <w:tcPr>
            <w:tcW w:w="8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3"/>
                <w:szCs w:val="13"/>
                <w:b w:val="1"/>
                <w:bCs w:val="1"/>
                <w:color w:val="auto"/>
              </w:rPr>
              <w:t>(d)</w:t>
            </w:r>
          </w:p>
        </w:tc>
        <w:tc>
          <w:tcPr>
            <w:tcW w:w="200" w:type="dxa"/>
            <w:vAlign w:val="bottom"/>
          </w:tcPr>
          <w:p>
            <w:pPr>
              <w:spacing w:after="0"/>
              <w:rPr>
                <w:sz w:val="14"/>
                <w:szCs w:val="14"/>
                <w:color w:val="auto"/>
              </w:rPr>
            </w:pPr>
          </w:p>
        </w:tc>
        <w:tc>
          <w:tcPr>
            <w:tcW w:w="1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Compensation ($) (e)</w:t>
            </w:r>
          </w:p>
        </w:tc>
        <w:tc>
          <w:tcPr>
            <w:tcW w:w="220" w:type="dxa"/>
            <w:vAlign w:val="bottom"/>
          </w:tcPr>
          <w:p>
            <w:pPr>
              <w:spacing w:after="0"/>
              <w:rPr>
                <w:sz w:val="14"/>
                <w:szCs w:val="14"/>
                <w:color w:val="auto"/>
              </w:rPr>
            </w:pPr>
          </w:p>
        </w:tc>
        <w:tc>
          <w:tcPr>
            <w:tcW w:w="17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Total ($) (f)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Jeff Ajer</w:t>
            </w:r>
          </w:p>
        </w:tc>
        <w:tc>
          <w:tcPr>
            <w:tcW w:w="18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87,000</w:t>
            </w:r>
          </w:p>
        </w:tc>
        <w:tc>
          <w:tcPr>
            <w:tcW w:w="20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110,939</w:t>
            </w:r>
          </w:p>
        </w:tc>
        <w:tc>
          <w:tcPr>
            <w:tcW w:w="18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197,939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Diana Brainard, M.D.</w:t>
            </w:r>
          </w:p>
        </w:tc>
        <w:tc>
          <w:tcPr>
            <w:tcW w:w="18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87,000</w:t>
            </w: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110,939</w:t>
            </w:r>
          </w:p>
        </w:tc>
        <w:tc>
          <w:tcPr>
            <w:tcW w:w="1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197,939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Robert Chess</w:t>
            </w:r>
          </w:p>
        </w:tc>
        <w:tc>
          <w:tcPr>
            <w:tcW w:w="18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128,500</w:t>
            </w: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110,939</w:t>
            </w:r>
          </w:p>
        </w:tc>
        <w:tc>
          <w:tcPr>
            <w:tcW w:w="18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239,439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Myriam Curet, M.D.</w:t>
            </w:r>
            <w:r>
              <w:rPr>
                <w:rFonts w:ascii="Times New Roman" w:cs="Times New Roman" w:eastAsia="Times New Roman" w:hAnsi="Times New Roman"/>
                <w:sz w:val="19"/>
                <w:szCs w:val="19"/>
                <w:color w:val="auto"/>
                <w:vertAlign w:val="superscript"/>
              </w:rPr>
              <w:t>(3)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38,000</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 Scott Greer</w:t>
            </w:r>
          </w:p>
        </w:tc>
        <w:tc>
          <w:tcPr>
            <w:tcW w:w="1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113,000</w:t>
            </w:r>
          </w:p>
        </w:tc>
        <w:tc>
          <w:tcPr>
            <w:tcW w:w="20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110,939</w:t>
            </w:r>
          </w:p>
        </w:tc>
        <w:tc>
          <w:tcPr>
            <w:tcW w:w="1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223,939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Roy A. Whitfield</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110,939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230,939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939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34" w:lineRule="exact"/>
        <w:rPr>
          <w:sz w:val="20"/>
          <w:szCs w:val="20"/>
          <w:color w:val="auto"/>
        </w:rPr>
      </w:pPr>
    </w:p>
    <w:p>
      <w:pPr>
        <w:ind w:left="760" w:right="180" w:hanging="378"/>
        <w:spacing w:after="0" w:line="229" w:lineRule="auto"/>
        <w:tabs>
          <w:tab w:leader="none" w:pos="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Robin, our President and Chief Executive Officer, is not included in this table as he was an employee of the Company in 2024 and received no additional compensation for his services in his capacity as a director. Please see the “Summary Compensation Table – Fiscal 2022-2024” for information regarding the compensation Mr. Robin received as our President and Chief Executive Office.</w:t>
      </w:r>
    </w:p>
    <w:p>
      <w:pPr>
        <w:ind w:left="760" w:right="80" w:hanging="378"/>
        <w:spacing w:after="0" w:line="221" w:lineRule="auto"/>
        <w:tabs>
          <w:tab w:leader="none" w:pos="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represent the aggregate grant date fair value of option awards computed in accordance with FASB ASC Topic 718, which excludes the effects of estimated forfeitures. For a complete description of the assumptions made in determining the valuation, please refer to Note 13 (Stock-Based Compensation) to our Consolidated Financial Statements. Each of our then-serving non-employee directors received a stock option for 120,000 shares for his or her annual stock option grant on September 18, 2024. As of December 31, 2024, each of our non-employee directors had the following number of stock options outstanding: Mr. Ajer: 342,750; Dr. Brainard: 262,120; Mr. Chess: 309,000; Mr. Greer: 309,000; and Mr. Whitfield: 309,000.</w:t>
      </w:r>
    </w:p>
    <w:p>
      <w:pPr>
        <w:spacing w:after="0" w:line="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Curet’s term as a director expired on June 8, 2024. As of December 31, 2024, Ms. Curet has 167,400 stock options outstanding.</w:t>
      </w:r>
    </w:p>
    <w:p>
      <w:pPr>
        <w:spacing w:after="0" w:line="151"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The 2024 compensation for the Company’s non-employee directors was recommended by the Organization and Compensation Committee to the Board following the receipt of a report from our independent compensation consultant, which in 2024 was Aon, which contained an analysis of prevailing market practices regarding levels and types of non-employee director compensation, including the non-employee director compensation practices of our 2024 peer group set forth below in the section entitled “Compensation Discussion and Analysis”, and a comparative assessment of our non-employee director compensation to such peers and market practices. On at least an annual basis, qualified experts deliver a presentation to the Organization and Compensation Committee about recent developments and best practices related to non-employee director compensation.</w:t>
      </w:r>
    </w:p>
    <w:p>
      <w:pPr>
        <w:spacing w:after="0" w:line="147"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Effective January 1, 2024 the annual retainer for non-employee directors was $55,000 (“Annual Retainer”). In addition to the Annual Retainer, the Chairperson of the Board of Directors received an additional annual retainer of $50,000 for a total of $105,000, and the Independent Lead Director of the Board of Directors received an additional annual retainer of $25,000 for a total of $80,000. The annual retainer amount was $25,000 for the Chair of the Audit Committee and $12,000 for members other than the Chair, $20,000 for the Chair of the Compensation Committee and $10,000 for members other than the Chair of the Compensation Committee, and $15,000 for the Chair of the Governance Committee and $8,000 for members other than the Chair of the Governance Committee. The Chair and members of any new committees would receive an additional annual retainer of $5,000, unless otherwise specified in the resolutions duly forming such new committee.</w:t>
      </w:r>
    </w:p>
    <w:p>
      <w:pPr>
        <w:spacing w:after="0" w:line="162" w:lineRule="exact"/>
        <w:rPr>
          <w:sz w:val="20"/>
          <w:szCs w:val="20"/>
          <w:color w:val="auto"/>
        </w:rPr>
      </w:pPr>
    </w:p>
    <w:p>
      <w:pPr>
        <w:ind w:right="80" w:firstLine="644"/>
        <w:spacing w:after="0" w:line="252" w:lineRule="auto"/>
        <w:rPr>
          <w:sz w:val="20"/>
          <w:szCs w:val="20"/>
          <w:color w:val="auto"/>
        </w:rPr>
      </w:pPr>
      <w:r>
        <w:rPr>
          <w:rFonts w:ascii="Times New Roman" w:cs="Times New Roman" w:eastAsia="Times New Roman" w:hAnsi="Times New Roman"/>
          <w:sz w:val="18"/>
          <w:szCs w:val="18"/>
          <w:color w:val="auto"/>
        </w:rPr>
        <w:t>In September of each year, each non-employee director is eligible to receive an equity award consisting of either all stock options or a combination of stock options and RSUs, as determined by the board of directors. These equity awards vest over a period of one year (monthly for stock options and upon the one year anniversary date for RSUs) and include a number of shares as determined annually by the board of directors. In September 2024 our then-serving non-employee directors received 120,000 stock options. No RSUs were granted. Upon initial appointment to the board of directors, each non-employee director is eligible to receive an equity award consisting of either all stock options or a combination of stock options and RSUs. These initial equity awards vest over a period of three years from the date of appointment and will be at a level based on 180% of the most recent annual equity compensation grant to non-employee directors, as determined annually by the board of directors. The exercise price of stock options granted is equal to the closing price of the Company’s common stock on the grant date. Following completion of a non-employee director’s service on the board of directors, his or her stock options will remain exercisable for a period of thirty-six months (or, if earlier, the end of the maximum term of the option). The term of stock options granted to non-employee directors is eight years. In the event of a change of control, the vesting of each option or RSU award held by each non-employee director will accelerate in full as of the closing of such transaction. In the event of death or disability, each RSU of the non-employee director will vest immediately. In the event a non-employee director ceases to continue their service on the board of directors at the Company’s annual shareholder meeting or any date thereafter, any unvested restricted stock unit award(s) of such non-employee director shall vest upon the cessation of such service on a pro rata basis calculated by the number of completed whole months of completed service during the vesting period.</w:t>
      </w:r>
    </w:p>
    <w:p>
      <w:pPr>
        <w:spacing w:after="0" w:line="157"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The Director Plan includes non-binding ownership guidelines for non-employee directors stating that each non-employee director should own shares of our common stock equal to at least three times the value of the annual board cash</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retainer. The minimum stock ownership level was to be achieved by each non-employee director within five years of the date of his or her first appointment to the board of directors. Each of our non-executive directors with over five years of service on the board of directors has met the ownership guidelines previously, and all but one non-employee director currently meets the minimum stock ownership guidelines or is within the five-year grace period provided by the plan. The board of directors understands that the recent unexpected drop in the share price of our common stock has caused a temporal diminution in the value of the common stock owned by one non-executive director so as to currently equal less than three times the value of the annual board cash retainer. As allowed by our ownership guidelines, the board of directors will continue to monitor the situation and, if necessary, develop an alternative stock ownership guideline that reflects the intention of these guidelines. Our 2017 Plan also limits the aggregate value of cash compensation and the grant date fair value (computed in accordance with generally accepted accounting principles) of shares of Common Stock that may be paid or granted during any calendar year to any non-employee director with a maximum of $1,200,000 for existing non-employee directors and $2,200,000 for new non-employee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Compensation Committee Interlocks and Insider Participation</w:t>
      </w:r>
    </w:p>
    <w:p>
      <w:pPr>
        <w:spacing w:after="0" w:line="189"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As of December 2024, the Organization and Compensation Committee consisted of three independent directors: Dr. Brainard, Mr. Ajer and Mr. Greer. No director who served on the Organization and Compensation Committee in 2024 was, or has been, an officer or employee of us, nor has any director had any relationships requiring disclosure under the SEC rules regarding certain relationships and related-party transactions. None of our executive officers served on the board of directors or the Organization and Compensation Committee (or other board committee performing equivalent functions) of another entity, one of whose executive officers served on our board of directors or Organization and Compensation Committee.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00"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i w:val="1"/>
          <w:iCs w:val="1"/>
          <w:color w:val="auto"/>
        </w:rPr>
        <w:t>The material in this report is being furnished and shall not be deemed “filed” with the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of 1933, as amended (the “Securities Act”), or the Exchange Act, except as otherwise expressly stated in such filing.</w:t>
      </w:r>
    </w:p>
    <w:p>
      <w:pPr>
        <w:spacing w:after="0" w:line="141" w:lineRule="exact"/>
        <w:rPr>
          <w:sz w:val="20"/>
          <w:szCs w:val="20"/>
          <w:color w:val="auto"/>
        </w:rPr>
      </w:pPr>
    </w:p>
    <w:p>
      <w:pPr>
        <w:ind w:right="380" w:firstLine="644"/>
        <w:spacing w:after="0" w:line="261" w:lineRule="auto"/>
        <w:rPr>
          <w:sz w:val="20"/>
          <w:szCs w:val="20"/>
          <w:color w:val="auto"/>
        </w:rPr>
      </w:pPr>
      <w:r>
        <w:rPr>
          <w:rFonts w:ascii="Times New Roman" w:cs="Times New Roman" w:eastAsia="Times New Roman" w:hAnsi="Times New Roman"/>
          <w:sz w:val="18"/>
          <w:szCs w:val="18"/>
          <w:color w:val="auto"/>
        </w:rPr>
        <w:t>The Organization and Compensation Committee has reviewed the Compensation Discussion and Analysis and discussed it with management. Based on its review and discussions with management, the committee recommended to our board of directors that the Compensation Discussion and Analysis be included in our annual report on Form 10-K for the fiscal year ended December 31, 2024 and in our 2025 proxy statement. This report is provided by the following independent directors, who currently comprise the committee: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Diana Brainard, M.D. — Chairperson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Ajer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Scott Greer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ind w:right="140" w:firstLine="644"/>
        <w:spacing w:after="0" w:line="282" w:lineRule="auto"/>
        <w:rPr>
          <w:sz w:val="20"/>
          <w:szCs w:val="20"/>
          <w:color w:val="auto"/>
        </w:rPr>
      </w:pPr>
      <w:r>
        <w:rPr>
          <w:rFonts w:ascii="Times New Roman" w:cs="Times New Roman" w:eastAsia="Times New Roman" w:hAnsi="Times New Roman"/>
          <w:sz w:val="18"/>
          <w:szCs w:val="18"/>
          <w:color w:val="auto"/>
        </w:rPr>
        <w:t>The following table presents aggregate summary information as of December 31, 2024, regarding the common stock that may be issued upon the exercise of options and rights under all of our existing equity compensation plans: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r>
      <w:tr>
        <w:trPr>
          <w:trHeight w:val="135"/>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Remaining Available for</w:t>
            </w:r>
          </w:p>
        </w:tc>
      </w:tr>
      <w:tr>
        <w:trPr>
          <w:trHeight w:val="135"/>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Number of Securities to be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Issuance Under Equity</w:t>
            </w:r>
          </w:p>
        </w:tc>
      </w:tr>
      <w:tr>
        <w:trPr>
          <w:trHeight w:val="135"/>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Issued Upon Exercise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5"/>
              </w:rPr>
              <w:t>Weighted-Average Exercise</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Compensation Plans</w:t>
            </w:r>
          </w:p>
        </w:tc>
      </w:tr>
      <w:tr>
        <w:trPr>
          <w:trHeight w:val="135"/>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 Options &amp;</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of Outstanding</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(Excluding Securities</w:t>
            </w:r>
          </w:p>
        </w:tc>
      </w:tr>
      <w:tr>
        <w:trPr>
          <w:trHeight w:val="155"/>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20" w:type="dxa"/>
            <w:vAlign w:val="bottom"/>
          </w:tcPr>
          <w:p>
            <w:pPr>
              <w:spacing w:after="0"/>
              <w:rPr>
                <w:sz w:val="13"/>
                <w:szCs w:val="13"/>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Vesting of RSUs (a)</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7"/>
              </w:rPr>
              <w:t>Options ($) (b)</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9"/>
              </w:rPr>
              <w:t>Reflected in Column (a)) (c)</w:t>
            </w:r>
          </w:p>
        </w:tc>
        <w:tc>
          <w:tcPr>
            <w:tcW w:w="100" w:type="dxa"/>
            <w:vAlign w:val="bottom"/>
          </w:tcPr>
          <w:p>
            <w:pPr>
              <w:spacing w:after="0"/>
              <w:rPr>
                <w:sz w:val="13"/>
                <w:szCs w:val="13"/>
                <w:color w:val="auto"/>
              </w:rPr>
            </w:pPr>
          </w:p>
        </w:tc>
      </w:tr>
      <w:tr>
        <w:trPr>
          <w:trHeight w:val="19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34,582</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34,582</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100" w:type="dxa"/>
            <w:vAlign w:val="bottom"/>
            <w:shd w:val="clear" w:color="auto" w:fill="CFF0FC"/>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2"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February 27, 2025, by: (i) each director; (ii) each of our NEOs; (iii) all of our executive officers and directors as a group; and (iv) all those known by us to be beneficial owners of more than five percent of our common stock.</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Nektar Therapeutics, 455 Mission Bay Boulevard South, San Francisco, California 94158.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FFFFFF"/>
              </w:rPr>
              <w:t>x</w:t>
            </w:r>
          </w:p>
        </w:tc>
        <w:tc>
          <w:tcPr>
            <w:tcW w:w="3620" w:type="dxa"/>
            <w:vAlign w:val="bottom"/>
            <w:gridSpan w:val="4"/>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r>
      <w:tr>
        <w:trPr>
          <w:trHeight w:val="142"/>
        </w:trPr>
        <w:tc>
          <w:tcPr>
            <w:tcW w:w="75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Beneficial Owner</w:t>
            </w:r>
          </w:p>
        </w:tc>
        <w:tc>
          <w:tcPr>
            <w:tcW w:w="12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Percent of Total</w:t>
            </w:r>
          </w:p>
        </w:tc>
        <w:tc>
          <w:tcPr>
            <w:tcW w:w="180" w:type="dxa"/>
            <w:vAlign w:val="bottom"/>
          </w:tcPr>
          <w:p>
            <w:pPr>
              <w:spacing w:after="0"/>
              <w:rPr>
                <w:sz w:val="12"/>
                <w:szCs w:val="12"/>
                <w:color w:val="auto"/>
              </w:rPr>
            </w:pPr>
          </w:p>
        </w:tc>
      </w:tr>
      <w:tr>
        <w:trPr>
          <w:trHeight w:val="209"/>
        </w:trPr>
        <w:tc>
          <w:tcPr>
            <w:tcW w:w="7620" w:type="dxa"/>
            <w:vAlign w:val="bottom"/>
            <w:gridSpan w:val="2"/>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TCG Crossover GP II, LLC</w:t>
            </w:r>
            <w:r>
              <w:rPr>
                <w:rFonts w:ascii="Times New Roman" w:cs="Times New Roman" w:eastAsia="Times New Roman" w:hAnsi="Times New Roman"/>
                <w:sz w:val="24"/>
                <w:szCs w:val="24"/>
                <w:color w:val="auto"/>
                <w:vertAlign w:val="superscript"/>
              </w:rPr>
              <w:t>(1)</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20,046,350</w:t>
            </w:r>
          </w:p>
        </w:tc>
        <w:tc>
          <w:tcPr>
            <w:tcW w:w="2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10.77 %</w:t>
            </w:r>
          </w:p>
        </w:tc>
      </w:tr>
      <w:tr>
        <w:trPr>
          <w:trHeight w:val="216"/>
        </w:trPr>
        <w:tc>
          <w:tcPr>
            <w:tcW w:w="7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24"/>
                <w:szCs w:val="24"/>
                <w:color w:val="auto"/>
                <w:vertAlign w:val="superscript"/>
              </w:rPr>
              <w:t>(2)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15,969,345</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8.58 %</w:t>
            </w:r>
          </w:p>
        </w:tc>
      </w:tr>
      <w:tr>
        <w:trPr>
          <w:trHeight w:val="216"/>
        </w:trPr>
        <w:tc>
          <w:tcPr>
            <w:tcW w:w="762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4"/>
                <w:szCs w:val="24"/>
                <w:color w:val="auto"/>
                <w:vertAlign w:val="superscript"/>
              </w:rPr>
              <w:t>(3)</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12,042,873</w:t>
            </w:r>
          </w:p>
        </w:tc>
        <w:tc>
          <w:tcPr>
            <w:tcW w:w="2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6.47 %</w:t>
            </w:r>
          </w:p>
        </w:tc>
      </w:tr>
      <w:tr>
        <w:trPr>
          <w:trHeight w:val="216"/>
        </w:trPr>
        <w:tc>
          <w:tcPr>
            <w:tcW w:w="7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Samlyn Capital, LLC</w:t>
            </w:r>
            <w:r>
              <w:rPr>
                <w:rFonts w:ascii="Times New Roman" w:cs="Times New Roman" w:eastAsia="Times New Roman" w:hAnsi="Times New Roman"/>
                <w:sz w:val="24"/>
                <w:szCs w:val="24"/>
                <w:color w:val="auto"/>
                <w:vertAlign w:val="superscript"/>
              </w:rPr>
              <w:t>(4)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9,667,048</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5.19 %</w:t>
            </w:r>
          </w:p>
        </w:tc>
      </w:tr>
      <w:tr>
        <w:trPr>
          <w:trHeight w:val="216"/>
        </w:trPr>
        <w:tc>
          <w:tcPr>
            <w:tcW w:w="762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Jeff Ajer</w:t>
            </w:r>
            <w:r>
              <w:rPr>
                <w:rFonts w:ascii="Times New Roman" w:cs="Times New Roman" w:eastAsia="Times New Roman" w:hAnsi="Times New Roman"/>
                <w:sz w:val="24"/>
                <w:szCs w:val="24"/>
                <w:color w:val="auto"/>
                <w:vertAlign w:val="superscript"/>
              </w:rPr>
              <w:t>(5)</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326,903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7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Diana Brainard, M.D.</w:t>
            </w:r>
            <w:r>
              <w:rPr>
                <w:rFonts w:ascii="Times New Roman" w:cs="Times New Roman" w:eastAsia="Times New Roman" w:hAnsi="Times New Roman"/>
                <w:sz w:val="24"/>
                <w:szCs w:val="24"/>
                <w:color w:val="auto"/>
                <w:vertAlign w:val="superscript"/>
              </w:rPr>
              <w:t>(6)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240,680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62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Robert Chess</w:t>
            </w:r>
            <w:r>
              <w:rPr>
                <w:rFonts w:ascii="Times New Roman" w:cs="Times New Roman" w:eastAsia="Times New Roman" w:hAnsi="Times New Roman"/>
                <w:sz w:val="24"/>
                <w:szCs w:val="24"/>
                <w:color w:val="auto"/>
                <w:vertAlign w:val="superscript"/>
              </w:rPr>
              <w:t>(7)</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514,273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7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R. Scott Greer</w:t>
            </w:r>
            <w:r>
              <w:rPr>
                <w:rFonts w:ascii="Times New Roman" w:cs="Times New Roman" w:eastAsia="Times New Roman" w:hAnsi="Times New Roman"/>
                <w:sz w:val="24"/>
                <w:szCs w:val="24"/>
                <w:color w:val="auto"/>
                <w:vertAlign w:val="superscript"/>
              </w:rPr>
              <w:t>(8)</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562,574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62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Howard W. Robin</w:t>
            </w:r>
            <w:r>
              <w:rPr>
                <w:rFonts w:ascii="Times New Roman" w:cs="Times New Roman" w:eastAsia="Times New Roman" w:hAnsi="Times New Roman"/>
                <w:sz w:val="24"/>
                <w:szCs w:val="24"/>
                <w:color w:val="auto"/>
                <w:vertAlign w:val="superscript"/>
              </w:rPr>
              <w:t>(9)</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4,456,528</w:t>
            </w:r>
          </w:p>
        </w:tc>
        <w:tc>
          <w:tcPr>
            <w:tcW w:w="2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2.39 %</w:t>
            </w:r>
          </w:p>
        </w:tc>
      </w:tr>
      <w:tr>
        <w:trPr>
          <w:trHeight w:val="216"/>
        </w:trPr>
        <w:tc>
          <w:tcPr>
            <w:tcW w:w="7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Roy A. Whitfield</w:t>
            </w:r>
            <w:r>
              <w:rPr>
                <w:rFonts w:ascii="Times New Roman" w:cs="Times New Roman" w:eastAsia="Times New Roman" w:hAnsi="Times New Roman"/>
                <w:sz w:val="24"/>
                <w:szCs w:val="24"/>
                <w:color w:val="auto"/>
                <w:vertAlign w:val="superscript"/>
              </w:rPr>
              <w:t>(10)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546,750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62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Sandra Gardiner</w:t>
            </w:r>
            <w:r>
              <w:rPr>
                <w:rFonts w:ascii="Times New Roman" w:cs="Times New Roman" w:eastAsia="Times New Roman" w:hAnsi="Times New Roman"/>
                <w:sz w:val="24"/>
                <w:szCs w:val="24"/>
                <w:color w:val="auto"/>
                <w:vertAlign w:val="superscript"/>
              </w:rPr>
              <w:t>(11)</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76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Mark A. Wilson</w:t>
            </w:r>
            <w:r>
              <w:rPr>
                <w:rFonts w:ascii="Times New Roman" w:cs="Times New Roman" w:eastAsia="Times New Roman" w:hAnsi="Times New Roman"/>
                <w:sz w:val="24"/>
                <w:szCs w:val="24"/>
                <w:color w:val="auto"/>
                <w:vertAlign w:val="superscript"/>
              </w:rPr>
              <w:t>(12)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1,393,929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62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Jonathan Zalevsky, Ph.D.</w:t>
            </w:r>
            <w:r>
              <w:rPr>
                <w:rFonts w:ascii="Times New Roman" w:cs="Times New Roman" w:eastAsia="Times New Roman" w:hAnsi="Times New Roman"/>
                <w:sz w:val="24"/>
                <w:szCs w:val="24"/>
                <w:color w:val="auto"/>
                <w:vertAlign w:val="superscript"/>
              </w:rPr>
              <w:t>(13)</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1,724,016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executive officers and directors as a group (9 persons)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9,765,653</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5.25 %</w:t>
            </w:r>
          </w:p>
        </w:tc>
      </w:tr>
    </w:tbl>
    <w:p>
      <w:pPr>
        <w:ind w:left="180" w:hanging="172"/>
        <w:spacing w:after="0" w:line="224" w:lineRule="auto"/>
        <w:tabs>
          <w:tab w:leader="none" w:pos="1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Denotes ownership percentage less than 1%.</w:t>
      </w:r>
    </w:p>
    <w:p>
      <w:pPr>
        <w:spacing w:after="0" w:line="55" w:lineRule="exact"/>
        <w:rPr>
          <w:sz w:val="20"/>
          <w:szCs w:val="20"/>
          <w:color w:val="auto"/>
        </w:rPr>
      </w:pPr>
    </w:p>
    <w:p>
      <w:pPr>
        <w:jc w:val="both"/>
        <w:ind w:right="20" w:firstLine="8"/>
        <w:spacing w:after="0" w:line="213" w:lineRule="auto"/>
        <w:tabs>
          <w:tab w:leader="none" w:pos="25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4"/>
          <w:szCs w:val="14"/>
          <w:color w:val="auto"/>
        </w:rPr>
        <w:t>This table is based upon information supplied by officers, directors and principal stockholders and Schedules 13G filed with the SEC. Unless otherwise indicated in the footnotes to this table, and subject to community property laws where applicable, we believe that each of the stockholders named in the table has sole voting and investment power with respect to the shares indicated as beneficially owned. Applicable percentages are based on 186,103,588 shares outstanding on March 6, 2025, adjusted as required by rules promulgated by the SEC.</w:t>
      </w:r>
    </w:p>
    <w:p>
      <w:pPr>
        <w:spacing w:after="0" w:line="16" w:lineRule="exact"/>
        <w:rPr>
          <w:rFonts w:ascii="Times New Roman" w:cs="Times New Roman" w:eastAsia="Times New Roman" w:hAnsi="Times New Roman"/>
          <w:sz w:val="22"/>
          <w:szCs w:val="22"/>
          <w:color w:val="auto"/>
        </w:rPr>
      </w:pPr>
    </w:p>
    <w:p>
      <w:pPr>
        <w:ind w:left="760" w:right="60" w:hanging="378"/>
        <w:spacing w:after="0" w:line="229" w:lineRule="auto"/>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 filed with the SEC on March 15, 2024 by TCG Crossover GP II, LLC, TCG Crossover Fund II, L.P, and Mr. Chen Yu. Each of TCG Crossover GP II, LLC, TCG Crossover Fund II, L.P, and Mr. Chen Yu have shared voting and dispositive power over 20,046,350 shares of our common stock (consists of (i) 3,000,000 shares of our common stock and (ii) 17,046,350 shares of our common stock, issuable upon exercise of certain Pre-Funded Warrants (as defined and described in our Current Report on Form 8-K filed with the SEC on March 4, 2024) and excludes 7,953,650 shares of our common stock issuable upon exercise of certain Pre-Funded Warrants because the Pre-Funded Warrants may not be exercised to the extent that doing so would result in the holder of the Pre-Funded Warrants (together with the holder’s affiliates and any other persons acting as a group together with the holder or any of the holder’s affiliates) beneficially owning more than 9.99% of the shares of our common stock then outstanding immediately after giving effect to such exercise). The principal business address of each of TCG Crossover GP II, LLC, TCG Crossover Fund II, L.P, and Mr. Chen Yu is 705 High St., Palo Alto, CA 94301.</w:t>
      </w:r>
    </w:p>
    <w:p>
      <w:pPr>
        <w:spacing w:after="0" w:line="1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 filed with the SEC on November 8, 2024 by BlackRock, Inc., a parent holding company or control person in accordance with Rule 13d-1(b)(1)(ii)</w:t>
      </w:r>
    </w:p>
    <w:p>
      <w:pPr>
        <w:spacing w:after="0" w:line="3" w:lineRule="exact"/>
        <w:rPr>
          <w:rFonts w:ascii="Times New Roman" w:cs="Times New Roman" w:eastAsia="Times New Roman" w:hAnsi="Times New Roman"/>
          <w:sz w:val="14"/>
          <w:szCs w:val="14"/>
          <w:color w:val="auto"/>
        </w:rPr>
      </w:pPr>
    </w:p>
    <w:p>
      <w:pPr>
        <w:ind w:left="760" w:right="42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 BlackRock, Inc. has the sole voting power with respect to 15,969,345 shares of our common stock and the sole dispositive power with respect to 15,969,345 shares of our common stock. The principal business address of BlackRock, Inc. is 50 Hudson Yards, New York, NY 10001.</w:t>
      </w:r>
    </w:p>
    <w:p>
      <w:pPr>
        <w:spacing w:after="0" w:line="14" w:lineRule="exact"/>
        <w:rPr>
          <w:rFonts w:ascii="Times New Roman" w:cs="Times New Roman" w:eastAsia="Times New Roman" w:hAnsi="Times New Roman"/>
          <w:sz w:val="14"/>
          <w:szCs w:val="14"/>
          <w:color w:val="auto"/>
        </w:rPr>
      </w:pPr>
    </w:p>
    <w:p>
      <w:pPr>
        <w:ind w:left="760" w:right="40" w:hanging="378"/>
        <w:spacing w:after="0" w:line="241" w:lineRule="auto"/>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13G/A (Amendment No. 13) filed with the SEC on February 13, 2024 by The Vanguard Group Inc., a registered investment adviser in accordance with Rule 240.13d-1(b)(1)(ii)(E). The Vanguard Group has sole dispositive power over 11,974,323 shares of our common stock and shared dispositive power over 68,550 shares of our common stock. The address of The Vanguard Group is 100 Vanguard Blvd., Malvern, PA 19355.</w:t>
      </w:r>
    </w:p>
    <w:p>
      <w:pPr>
        <w:spacing w:after="0" w:line="14" w:lineRule="exact"/>
        <w:rPr>
          <w:rFonts w:ascii="Times New Roman" w:cs="Times New Roman" w:eastAsia="Times New Roman" w:hAnsi="Times New Roman"/>
          <w:sz w:val="14"/>
          <w:szCs w:val="14"/>
          <w:color w:val="auto"/>
        </w:rPr>
      </w:pPr>
    </w:p>
    <w:p>
      <w:pPr>
        <w:ind w:left="760" w:right="40" w:hanging="378"/>
        <w:spacing w:after="0" w:line="246" w:lineRule="auto"/>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13G filed with the SEC on February 14, 2025 by Samlyn Capital, LLC, Samlyn, LP, and Mr. Robert Pohly. Each of Samlyn Capital, LLC, Samlyn, LP, and Mr. Robert Pohly have shared voting and dispositive power over 9,667,048 shares of our common stock. The principal business address of each of Samlyn Capital, LLC, Samlyn, LP, and Mr. Robert Pohly is 500 Park Avenue, 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4"/>
          <w:szCs w:val="14"/>
          <w:color w:val="auto"/>
        </w:rPr>
        <w:t xml:space="preserve"> Floor, New York, NY 10022.</w:t>
      </w:r>
    </w:p>
    <w:p>
      <w:pPr>
        <w:spacing w:after="0" w:line="2"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292,750 shares issuable upon exercise of stock options exercisable within 60 days of February 27, 2025.</w:t>
      </w:r>
    </w:p>
    <w:p>
      <w:pPr>
        <w:spacing w:after="0" w:line="25"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212,120 shares issuable upon exercise of stock options exercisable within 60 days of February 27, 2025.</w:t>
      </w:r>
    </w:p>
    <w:p>
      <w:pPr>
        <w:spacing w:after="0" w:line="4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259,000 shares issuable upon exercise of stock options exercisable within 60 days of February 27, 2025.</w:t>
      </w:r>
    </w:p>
    <w:p>
      <w:pPr>
        <w:spacing w:after="0" w:line="4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259,000 shares issuable upon exercise of stock options exercisable within 60 days of February 27, 2025.</w:t>
      </w:r>
    </w:p>
    <w:p>
      <w:pPr>
        <w:spacing w:after="0" w:line="4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3,482,318 shares issuable upon exercise of stock options exercisable within 60 days of February 27, 2025 and (ii) 410 shares owned by Mr. Robin’s spouse.</w:t>
      </w:r>
    </w:p>
    <w:p>
      <w:pPr>
        <w:spacing w:after="0" w:line="41" w:lineRule="exact"/>
        <w:rPr>
          <w:rFonts w:ascii="Times New Roman" w:cs="Times New Roman" w:eastAsia="Times New Roman" w:hAnsi="Times New Roman"/>
          <w:sz w:val="14"/>
          <w:szCs w:val="14"/>
          <w:color w:val="auto"/>
        </w:rPr>
      </w:pPr>
    </w:p>
    <w:p>
      <w:pPr>
        <w:ind w:left="760" w:right="120" w:hanging="378"/>
        <w:spacing w:after="0" w:line="261" w:lineRule="auto"/>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259,000 shares issuable upon exercise of stock options exercisable within 60 days of February 27, 2025 and (ii) 71,500 shares held in trusts for Mr. Whitfield’s children under which Mr. Whitfield is the sole trustee.</w:t>
      </w:r>
    </w:p>
    <w:p>
      <w:pPr>
        <w:ind w:left="760" w:hanging="378"/>
        <w:spacing w:after="0"/>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Gardiner does not own any common stock of the Company.</w:t>
      </w:r>
    </w:p>
    <w:p>
      <w:pPr>
        <w:spacing w:after="0" w:line="41" w:lineRule="exact"/>
        <w:rPr>
          <w:rFonts w:ascii="Times New Roman" w:cs="Times New Roman" w:eastAsia="Times New Roman" w:hAnsi="Times New Roman"/>
          <w:sz w:val="14"/>
          <w:szCs w:val="14"/>
          <w:color w:val="auto"/>
        </w:rPr>
      </w:pPr>
    </w:p>
    <w:p>
      <w:pPr>
        <w:ind w:left="760" w:right="360" w:hanging="378"/>
        <w:spacing w:after="0" w:line="261" w:lineRule="auto"/>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1,113,910 shares issuable upon exercise of stock options exercisable within 60 days of February 27, 2025 and (ii) 7,107 shares issued pursuant to our Amended and Restated Employee Stock Purchase Plan.</w:t>
      </w:r>
    </w:p>
    <w:p>
      <w:pPr>
        <w:ind w:left="760" w:hanging="378"/>
        <w:spacing w:after="0"/>
        <w:tabs>
          <w:tab w:leader="none" w:pos="7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1,442,112 shares issuable upon exercise of stock options exercisable within 60 days of February 27,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Person Transactions, and Director Independence.</w:t>
      </w:r>
    </w:p>
    <w:p>
      <w:pPr>
        <w:spacing w:after="0" w:line="202" w:lineRule="exact"/>
        <w:rPr>
          <w:sz w:val="20"/>
          <w:szCs w:val="20"/>
          <w:color w:val="auto"/>
        </w:rPr>
      </w:pPr>
    </w:p>
    <w:p>
      <w:pPr>
        <w:ind w:right="240" w:firstLine="644"/>
        <w:spacing w:after="0" w:line="266" w:lineRule="auto"/>
        <w:rPr>
          <w:sz w:val="20"/>
          <w:szCs w:val="20"/>
          <w:color w:val="auto"/>
        </w:rPr>
      </w:pPr>
      <w:r>
        <w:rPr>
          <w:rFonts w:ascii="Times New Roman" w:cs="Times New Roman" w:eastAsia="Times New Roman" w:hAnsi="Times New Roman"/>
          <w:sz w:val="18"/>
          <w:szCs w:val="18"/>
          <w:color w:val="auto"/>
        </w:rPr>
        <w:t>We review all relationships and transactions between us and (i) any of our directors or executive officers, (ii) any nominee for election as a director, (iii) any security holder who is known to us to own beneficially or of record more than five percent of our common stock or (iv) any member of the immediate family of any of the foregoing. Our legal staff is primarily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responsible for the development and implementation of processes and controls to obtain information with respect to related person transactions and for then determining, based on the facts and circumstances, whether the Company or a related person has a direct or indirect material interest in the transaction. In addition, the Audit Committee of the board of directors reviews and approves or ratifies any related person transaction that is required to be disclosed. In the course of its review and approval or ratification of a disclosable related person transaction, the committee considers:</w:t>
      </w:r>
    </w:p>
    <w:p>
      <w:pPr>
        <w:spacing w:after="0" w:line="126" w:lineRule="exact"/>
        <w:rPr>
          <w:sz w:val="20"/>
          <w:szCs w:val="20"/>
          <w:color w:val="auto"/>
        </w:rPr>
      </w:pPr>
    </w:p>
    <w:p>
      <w:pPr>
        <w:ind w:left="1300" w:hanging="648"/>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transaction, including, without limitation, the dollar amount and type of transaction;</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to the related person;</w:t>
      </w:r>
    </w:p>
    <w:p>
      <w:pPr>
        <w:spacing w:after="0" w:line="17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impair the judgment of a director or executive officer to act in the best interest of the Company; and</w:t>
      </w:r>
    </w:p>
    <w:p>
      <w:pPr>
        <w:spacing w:after="0" w:line="157"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the committee deems appropriate.</w:t>
      </w:r>
    </w:p>
    <w:p>
      <w:pPr>
        <w:spacing w:after="0" w:line="185"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Any member of the Audit Committee who is a related person with respect to a transaction under review may not participate in the deliberations or vote respecting approval or ratification of the transaction; however, such director may be counted in determining the presence of a quorum at a meeting where the Audit Committee reviews the transaction.</w:t>
      </w:r>
    </w:p>
    <w:p>
      <w:pPr>
        <w:spacing w:after="0" w:line="149"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As required under SEC rules, related party transactions that are determined to be directly or indirectly material to us or the related party are disclosed in our Annual Report on Form 10-K. Historically, we have not entered into transactions with related parties. On April 7, 2023, we entered into a consulting agreement with FLG Partners, LLC (“FLG Partners”), pursuant to which Sandra Gardiner, a partner at FLG Partners, provides consulting services to us and serves as our Interim Chief Financial Officer. In 2024, we paid FLG Partners $460,850 for the consulting services of Ms. Gardiner and $3,997 for reimbursement of out-of-pocket travel expenses.</w:t>
      </w:r>
    </w:p>
    <w:p>
      <w:pPr>
        <w:spacing w:after="0" w:line="143" w:lineRule="exact"/>
        <w:rPr>
          <w:sz w:val="20"/>
          <w:szCs w:val="20"/>
          <w:color w:val="auto"/>
        </w:rPr>
      </w:pPr>
    </w:p>
    <w:p>
      <w:pPr>
        <w:ind w:right="320" w:firstLine="644"/>
        <w:spacing w:after="0" w:line="282" w:lineRule="auto"/>
        <w:rPr>
          <w:sz w:val="20"/>
          <w:szCs w:val="20"/>
          <w:color w:val="auto"/>
        </w:rPr>
      </w:pPr>
      <w:r>
        <w:rPr>
          <w:rFonts w:ascii="Times New Roman" w:cs="Times New Roman" w:eastAsia="Times New Roman" w:hAnsi="Times New Roman"/>
          <w:sz w:val="18"/>
          <w:szCs w:val="18"/>
          <w:color w:val="auto"/>
        </w:rPr>
        <w:t>During the 2024 fiscal year, there were no other relationships or transactions between us and any related party for which disclosure is required under the rules of the SEC.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02"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As required under the Nasdaq Capital Market listing standards, a majority of the members of a listed company’s board of directors must qualify as “independent,” as affirmatively determined by the board of directors. Our board of directors consults with counsel to ensure that its determinations are consistent with all relevant securities and other laws and regulations regarding the definition of “independent,” including those set forth in pertinent Nasdaq listing standards, as in effect from time to time.</w:t>
      </w:r>
    </w:p>
    <w:p>
      <w:pPr>
        <w:spacing w:after="0" w:line="139"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Consistent with these standards, after review of all relevant transactions (if any) or relationships between each director, or any of his or her family members, and us, our senior management and our independent registered public accounting firm, the board has affirmatively determined that all of our directors are independent directors within the meaning of the applicable Nasdaq listing standards, except for Mr. Robin, our President and Chief Executive Officer.</w:t>
      </w:r>
    </w:p>
    <w:p>
      <w:pPr>
        <w:spacing w:after="0" w:line="139" w:lineRule="exact"/>
        <w:rPr>
          <w:sz w:val="20"/>
          <w:szCs w:val="20"/>
          <w:color w:val="auto"/>
        </w:rPr>
      </w:pPr>
    </w:p>
    <w:p>
      <w:pPr>
        <w:ind w:right="340" w:firstLine="644"/>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in the 2024 fiscal year, our independent directors met five times in regularly scheduled executive sessions. The Lead Director, Mr. Whitfield, presided over such sessions at which only independent directors were present.</w:t>
      </w:r>
    </w:p>
    <w:p>
      <w:pPr>
        <w:spacing w:after="0" w:line="135" w:lineRule="exact"/>
        <w:rPr>
          <w:sz w:val="20"/>
          <w:szCs w:val="20"/>
          <w:color w:val="auto"/>
        </w:rPr>
      </w:pPr>
    </w:p>
    <w:p>
      <w:pPr>
        <w:ind w:right="200" w:firstLine="644"/>
        <w:spacing w:after="0" w:line="256" w:lineRule="auto"/>
        <w:rPr>
          <w:sz w:val="20"/>
          <w:szCs w:val="20"/>
          <w:color w:val="auto"/>
        </w:rPr>
      </w:pPr>
      <w:r>
        <w:rPr>
          <w:rFonts w:ascii="Times New Roman" w:cs="Times New Roman" w:eastAsia="Times New Roman" w:hAnsi="Times New Roman"/>
          <w:sz w:val="18"/>
          <w:szCs w:val="18"/>
          <w:color w:val="auto"/>
        </w:rPr>
        <w:t>The board of directors has three regularly constituted committees: an Audit Committee, an Organization and Compensation Committee, and a Nominating and Corporate Governance Committee. As of December 31, 2024, the Audit Committee members consist of Mr. Greer, Mr. Ajer, and Mr. Whitfield, the Organization and Compensation Committee members consist of Dr. Brainard, Mr. Ajer and Mr. Greer, and the Nominating and Corporate Governance Committee consist of Mr. Whitfield, Mr. Ajer, and Mr. Greer. The board of directors has determined that each member of each committee meets the applicable rules and regulations regarding “independence” and that each member is free of any relationship that would interfere with his or her individual exercise of independent judgment with regard to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202" w:lineRule="exact"/>
        <w:rPr>
          <w:sz w:val="20"/>
          <w:szCs w:val="20"/>
          <w:color w:val="auto"/>
        </w:rPr>
      </w:pPr>
    </w:p>
    <w:p>
      <w:pPr>
        <w:ind w:right="280" w:firstLine="644"/>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fiscal years ended December 31, 2024 and December 31, 2023 by Ernst &amp; Young LLP, our independent registered public accounting firm.</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FFFFFF"/>
              </w:rPr>
              <w:t>x</w:t>
            </w:r>
          </w:p>
        </w:tc>
        <w:tc>
          <w:tcPr>
            <w:tcW w:w="3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FFFFFF"/>
              </w:rPr>
              <w:t>x</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1,641,815</w:t>
            </w:r>
          </w:p>
        </w:tc>
        <w:tc>
          <w:tcPr>
            <w:tcW w:w="8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1,901,271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Related Fees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1,647,015</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1,907,418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300" w:firstLine="644"/>
        <w:spacing w:after="0" w:line="267"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This category consists of fees related to the audit of our annual consolidated financial statements, review of interim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our quarterly reports on Form 10-Q, and services that are normally provided by the independent registered public accounting firm in connection with statutory audit, registration statements and other regulatory filings.</w:t>
      </w:r>
    </w:p>
    <w:p>
      <w:pPr>
        <w:spacing w:after="0" w:line="133" w:lineRule="exact"/>
        <w:rPr>
          <w:sz w:val="20"/>
          <w:szCs w:val="20"/>
          <w:color w:val="auto"/>
        </w:rPr>
      </w:pPr>
    </w:p>
    <w:p>
      <w:pPr>
        <w:ind w:right="220" w:firstLine="644"/>
        <w:spacing w:after="0" w:line="284" w:lineRule="auto"/>
        <w:rPr>
          <w:sz w:val="20"/>
          <w:szCs w:val="20"/>
          <w:color w:val="auto"/>
        </w:rPr>
      </w:pPr>
      <w:r>
        <w:rPr>
          <w:rFonts w:ascii="Times New Roman" w:cs="Times New Roman" w:eastAsia="Times New Roman" w:hAnsi="Times New Roman"/>
          <w:sz w:val="18"/>
          <w:szCs w:val="18"/>
          <w:i w:val="1"/>
          <w:iCs w:val="1"/>
          <w:color w:val="auto"/>
        </w:rPr>
        <w:t>Audit Related Fees</w:t>
      </w:r>
      <w:r>
        <w:rPr>
          <w:rFonts w:ascii="Times New Roman" w:cs="Times New Roman" w:eastAsia="Times New Roman" w:hAnsi="Times New Roman"/>
          <w:sz w:val="18"/>
          <w:szCs w:val="18"/>
          <w:color w:val="auto"/>
        </w:rPr>
        <w:t>. This category consists of fees related to assurance and related services by the independent registered public accounting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reasonably related to the performance of the audit or review of our financial statements and are not reported under Audit Fees above.</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This category consists of fees related to services provided for international tax compliance and tax consultation services.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This category consists of fees related to accessing Ernst &amp; Young LLP’s online research database in 2024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02"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The Audit Committee has adopted policies and procedures for the pre-approval of audit and non-audit services rendered by our independent registered public accounting firm, Ernst &amp; Young LLP. The policy generally requires pre-approval for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147"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Prior to Ernst &amp; Young LLP rendering services other than audit services, the Audit Committee would review and approve such non-audit services only if such services were compatible with maintaining Ernst &amp; Young LLP’s status as our independent registered public accounting firm.</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approved all fees described above.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15. Exhibits and Financial Statement Schedules</w:t>
      </w:r>
    </w:p>
    <w:p>
      <w:pPr>
        <w:spacing w:after="0" w:line="202" w:lineRule="exact"/>
        <w:rPr>
          <w:sz w:val="20"/>
          <w:szCs w:val="20"/>
          <w:color w:val="auto"/>
        </w:rPr>
      </w:pPr>
    </w:p>
    <w:p>
      <w:pPr>
        <w:ind w:left="1300" w:hanging="648"/>
        <w:spacing w:after="0"/>
        <w:tabs>
          <w:tab w:leader="none" w:pos="130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following documents are filed as part of this report:</w:t>
      </w:r>
    </w:p>
    <w:p>
      <w:pPr>
        <w:spacing w:after="0" w:line="185" w:lineRule="exact"/>
        <w:rPr>
          <w:sz w:val="20"/>
          <w:szCs w:val="20"/>
          <w:color w:val="auto"/>
        </w:rPr>
      </w:pPr>
    </w:p>
    <w:p>
      <w:pPr>
        <w:ind w:left="1300" w:hanging="648"/>
        <w:spacing w:after="0"/>
        <w:tabs>
          <w:tab w:leader="none" w:pos="13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Consolidated Financial Statements: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statements are filed as part of this Annual Report on Form 10-K under Item 8 “Financial Statements and Supplementary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Page</w:t>
            </w:r>
          </w:p>
        </w:tc>
      </w:tr>
      <w:tr>
        <w:trPr>
          <w:trHeight w:val="169"/>
        </w:trPr>
        <w:tc>
          <w:tcPr>
            <w:tcW w:w="20" w:type="dxa"/>
            <w:vAlign w:val="bottom"/>
            <w:shd w:val="clear" w:color="auto" w:fill="CCEEFF"/>
          </w:tcPr>
          <w:p>
            <w:pPr>
              <w:spacing w:after="0"/>
              <w:rPr>
                <w:sz w:val="14"/>
                <w:szCs w:val="14"/>
                <w:color w:val="auto"/>
              </w:rPr>
            </w:pPr>
          </w:p>
        </w:tc>
        <w:tc>
          <w:tcPr>
            <w:tcW w:w="10520" w:type="dxa"/>
            <w:vAlign w:val="bottom"/>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57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52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Consolidated Balance Sheets at December 31, 2024 and 2023</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r>
      <w:tr>
        <w:trPr>
          <w:trHeight w:val="21"/>
        </w:trPr>
        <w:tc>
          <w:tcPr>
            <w:tcW w:w="20" w:type="dxa"/>
            <w:vAlign w:val="bottom"/>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540" w:type="dxa"/>
            <w:vAlign w:val="bottom"/>
            <w:tcBorders>
              <w:bottom w:val="single" w:sz="8" w:color="0000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Consolidated Statements of Operations for each of the two years in the period ended December 31, 2024</w:t>
            </w:r>
          </w:p>
        </w:tc>
        <w:tc>
          <w:tcPr>
            <w:tcW w:w="2980" w:type="dxa"/>
            <w:vAlign w:val="bottom"/>
            <w:tcBorders>
              <w:bottom w:val="single" w:sz="8" w:color="CCEEFF"/>
            </w:tcBorders>
            <w:gridSpan w:val="3"/>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176"/>
        </w:trPr>
        <w:tc>
          <w:tcPr>
            <w:tcW w:w="1054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color w:val="0000FF"/>
              </w:rPr>
              <w:t>Consolidated Statements of Comprehensive Loss for each of the two years in the period ended December 31, 2024</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05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Stockholders’ Equity for each of the two years in the period ended December 31, 2024</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176"/>
        </w:trPr>
        <w:tc>
          <w:tcPr>
            <w:tcW w:w="20" w:type="dxa"/>
            <w:vAlign w:val="bottom"/>
            <w:tcBorders>
              <w:top w:val="single" w:sz="8" w:color="CCEEFF"/>
            </w:tcBorders>
          </w:tcPr>
          <w:p>
            <w:pPr>
              <w:spacing w:after="0"/>
              <w:rPr>
                <w:sz w:val="15"/>
                <w:szCs w:val="15"/>
                <w:color w:val="auto"/>
              </w:rPr>
            </w:pPr>
          </w:p>
        </w:tc>
        <w:tc>
          <w:tcPr>
            <w:tcW w:w="8260" w:type="dxa"/>
            <w:vAlign w:val="bottom"/>
            <w:tcBorders>
              <w:top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Cash Flows for each of the two years in the period ended December 31, 2024</w:t>
            </w:r>
          </w:p>
        </w:tc>
        <w:tc>
          <w:tcPr>
            <w:tcW w:w="226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r>
      <w:tr>
        <w:trPr>
          <w:trHeight w:val="21"/>
        </w:trPr>
        <w:tc>
          <w:tcPr>
            <w:tcW w:w="20" w:type="dxa"/>
            <w:vAlign w:val="bottom"/>
          </w:tcPr>
          <w:p>
            <w:pPr>
              <w:spacing w:after="0" w:line="20" w:lineRule="exact"/>
              <w:rPr>
                <w:sz w:val="1"/>
                <w:szCs w:val="1"/>
                <w:color w:val="auto"/>
              </w:rPr>
            </w:pPr>
          </w:p>
        </w:tc>
        <w:tc>
          <w:tcPr>
            <w:tcW w:w="31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1054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1300" w:hanging="648"/>
        <w:spacing w:after="0"/>
        <w:tabs>
          <w:tab w:leader="none" w:pos="130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Financial Statement Schedules:</w:t>
      </w:r>
    </w:p>
    <w:p>
      <w:pPr>
        <w:spacing w:after="0" w:line="200" w:lineRule="exact"/>
        <w:rPr>
          <w:sz w:val="20"/>
          <w:szCs w:val="20"/>
          <w:color w:val="auto"/>
        </w:rPr>
      </w:pPr>
    </w:p>
    <w:p>
      <w:pPr>
        <w:ind w:right="180" w:firstLine="64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or the information required is presented in our consolidated financial statements and notes thereto under Item 8 of this Annual Report on Form 10-K.</w:t>
      </w:r>
    </w:p>
    <w:p>
      <w:pPr>
        <w:spacing w:after="0" w:line="119" w:lineRule="exact"/>
        <w:rPr>
          <w:sz w:val="20"/>
          <w:szCs w:val="20"/>
          <w:color w:val="auto"/>
        </w:rPr>
      </w:pPr>
    </w:p>
    <w:p>
      <w:pPr>
        <w:ind w:left="1300" w:hanging="648"/>
        <w:spacing w:after="0"/>
        <w:tabs>
          <w:tab w:leader="none" w:pos="13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Exhibits.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so indicated in Exhibit 32.1, the following exhibits are filed as part of, or incorporated by reference into,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16. Form 10-K Summary.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 provided.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Documents</w:t>
            </w:r>
          </w:p>
        </w:tc>
      </w:tr>
      <w:tr>
        <w:trPr>
          <w:trHeight w:val="38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54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382">
              <w:r>
                <w:rPr>
                  <w:rFonts w:ascii="Times New Roman" w:cs="Times New Roman" w:eastAsia="Times New Roman" w:hAnsi="Times New Roman"/>
                  <w:sz w:val="18"/>
                  <w:szCs w:val="18"/>
                  <w:color w:val="0000FF"/>
                  <w:w w:val="99"/>
                </w:rPr>
                <w:t>Certificate of Incorporation of Inhale Therapeutic Systems (Delaware), Inc.</w:t>
              </w:r>
            </w:hyperlink>
          </w:p>
        </w:tc>
        <w:tc>
          <w:tcPr>
            <w:tcW w:w="20" w:type="dxa"/>
            <w:vAlign w:val="bottom"/>
            <w:tcBorders>
              <w:bottom w:val="single" w:sz="8" w:color="0000EE"/>
            </w:tcBorders>
          </w:tcPr>
          <w:p>
            <w:pPr>
              <w:spacing w:after="0"/>
              <w:rPr>
                <w:sz w:val="24"/>
                <w:szCs w:val="24"/>
                <w:color w:val="auto"/>
              </w:rPr>
            </w:pPr>
          </w:p>
        </w:tc>
        <w:tc>
          <w:tcPr>
            <w:tcW w:w="4620" w:type="dxa"/>
            <w:vAlign w:val="bottom"/>
            <w:gridSpan w:val="4"/>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24"/>
                <w:szCs w:val="24"/>
                <w:color w:val="auto"/>
              </w:rPr>
            </w:pPr>
          </w:p>
        </w:tc>
        <w:tc>
          <w:tcPr>
            <w:tcW w:w="77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Certificate of Amendment of the Amended Certificate of Incorporation of Inhale Therapeutic Systems, Inc.</w:t>
              </w:r>
            </w:hyperlink>
          </w:p>
        </w:tc>
        <w:tc>
          <w:tcPr>
            <w:tcW w:w="2360" w:type="dxa"/>
            <w:vAlign w:val="bottom"/>
            <w:gridSpan w:val="3"/>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24"/>
                <w:szCs w:val="24"/>
                <w:color w:val="auto"/>
              </w:rPr>
            </w:pPr>
          </w:p>
        </w:tc>
        <w:tc>
          <w:tcPr>
            <w:tcW w:w="44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Certificate of Ownership and Merger of Nektar Therapeutics.</w:t>
              </w:r>
            </w:hyperlink>
          </w:p>
        </w:tc>
        <w:tc>
          <w:tcPr>
            <w:tcW w:w="5660" w:type="dxa"/>
            <w:vAlign w:val="bottom"/>
            <w:gridSpan w:val="7"/>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24"/>
                <w:szCs w:val="24"/>
                <w:color w:val="auto"/>
              </w:rPr>
            </w:pPr>
          </w:p>
        </w:tc>
        <w:tc>
          <w:tcPr>
            <w:tcW w:w="81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Certificate of Ownership and Merger of Nektar Therapeutics AL, Corporation with and into Nektar Therapeutics.</w:t>
              </w:r>
            </w:hyperlink>
          </w:p>
        </w:tc>
        <w:tc>
          <w:tcPr>
            <w:tcW w:w="1920" w:type="dxa"/>
            <w:vAlign w:val="bottom"/>
            <w:gridSpan w:val="2"/>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Pr>
          <w:p>
            <w:pPr>
              <w:spacing w:after="0"/>
              <w:rPr>
                <w:sz w:val="24"/>
                <w:szCs w:val="24"/>
                <w:color w:val="auto"/>
              </w:rPr>
            </w:pPr>
          </w:p>
        </w:tc>
        <w:tc>
          <w:tcPr>
            <w:tcW w:w="40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Amended and Restated Bylaws of Nektar Therapeutics.</w:t>
              </w:r>
            </w:hyperlink>
          </w:p>
        </w:tc>
        <w:tc>
          <w:tcPr>
            <w:tcW w:w="6080" w:type="dxa"/>
            <w:vAlign w:val="bottom"/>
            <w:gridSpan w:val="9"/>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382">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auto"/>
              </w:rPr>
              <w:t xml:space="preserve">, </w:t>
            </w:r>
            <w:hyperlink r:id="rId383">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 xml:space="preserve">, </w:t>
            </w:r>
            <w:hyperlink r:id="rId384">
              <w:r>
                <w:rPr>
                  <w:rFonts w:ascii="Times New Roman" w:cs="Times New Roman" w:eastAsia="Times New Roman" w:hAnsi="Times New Roman"/>
                  <w:sz w:val="18"/>
                  <w:szCs w:val="18"/>
                  <w:color w:val="0000FF"/>
                </w:rPr>
                <w:t>3.3</w:t>
              </w:r>
            </w:hyperlink>
            <w:r>
              <w:rPr>
                <w:rFonts w:ascii="Times New Roman" w:cs="Times New Roman" w:eastAsia="Times New Roman" w:hAnsi="Times New Roman"/>
                <w:sz w:val="18"/>
                <w:szCs w:val="18"/>
                <w:color w:val="auto"/>
              </w:rPr>
              <w:t xml:space="preserve">, </w:t>
            </w:r>
            <w:hyperlink r:id="rId385">
              <w:r>
                <w:rPr>
                  <w:rFonts w:ascii="Times New Roman" w:cs="Times New Roman" w:eastAsia="Times New Roman" w:hAnsi="Times New Roman"/>
                  <w:sz w:val="18"/>
                  <w:szCs w:val="18"/>
                  <w:color w:val="0000FF"/>
                </w:rPr>
                <w:t>3.4</w:t>
              </w:r>
            </w:hyperlink>
            <w:r>
              <w:rPr>
                <w:rFonts w:ascii="Times New Roman" w:cs="Times New Roman" w:eastAsia="Times New Roman" w:hAnsi="Times New Roman"/>
                <w:sz w:val="18"/>
                <w:szCs w:val="18"/>
                <w:color w:val="auto"/>
              </w:rPr>
              <w:t xml:space="preserve">, and </w:t>
            </w:r>
            <w:hyperlink r:id="rId387">
              <w:r>
                <w:rPr>
                  <w:rFonts w:ascii="Times New Roman" w:cs="Times New Roman" w:eastAsia="Times New Roman" w:hAnsi="Times New Roman"/>
                  <w:sz w:val="18"/>
                  <w:szCs w:val="18"/>
                  <w:color w:val="0000FF"/>
                </w:rPr>
                <w:t>3.5</w:t>
              </w:r>
            </w:hyperlink>
            <w:r>
              <w:rPr>
                <w:rFonts w:ascii="Times New Roman" w:cs="Times New Roman" w:eastAsia="Times New Roman" w:hAnsi="Times New Roman"/>
                <w:sz w:val="18"/>
                <w:szCs w:val="18"/>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Specimen Common Stock certificate.</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4"/>
            <w:shd w:val="clear" w:color="auto" w:fill="0000FF"/>
          </w:tcPr>
          <w:p>
            <w:pPr>
              <w:spacing w:after="0" w:line="20" w:lineRule="exact"/>
              <w:rPr>
                <w:sz w:val="1"/>
                <w:szCs w:val="1"/>
                <w:color w:val="auto"/>
              </w:rPr>
            </w:pPr>
          </w:p>
        </w:tc>
        <w:tc>
          <w:tcPr>
            <w:tcW w:w="840" w:type="dxa"/>
            <w:vAlign w:val="bottom"/>
            <w:tcBorders>
              <w:left w:val="single" w:sz="8" w:color="0000EE"/>
            </w:tcBorders>
            <w:gridSpan w:val="6"/>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24"/>
                <w:szCs w:val="24"/>
                <w:color w:val="auto"/>
              </w:rPr>
            </w:pPr>
          </w:p>
        </w:tc>
        <w:tc>
          <w:tcPr>
            <w:tcW w:w="100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Indenture dated October 5, 2015 by and between Nektar Therapeutics and Wilmington Trust, National Association, and TC Lending, LLC</w:t>
              </w:r>
            </w:hyperlink>
          </w:p>
        </w:tc>
        <w:tc>
          <w:tcPr>
            <w:tcW w:w="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3"/>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including the form of 7.75% Senior Secured Note due 2020.</w:t>
              </w:r>
            </w:hyperlink>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4.4(28)</w:t>
            </w:r>
          </w:p>
        </w:tc>
        <w:tc>
          <w:tcPr>
            <w:tcW w:w="140" w:type="dxa"/>
            <w:vAlign w:val="bottom"/>
          </w:tcPr>
          <w:p>
            <w:pPr>
              <w:spacing w:after="0"/>
              <w:rPr>
                <w:sz w:val="24"/>
                <w:szCs w:val="24"/>
                <w:color w:val="auto"/>
              </w:rPr>
            </w:pPr>
          </w:p>
        </w:tc>
        <w:tc>
          <w:tcPr>
            <w:tcW w:w="432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Description of Securities.</w:t>
              </w:r>
            </w:hyperlink>
          </w:p>
        </w:tc>
        <w:tc>
          <w:tcPr>
            <w:tcW w:w="5760" w:type="dxa"/>
            <w:vAlign w:val="bottom"/>
            <w:gridSpan w:val="8"/>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391">
              <w:r>
                <w:rPr>
                  <w:rFonts w:ascii="Times New Roman" w:cs="Times New Roman" w:eastAsia="Times New Roman" w:hAnsi="Times New Roman"/>
                  <w:sz w:val="18"/>
                  <w:szCs w:val="18"/>
                  <w:color w:val="0000FF"/>
                </w:rPr>
                <w:t>Discretionary Incentive Compensation Policy++</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60" w:type="dxa"/>
            <w:vAlign w:val="bottom"/>
            <w:tcBorders>
              <w:right w:val="single" w:sz="8" w:color="0000FF"/>
            </w:tcBorders>
            <w:gridSpan w:val="5"/>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24"/>
                <w:szCs w:val="24"/>
                <w:color w:val="auto"/>
              </w:rPr>
            </w:pPr>
          </w:p>
        </w:tc>
        <w:tc>
          <w:tcPr>
            <w:tcW w:w="10080" w:type="dxa"/>
            <w:vAlign w:val="bottom"/>
            <w:gridSpan w:val="23"/>
          </w:tcPr>
          <w:p>
            <w:pPr>
              <w:spacing w:after="0"/>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Amended and Restated Change of Control Severance Benefit Plan.++</w:t>
              </w:r>
            </w:hyperlink>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24"/>
                <w:szCs w:val="24"/>
                <w:color w:val="auto"/>
              </w:rPr>
            </w:pPr>
          </w:p>
        </w:tc>
        <w:tc>
          <w:tcPr>
            <w:tcW w:w="502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2012 Performance Incentive Plan.++</w:t>
              </w:r>
            </w:hyperlink>
          </w:p>
        </w:tc>
        <w:tc>
          <w:tcPr>
            <w:tcW w:w="5060" w:type="dxa"/>
            <w:vAlign w:val="bottom"/>
            <w:gridSpan w:val="6"/>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061"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061"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160" w:right="180" w:hanging="113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10.4(10)</w:t>
      </w:r>
      <w:r>
        <w:rPr>
          <w:sz w:val="20"/>
          <w:szCs w:val="20"/>
          <w:color w:val="auto"/>
        </w:rPr>
        <w:tab/>
      </w:r>
      <w:hyperlink r:id="rId396">
        <w:r>
          <w:rPr>
            <w:rFonts w:ascii="Times New Roman" w:cs="Times New Roman" w:eastAsia="Times New Roman" w:hAnsi="Times New Roman"/>
            <w:sz w:val="18"/>
            <w:szCs w:val="18"/>
            <w:u w:val="single" w:color="auto"/>
            <w:color w:val="0000FF"/>
          </w:rPr>
          <w:t>Forms of Stock Option Agreement, Performance Stock Option Agreement, Restricted Stock Unit Agreement and Performance Restricted</w:t>
        </w:r>
      </w:hyperlink>
      <w:r>
        <w:rPr>
          <w:rFonts w:ascii="Times New Roman" w:cs="Times New Roman" w:eastAsia="Times New Roman" w:hAnsi="Times New Roman"/>
          <w:sz w:val="18"/>
          <w:szCs w:val="18"/>
          <w:u w:val="single" w:color="auto"/>
          <w:color w:val="0000FF"/>
        </w:rPr>
        <w:t xml:space="preserve"> </w:t>
      </w:r>
      <w:hyperlink r:id="rId396">
        <w:r>
          <w:rPr>
            <w:rFonts w:ascii="Times New Roman" w:cs="Times New Roman" w:eastAsia="Times New Roman" w:hAnsi="Times New Roman"/>
            <w:sz w:val="18"/>
            <w:szCs w:val="18"/>
            <w:u w:val="single" w:color="auto"/>
            <w:color w:val="0000FF"/>
          </w:rPr>
          <w:t>Stock Unit Agreement under the 2012 Performance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630110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630110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31965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3196590" cy="8255"/>
                    </a:xfrm>
                    <a:prstGeom prst="rect">
                      <a:avLst/>
                    </a:prstGeom>
                    <a:noFill/>
                  </pic:spPr>
                </pic:pic>
              </a:graphicData>
            </a:graphic>
          </wp:anchor>
        </w:drawing>
      </w:r>
    </w:p>
    <w:p>
      <w:pPr>
        <w:spacing w:after="0" w:line="142" w:lineRule="exact"/>
        <w:rPr>
          <w:sz w:val="20"/>
          <w:szCs w:val="20"/>
          <w:color w:val="auto"/>
        </w:rPr>
      </w:pPr>
    </w:p>
    <w:p>
      <w:pPr>
        <w:ind w:left="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10.5(11)</w:t>
      </w:r>
      <w:r>
        <w:rPr>
          <w:sz w:val="20"/>
          <w:szCs w:val="20"/>
          <w:color w:val="auto"/>
        </w:rPr>
        <w:tab/>
      </w:r>
      <w:hyperlink r:id="rId399">
        <w:r>
          <w:rPr>
            <w:rFonts w:ascii="Times New Roman" w:cs="Times New Roman" w:eastAsia="Times New Roman" w:hAnsi="Times New Roman"/>
            <w:sz w:val="17"/>
            <w:szCs w:val="17"/>
            <w:u w:val="single" w:color="auto"/>
            <w:color w:val="0000FF"/>
          </w:rPr>
          <w:t>Nektar Therapeutics Amended and Restated 2017 Performance Incentive Plan,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43230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0">
                      <a:extLst>
                        <a:ext uri="{28A0092B-C50C-407E-A947-70E740481C1C}"/>
                      </a:extLst>
                    </a:blip>
                    <a:srcRect/>
                    <a:stretch>
                      <a:fillRect/>
                    </a:stretch>
                  </pic:blipFill>
                  <pic:spPr bwMode="auto">
                    <a:xfrm>
                      <a:off x="0" y="0"/>
                      <a:ext cx="4323080" cy="8890"/>
                    </a:xfrm>
                    <a:prstGeom prst="rect">
                      <a:avLst/>
                    </a:prstGeom>
                    <a:noFill/>
                  </pic:spPr>
                </pic:pic>
              </a:graphicData>
            </a:graphic>
          </wp:anchor>
        </w:drawing>
      </w:r>
    </w:p>
    <w:p>
      <w:pPr>
        <w:spacing w:after="0" w:line="205" w:lineRule="exact"/>
        <w:rPr>
          <w:sz w:val="20"/>
          <w:szCs w:val="20"/>
          <w:color w:val="auto"/>
        </w:rPr>
      </w:pPr>
    </w:p>
    <w:p>
      <w:pPr>
        <w:ind w:left="1160" w:right="220" w:hanging="1133"/>
        <w:spacing w:after="0" w:line="266"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10.6(12)</w:t>
      </w:r>
      <w:r>
        <w:rPr>
          <w:sz w:val="20"/>
          <w:szCs w:val="20"/>
          <w:color w:val="auto"/>
        </w:rPr>
        <w:tab/>
      </w:r>
      <w:hyperlink r:id="rId401">
        <w:r>
          <w:rPr>
            <w:rFonts w:ascii="Times New Roman" w:cs="Times New Roman" w:eastAsia="Times New Roman" w:hAnsi="Times New Roman"/>
            <w:sz w:val="18"/>
            <w:szCs w:val="18"/>
            <w:u w:val="single" w:color="auto"/>
            <w:color w:val="0000FF"/>
          </w:rPr>
          <w:t>Forms of Stock Option Agreement, Performance Stock Option Agreement, Non-Employee Director Stock Option Agreement, Restricted</w:t>
        </w:r>
      </w:hyperlink>
      <w:r>
        <w:rPr>
          <w:rFonts w:ascii="Times New Roman" w:cs="Times New Roman" w:eastAsia="Times New Roman" w:hAnsi="Times New Roman"/>
          <w:sz w:val="18"/>
          <w:szCs w:val="18"/>
          <w:u w:val="single" w:color="auto"/>
          <w:color w:val="0000FF"/>
        </w:rPr>
        <w:t xml:space="preserve"> </w:t>
      </w:r>
      <w:hyperlink r:id="rId401">
        <w:r>
          <w:rPr>
            <w:rFonts w:ascii="Times New Roman" w:cs="Times New Roman" w:eastAsia="Times New Roman" w:hAnsi="Times New Roman"/>
            <w:sz w:val="18"/>
            <w:szCs w:val="18"/>
            <w:u w:val="single" w:color="auto"/>
            <w:color w:val="0000FF"/>
          </w:rPr>
          <w:t>Stock Unit Agreement, Performance Restricted Stock Unit Agreement, and Non-Employee Director Restricted Stock Unit Agreement</w:t>
        </w:r>
      </w:hyperlink>
      <w:r>
        <w:rPr>
          <w:rFonts w:ascii="Times New Roman" w:cs="Times New Roman" w:eastAsia="Times New Roman" w:hAnsi="Times New Roman"/>
          <w:sz w:val="18"/>
          <w:szCs w:val="18"/>
          <w:u w:val="single" w:color="auto"/>
          <w:color w:val="0000FF"/>
        </w:rPr>
        <w:t xml:space="preserve"> </w:t>
      </w:r>
      <w:hyperlink r:id="rId401">
        <w:r>
          <w:rPr>
            <w:rFonts w:ascii="Times New Roman" w:cs="Times New Roman" w:eastAsia="Times New Roman" w:hAnsi="Times New Roman"/>
            <w:sz w:val="18"/>
            <w:szCs w:val="18"/>
            <w:u w:val="single" w:color="auto"/>
            <w:color w:val="0000FF"/>
          </w:rPr>
          <w:t>under the Amended and Restated 2017 Performance Incentive Plan.++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733425</wp:posOffset>
            </wp:positionH>
            <wp:positionV relativeFrom="paragraph">
              <wp:posOffset>-313055</wp:posOffset>
            </wp:positionV>
            <wp:extent cx="62826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628269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-175895</wp:posOffset>
            </wp:positionV>
            <wp:extent cx="61518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615188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-38735</wp:posOffset>
            </wp:positionV>
            <wp:extent cx="322834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2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10.7(13)</w:t>
      </w:r>
      <w:r>
        <w:rPr>
          <w:sz w:val="20"/>
          <w:szCs w:val="20"/>
          <w:color w:val="auto"/>
        </w:rPr>
        <w:tab/>
      </w:r>
      <w:hyperlink r:id="rId405">
        <w:r>
          <w:rPr>
            <w:rFonts w:ascii="Times New Roman" w:cs="Times New Roman" w:eastAsia="Times New Roman" w:hAnsi="Times New Roman"/>
            <w:sz w:val="18"/>
            <w:szCs w:val="18"/>
            <w:u w:val="single" w:color="auto"/>
            <w:color w:val="0000FF"/>
          </w:rPr>
          <w:t>Employee Stock Purchase Plan, as amended and restated.++</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27527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6">
                      <a:extLst>
                        <a:ext uri="{28A0092B-C50C-407E-A947-70E740481C1C}"/>
                      </a:extLst>
                    </a:blip>
                    <a:srcRect/>
                    <a:stretch>
                      <a:fillRect/>
                    </a:stretch>
                  </pic:blipFill>
                  <pic:spPr bwMode="auto">
                    <a:xfrm>
                      <a:off x="0" y="0"/>
                      <a:ext cx="2752725" cy="8255"/>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ind w:left="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10.8(14)</w:t>
      </w:r>
      <w:r>
        <w:rPr>
          <w:sz w:val="20"/>
          <w:szCs w:val="20"/>
          <w:color w:val="auto"/>
        </w:rPr>
        <w:tab/>
      </w:r>
      <w:hyperlink r:id="rId407">
        <w:r>
          <w:rPr>
            <w:rFonts w:ascii="Times New Roman" w:cs="Times New Roman" w:eastAsia="Times New Roman" w:hAnsi="Times New Roman"/>
            <w:sz w:val="17"/>
            <w:szCs w:val="17"/>
            <w:u w:val="single" w:color="auto"/>
            <w:color w:val="0000FF"/>
          </w:rPr>
          <w:t>Amended and Restated Compensation Plan for Non-Employee Directors.++</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34798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ind w:left="2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10.9(15)</w:t>
      </w:r>
      <w:r>
        <w:rPr>
          <w:sz w:val="20"/>
          <w:szCs w:val="20"/>
          <w:color w:val="auto"/>
        </w:rPr>
        <w:tab/>
      </w:r>
      <w:hyperlink r:id="rId409">
        <w:r>
          <w:rPr>
            <w:rFonts w:ascii="Times New Roman" w:cs="Times New Roman" w:eastAsia="Times New Roman" w:hAnsi="Times New Roman"/>
            <w:sz w:val="18"/>
            <w:szCs w:val="18"/>
            <w:u w:val="single" w:color="auto"/>
            <w:color w:val="0000FF"/>
          </w:rPr>
          <w:t>401(k) Retirement Plan.++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122999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0">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ind w:left="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10.10(16)</w:t>
      </w:r>
      <w:r>
        <w:rPr>
          <w:sz w:val="20"/>
          <w:szCs w:val="20"/>
          <w:color w:val="auto"/>
        </w:rPr>
        <w:tab/>
      </w:r>
      <w:hyperlink r:id="rId411">
        <w:r>
          <w:rPr>
            <w:rFonts w:ascii="Times New Roman" w:cs="Times New Roman" w:eastAsia="Times New Roman" w:hAnsi="Times New Roman"/>
            <w:sz w:val="17"/>
            <w:szCs w:val="17"/>
            <w:u w:val="single" w:color="auto"/>
            <w:color w:val="0000FF"/>
          </w:rPr>
          <w:t>Form of Severance Letter for executive officers of the company.++</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307276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ind w:left="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10.11(1)</w:t>
      </w:r>
      <w:r>
        <w:rPr>
          <w:sz w:val="20"/>
          <w:szCs w:val="20"/>
          <w:color w:val="auto"/>
        </w:rPr>
        <w:tab/>
      </w:r>
      <w:hyperlink r:id="rId413">
        <w:r>
          <w:rPr>
            <w:rFonts w:ascii="Times New Roman" w:cs="Times New Roman" w:eastAsia="Times New Roman" w:hAnsi="Times New Roman"/>
            <w:sz w:val="17"/>
            <w:szCs w:val="17"/>
            <w:u w:val="single" w:color="auto"/>
            <w:color w:val="0000FF"/>
          </w:rPr>
          <w:t>Amended and Restated Letter Agreement, executed effective on December 1, 2008, with Howard W. Robin.++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50876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4">
                      <a:extLst>
                        <a:ext uri="{28A0092B-C50C-407E-A947-70E740481C1C}"/>
                      </a:extLst>
                    </a:blip>
                    <a:srcRect/>
                    <a:stretch>
                      <a:fillRect/>
                    </a:stretch>
                  </pic:blipFill>
                  <pic:spPr bwMode="auto">
                    <a:xfrm>
                      <a:off x="0" y="0"/>
                      <a:ext cx="5087620" cy="8255"/>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ind w:left="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10.12(1)</w:t>
      </w:r>
      <w:r>
        <w:rPr>
          <w:sz w:val="20"/>
          <w:szCs w:val="20"/>
          <w:color w:val="auto"/>
        </w:rPr>
        <w:tab/>
      </w:r>
      <w:hyperlink r:id="rId415">
        <w:r>
          <w:rPr>
            <w:rFonts w:ascii="Times New Roman" w:cs="Times New Roman" w:eastAsia="Times New Roman" w:hAnsi="Times New Roman"/>
            <w:sz w:val="17"/>
            <w:szCs w:val="17"/>
            <w:u w:val="single" w:color="auto"/>
            <w:color w:val="0000FF"/>
          </w:rPr>
          <w:t>Amended and Restated Letter Agreement, executed effective on December 1, 2008, with John Nicholson.++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49606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6">
                      <a:extLst>
                        <a:ext uri="{28A0092B-C50C-407E-A947-70E740481C1C}"/>
                      </a:extLst>
                    </a:blip>
                    <a:srcRect/>
                    <a:stretch>
                      <a:fillRect/>
                    </a:stretch>
                  </pic:blipFill>
                  <pic:spPr bwMode="auto">
                    <a:xfrm>
                      <a:off x="0" y="0"/>
                      <a:ext cx="4960620" cy="8255"/>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ind w:left="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10.13(17)</w:t>
      </w:r>
      <w:r>
        <w:rPr>
          <w:sz w:val="20"/>
          <w:szCs w:val="20"/>
          <w:color w:val="auto"/>
        </w:rPr>
        <w:tab/>
      </w:r>
      <w:hyperlink r:id="rId417">
        <w:r>
          <w:rPr>
            <w:rFonts w:ascii="Times New Roman" w:cs="Times New Roman" w:eastAsia="Times New Roman" w:hAnsi="Times New Roman"/>
            <w:sz w:val="17"/>
            <w:szCs w:val="17"/>
            <w:u w:val="single" w:color="auto"/>
            <w:color w:val="0000FF"/>
          </w:rPr>
          <w:t>Letter Agreement, executed effective on December 10, 2009, with Stephen K. Doberstein, Ph.D.++</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45421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8">
                      <a:extLst>
                        <a:ext uri="{28A0092B-C50C-407E-A947-70E740481C1C}"/>
                      </a:extLst>
                    </a:blip>
                    <a:srcRect/>
                    <a:stretch>
                      <a:fillRect/>
                    </a:stretch>
                  </pic:blipFill>
                  <pic:spPr bwMode="auto">
                    <a:xfrm>
                      <a:off x="0" y="0"/>
                      <a:ext cx="4542155" cy="889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ind w:left="1160" w:right="300" w:hanging="113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10.14(28)</w:t>
      </w:r>
      <w:r>
        <w:rPr>
          <w:sz w:val="20"/>
          <w:szCs w:val="20"/>
          <w:color w:val="auto"/>
        </w:rPr>
        <w:tab/>
      </w:r>
      <w:hyperlink r:id="rId419">
        <w:r>
          <w:rPr>
            <w:rFonts w:ascii="Times New Roman" w:cs="Times New Roman" w:eastAsia="Times New Roman" w:hAnsi="Times New Roman"/>
            <w:sz w:val="18"/>
            <w:szCs w:val="18"/>
            <w:u w:val="single" w:color="auto"/>
            <w:color w:val="0000FF"/>
          </w:rPr>
          <w:t>Transition, Separation and General Release Agreement, dated as of January 9, 2020, by and between Stephen K. Doberstein and Nektar</w:t>
        </w:r>
      </w:hyperlink>
      <w:r>
        <w:rPr>
          <w:rFonts w:ascii="Times New Roman" w:cs="Times New Roman" w:eastAsia="Times New Roman" w:hAnsi="Times New Roman"/>
          <w:sz w:val="18"/>
          <w:szCs w:val="18"/>
          <w:u w:val="single" w:color="auto"/>
          <w:color w:val="0000FF"/>
        </w:rPr>
        <w:t xml:space="preserve"> </w:t>
      </w:r>
      <w:hyperlink r:id="rId419">
        <w:r>
          <w:rPr>
            <w:rFonts w:ascii="Times New Roman" w:cs="Times New Roman" w:eastAsia="Times New Roman" w:hAnsi="Times New Roman"/>
            <w:sz w:val="18"/>
            <w:szCs w:val="18"/>
            <w:u w:val="single" w:color="auto"/>
            <w:color w:val="0000FF"/>
          </w:rPr>
          <w:t>Therapeutics.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62280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622808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7759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775970" cy="8890"/>
                    </a:xfrm>
                    <a:prstGeom prst="rect">
                      <a:avLst/>
                    </a:prstGeom>
                    <a:noFill/>
                  </pic:spPr>
                </pic:pic>
              </a:graphicData>
            </a:graphic>
          </wp:anchor>
        </w:drawing>
      </w:r>
    </w:p>
    <w:p>
      <w:pPr>
        <w:spacing w:after="0" w:line="142" w:lineRule="exact"/>
        <w:rPr>
          <w:sz w:val="20"/>
          <w:szCs w:val="20"/>
          <w:color w:val="auto"/>
        </w:rPr>
      </w:pPr>
    </w:p>
    <w:p>
      <w:pPr>
        <w:ind w:left="1160" w:right="260" w:hanging="113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10.15(19)</w:t>
      </w:r>
      <w:r>
        <w:rPr>
          <w:sz w:val="20"/>
          <w:szCs w:val="20"/>
          <w:color w:val="auto"/>
        </w:rPr>
        <w:tab/>
      </w:r>
      <w:hyperlink r:id="rId422">
        <w:r>
          <w:rPr>
            <w:rFonts w:ascii="Times New Roman" w:cs="Times New Roman" w:eastAsia="Times New Roman" w:hAnsi="Times New Roman"/>
            <w:sz w:val="18"/>
            <w:szCs w:val="18"/>
            <w:u w:val="single" w:color="auto"/>
            <w:color w:val="0000FF"/>
          </w:rPr>
          <w:t>Separation, Consulting and General Release Agreement effective as of October 15, 2019, by and between Nektar Therapeutics and John</w:t>
        </w:r>
      </w:hyperlink>
      <w:r>
        <w:rPr>
          <w:rFonts w:ascii="Times New Roman" w:cs="Times New Roman" w:eastAsia="Times New Roman" w:hAnsi="Times New Roman"/>
          <w:sz w:val="18"/>
          <w:szCs w:val="18"/>
          <w:u w:val="single" w:color="auto"/>
          <w:color w:val="0000FF"/>
        </w:rPr>
        <w:t xml:space="preserve"> </w:t>
      </w:r>
      <w:hyperlink r:id="rId422">
        <w:r>
          <w:rPr>
            <w:rFonts w:ascii="Times New Roman" w:cs="Times New Roman" w:eastAsia="Times New Roman" w:hAnsi="Times New Roman"/>
            <w:sz w:val="18"/>
            <w:szCs w:val="18"/>
            <w:u w:val="single" w:color="auto"/>
            <w:color w:val="0000FF"/>
          </w:rPr>
          <w:t>Nicholson.++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62503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3">
                      <a:extLst>
                        <a:ext uri="{28A0092B-C50C-407E-A947-70E740481C1C}"/>
                      </a:extLst>
                    </a:blip>
                    <a:srcRect/>
                    <a:stretch>
                      <a:fillRect/>
                    </a:stretch>
                  </pic:blipFill>
                  <pic:spPr bwMode="auto">
                    <a:xfrm>
                      <a:off x="0" y="0"/>
                      <a:ext cx="6250305"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62674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4">
                      <a:extLst>
                        <a:ext uri="{28A0092B-C50C-407E-A947-70E740481C1C}"/>
                      </a:extLst>
                    </a:blip>
                    <a:srcRect/>
                    <a:stretch>
                      <a:fillRect/>
                    </a:stretch>
                  </pic:blipFill>
                  <pic:spPr bwMode="auto">
                    <a:xfrm>
                      <a:off x="0" y="0"/>
                      <a:ext cx="626745" cy="8255"/>
                    </a:xfrm>
                    <a:prstGeom prst="rect">
                      <a:avLst/>
                    </a:prstGeom>
                    <a:noFill/>
                  </pic:spPr>
                </pic:pic>
              </a:graphicData>
            </a:graphic>
          </wp:anchor>
        </w:drawing>
      </w:r>
    </w:p>
    <w:p>
      <w:pPr>
        <w:spacing w:after="0" w:line="142" w:lineRule="exact"/>
        <w:rPr>
          <w:sz w:val="20"/>
          <w:szCs w:val="20"/>
          <w:color w:val="auto"/>
        </w:rPr>
      </w:pPr>
    </w:p>
    <w:p>
      <w:pPr>
        <w:ind w:left="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10.16(28)</w:t>
      </w:r>
      <w:r>
        <w:rPr>
          <w:sz w:val="20"/>
          <w:szCs w:val="20"/>
          <w:color w:val="auto"/>
        </w:rPr>
        <w:tab/>
      </w:r>
      <w:hyperlink r:id="rId425">
        <w:r>
          <w:rPr>
            <w:rFonts w:ascii="Times New Roman" w:cs="Times New Roman" w:eastAsia="Times New Roman" w:hAnsi="Times New Roman"/>
            <w:sz w:val="17"/>
            <w:szCs w:val="17"/>
            <w:u w:val="single" w:color="auto"/>
            <w:color w:val="0000FF"/>
          </w:rPr>
          <w:t>Employment Agreement effective as of December 4, 2019, by and between Nektar Therapeutics and John Northcott.++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546481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5464810" cy="8890"/>
                    </a:xfrm>
                    <a:prstGeom prst="rect">
                      <a:avLst/>
                    </a:prstGeom>
                    <a:noFill/>
                  </pic:spPr>
                </pic:pic>
              </a:graphicData>
            </a:graphic>
          </wp:anchor>
        </w:drawing>
      </w:r>
    </w:p>
    <w:p>
      <w:pPr>
        <w:spacing w:after="0" w:line="205" w:lineRule="exact"/>
        <w:rPr>
          <w:sz w:val="20"/>
          <w:szCs w:val="20"/>
          <w:color w:val="auto"/>
        </w:rPr>
      </w:pPr>
    </w:p>
    <w:p>
      <w:pPr>
        <w:ind w:left="1160" w:right="240" w:hanging="113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10.17(16)</w:t>
      </w:r>
      <w:r>
        <w:rPr>
          <w:sz w:val="20"/>
          <w:szCs w:val="20"/>
          <w:color w:val="auto"/>
        </w:rPr>
        <w:tab/>
      </w:r>
      <w:hyperlink r:id="rId427">
        <w:r>
          <w:rPr>
            <w:rFonts w:ascii="Times New Roman" w:cs="Times New Roman" w:eastAsia="Times New Roman" w:hAnsi="Times New Roman"/>
            <w:sz w:val="18"/>
            <w:szCs w:val="18"/>
            <w:u w:val="single" w:color="auto"/>
            <w:color w:val="0000FF"/>
          </w:rPr>
          <w:t>Amended and Restated Built-to-Suit Lease between Nektar Therapeutics and BMR-201 Industrial Road LLC, dated August 17, 2004, as</w:t>
        </w:r>
      </w:hyperlink>
      <w:r>
        <w:rPr>
          <w:rFonts w:ascii="Times New Roman" w:cs="Times New Roman" w:eastAsia="Times New Roman" w:hAnsi="Times New Roman"/>
          <w:sz w:val="18"/>
          <w:szCs w:val="18"/>
          <w:u w:val="single" w:color="auto"/>
          <w:color w:val="0000FF"/>
        </w:rPr>
        <w:t xml:space="preserve"> </w:t>
      </w:r>
      <w:hyperlink r:id="rId427">
        <w:r>
          <w:rPr>
            <w:rFonts w:ascii="Times New Roman" w:cs="Times New Roman" w:eastAsia="Times New Roman" w:hAnsi="Times New Roman"/>
            <w:sz w:val="18"/>
            <w:szCs w:val="18"/>
            <w:u w:val="single" w:color="auto"/>
            <w:color w:val="0000FF"/>
          </w:rPr>
          <w:t>amended on January 11, 2005 and July 19,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626681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626681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223710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42" w:lineRule="exact"/>
        <w:rPr>
          <w:sz w:val="20"/>
          <w:szCs w:val="20"/>
          <w:color w:val="auto"/>
        </w:rPr>
      </w:pPr>
    </w:p>
    <w:p>
      <w:pPr>
        <w:ind w:left="1160" w:right="80" w:hanging="113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10.18(18)</w:t>
      </w:r>
      <w:r>
        <w:rPr>
          <w:sz w:val="20"/>
          <w:szCs w:val="20"/>
          <w:color w:val="auto"/>
        </w:rPr>
        <w:tab/>
      </w:r>
      <w:hyperlink r:id="rId430">
        <w:r>
          <w:rPr>
            <w:rFonts w:ascii="Times New Roman" w:cs="Times New Roman" w:eastAsia="Times New Roman" w:hAnsi="Times New Roman"/>
            <w:sz w:val="18"/>
            <w:szCs w:val="18"/>
            <w:u w:val="single" w:color="auto"/>
            <w:color w:val="0000FF"/>
          </w:rPr>
          <w:t>Lease Agreement dated August 4, 2017, as amended by the First Amendment to Lease dated as of August 29, 2017, by and between ARE-</w:t>
        </w:r>
      </w:hyperlink>
      <w:hyperlink r:id="rId430">
        <w:r>
          <w:rPr>
            <w:rFonts w:ascii="Times New Roman" w:cs="Times New Roman" w:eastAsia="Times New Roman" w:hAnsi="Times New Roman"/>
            <w:sz w:val="18"/>
            <w:szCs w:val="18"/>
            <w:u w:val="single" w:color="auto"/>
            <w:color w:val="0000FF"/>
          </w:rPr>
          <w:t>San Francisco No. 19, LLC and Nektar Therapeutics.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63366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633666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243649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2436495" cy="8890"/>
                    </a:xfrm>
                    <a:prstGeom prst="rect">
                      <a:avLst/>
                    </a:prstGeom>
                    <a:noFill/>
                  </pic:spPr>
                </pic:pic>
              </a:graphicData>
            </a:graphic>
          </wp:anchor>
        </w:drawing>
      </w:r>
    </w:p>
    <w:p>
      <w:pPr>
        <w:spacing w:after="0" w:line="142" w:lineRule="exact"/>
        <w:rPr>
          <w:sz w:val="20"/>
          <w:szCs w:val="20"/>
          <w:color w:val="auto"/>
        </w:rPr>
      </w:pPr>
    </w:p>
    <w:p>
      <w:pPr>
        <w:ind w:left="1160" w:hanging="1133"/>
        <w:spacing w:after="0" w:line="266"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10.19(20)</w:t>
      </w:r>
      <w:r>
        <w:rPr>
          <w:sz w:val="20"/>
          <w:szCs w:val="20"/>
          <w:color w:val="auto"/>
        </w:rPr>
        <w:tab/>
      </w:r>
      <w:hyperlink r:id="rId430">
        <w:r>
          <w:rPr>
            <w:rFonts w:ascii="Times New Roman" w:cs="Times New Roman" w:eastAsia="Times New Roman" w:hAnsi="Times New Roman"/>
            <w:sz w:val="18"/>
            <w:szCs w:val="18"/>
            <w:u w:val="single" w:color="auto"/>
            <w:color w:val="0000FF"/>
          </w:rPr>
          <w:t>Settlement Agreement and General Release, dated June 30, 2006, by and between The Board of Trustees of the University of Alabama, The</w:t>
        </w:r>
      </w:hyperlink>
      <w:r>
        <w:rPr>
          <w:rFonts w:ascii="Times New Roman" w:cs="Times New Roman" w:eastAsia="Times New Roman" w:hAnsi="Times New Roman"/>
          <w:sz w:val="18"/>
          <w:szCs w:val="18"/>
          <w:u w:val="single" w:color="auto"/>
          <w:color w:val="0000FF"/>
        </w:rPr>
        <w:t xml:space="preserve"> </w:t>
      </w:r>
      <w:hyperlink r:id="rId430">
        <w:r>
          <w:rPr>
            <w:rFonts w:ascii="Times New Roman" w:cs="Times New Roman" w:eastAsia="Times New Roman" w:hAnsi="Times New Roman"/>
            <w:sz w:val="18"/>
            <w:szCs w:val="18"/>
            <w:u w:val="single" w:color="auto"/>
            <w:color w:val="0000FF"/>
          </w:rPr>
          <w:t>University of Alabama in Huntsville, Nektar Therapeutics AL, Corporation (a wholly-owned subsidiary of Nektar Therapeutics), Nektar</w:t>
        </w:r>
      </w:hyperlink>
      <w:r>
        <w:rPr>
          <w:rFonts w:ascii="Times New Roman" w:cs="Times New Roman" w:eastAsia="Times New Roman" w:hAnsi="Times New Roman"/>
          <w:sz w:val="18"/>
          <w:szCs w:val="18"/>
          <w:u w:val="single" w:color="auto"/>
          <w:color w:val="0000FF"/>
        </w:rPr>
        <w:t xml:space="preserve"> </w:t>
      </w:r>
      <w:hyperlink r:id="rId430">
        <w:r>
          <w:rPr>
            <w:rFonts w:ascii="Times New Roman" w:cs="Times New Roman" w:eastAsia="Times New Roman" w:hAnsi="Times New Roman"/>
            <w:sz w:val="18"/>
            <w:szCs w:val="18"/>
            <w:u w:val="single" w:color="auto"/>
            <w:color w:val="0000FF"/>
          </w:rPr>
          <w:t>Therapeutics and J. Milton Harris.</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733425</wp:posOffset>
            </wp:positionH>
            <wp:positionV relativeFrom="paragraph">
              <wp:posOffset>-313055</wp:posOffset>
            </wp:positionV>
            <wp:extent cx="639508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-175895</wp:posOffset>
            </wp:positionV>
            <wp:extent cx="62661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-38735</wp:posOffset>
            </wp:positionV>
            <wp:extent cx="15671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1567180"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1160" w:right="400" w:hanging="113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10.20(1)</w:t>
      </w:r>
      <w:r>
        <w:rPr>
          <w:sz w:val="20"/>
          <w:szCs w:val="20"/>
          <w:color w:val="auto"/>
        </w:rPr>
        <w:tab/>
      </w:r>
      <w:hyperlink r:id="rId436">
        <w:r>
          <w:rPr>
            <w:rFonts w:ascii="Times New Roman" w:cs="Times New Roman" w:eastAsia="Times New Roman" w:hAnsi="Times New Roman"/>
            <w:sz w:val="18"/>
            <w:szCs w:val="18"/>
            <w:u w:val="single" w:color="auto"/>
            <w:color w:val="0000FF"/>
          </w:rPr>
          <w:t>Exclusive Research, Development, License and Manufacturing and Supply Agreement, by and among Nektar AL Corporation, Baxter</w:t>
        </w:r>
      </w:hyperlink>
      <w:r>
        <w:rPr>
          <w:rFonts w:ascii="Times New Roman" w:cs="Times New Roman" w:eastAsia="Times New Roman" w:hAnsi="Times New Roman"/>
          <w:sz w:val="18"/>
          <w:szCs w:val="18"/>
          <w:u w:val="single" w:color="auto"/>
          <w:color w:val="0000FF"/>
        </w:rPr>
        <w:t xml:space="preserve"> </w:t>
      </w:r>
      <w:hyperlink r:id="rId436">
        <w:r>
          <w:rPr>
            <w:rFonts w:ascii="Times New Roman" w:cs="Times New Roman" w:eastAsia="Times New Roman" w:hAnsi="Times New Roman"/>
            <w:sz w:val="18"/>
            <w:szCs w:val="18"/>
            <w:u w:val="single" w:color="auto"/>
            <w:color w:val="0000FF"/>
          </w:rPr>
          <w:t>Healthcare SA, and Baxter Healthcare Corporation, dated September 26, 2005,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616140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7">
                      <a:extLst>
                        <a:ext uri="{28A0092B-C50C-407E-A947-70E740481C1C}"/>
                      </a:extLst>
                    </a:blip>
                    <a:srcRect/>
                    <a:stretch>
                      <a:fillRect/>
                    </a:stretch>
                  </pic:blipFill>
                  <pic:spPr bwMode="auto">
                    <a:xfrm>
                      <a:off x="0" y="0"/>
                      <a:ext cx="616140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426466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8">
                      <a:extLst>
                        <a:ext uri="{28A0092B-C50C-407E-A947-70E740481C1C}"/>
                      </a:extLst>
                    </a:blip>
                    <a:srcRect/>
                    <a:stretch>
                      <a:fillRect/>
                    </a:stretch>
                  </pic:blipFill>
                  <pic:spPr bwMode="auto">
                    <a:xfrm>
                      <a:off x="0" y="0"/>
                      <a:ext cx="4264660" cy="8890"/>
                    </a:xfrm>
                    <a:prstGeom prst="rect">
                      <a:avLst/>
                    </a:prstGeom>
                    <a:noFill/>
                  </pic:spPr>
                </pic:pic>
              </a:graphicData>
            </a:graphic>
          </wp:anchor>
        </w:drawing>
      </w:r>
    </w:p>
    <w:p>
      <w:pPr>
        <w:spacing w:after="0" w:line="142" w:lineRule="exact"/>
        <w:rPr>
          <w:sz w:val="20"/>
          <w:szCs w:val="20"/>
          <w:color w:val="auto"/>
        </w:rPr>
      </w:pPr>
    </w:p>
    <w:p>
      <w:pPr>
        <w:ind w:left="1160" w:right="40" w:hanging="113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10.21(1)</w:t>
      </w:r>
      <w:r>
        <w:rPr>
          <w:sz w:val="20"/>
          <w:szCs w:val="20"/>
          <w:color w:val="auto"/>
        </w:rPr>
        <w:tab/>
      </w:r>
      <w:hyperlink r:id="rId439">
        <w:r>
          <w:rPr>
            <w:rFonts w:ascii="Times New Roman" w:cs="Times New Roman" w:eastAsia="Times New Roman" w:hAnsi="Times New Roman"/>
            <w:sz w:val="18"/>
            <w:szCs w:val="18"/>
            <w:u w:val="single" w:color="auto"/>
            <w:color w:val="0000FF"/>
          </w:rPr>
          <w:t>Exclusive License Agreement, dated December 31, 2008, between Nektar Therapeutics, a Delaware corporation, and Novartis Pharma AG,</w:t>
        </w:r>
      </w:hyperlink>
      <w:r>
        <w:rPr>
          <w:rFonts w:ascii="Times New Roman" w:cs="Times New Roman" w:eastAsia="Times New Roman" w:hAnsi="Times New Roman"/>
          <w:sz w:val="18"/>
          <w:szCs w:val="18"/>
          <w:u w:val="single" w:color="auto"/>
          <w:color w:val="0000FF"/>
        </w:rPr>
        <w:t xml:space="preserve"> </w:t>
      </w:r>
      <w:hyperlink r:id="rId439">
        <w:r>
          <w:rPr>
            <w:rFonts w:ascii="Times New Roman" w:cs="Times New Roman" w:eastAsia="Times New Roman" w:hAnsi="Times New Roman"/>
            <w:sz w:val="18"/>
            <w:szCs w:val="18"/>
            <w:u w:val="single" w:color="auto"/>
            <w:color w:val="0000FF"/>
          </w:rPr>
          <w:t>a Swiss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639508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0">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99441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42" w:lineRule="exact"/>
        <w:rPr>
          <w:sz w:val="20"/>
          <w:szCs w:val="20"/>
          <w:color w:val="auto"/>
        </w:rPr>
      </w:pPr>
    </w:p>
    <w:p>
      <w:pPr>
        <w:ind w:left="1160" w:right="260" w:hanging="1133"/>
        <w:spacing w:after="0" w:line="282"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10.22(17)</w:t>
      </w:r>
      <w:r>
        <w:rPr>
          <w:sz w:val="20"/>
          <w:szCs w:val="20"/>
          <w:color w:val="auto"/>
        </w:rPr>
        <w:tab/>
      </w:r>
      <w:hyperlink r:id="rId442">
        <w:r>
          <w:rPr>
            <w:rFonts w:ascii="Times New Roman" w:cs="Times New Roman" w:eastAsia="Times New Roman" w:hAnsi="Times New Roman"/>
            <w:sz w:val="18"/>
            <w:szCs w:val="18"/>
            <w:u w:val="single" w:color="auto"/>
            <w:color w:val="0000FF"/>
          </w:rPr>
          <w:t>Supply, Dedicated Suite and Manufacturing Guarantee Agreement, dated October 29, 2010, by and among Nektar Therapeutics, Amgen</w:t>
        </w:r>
      </w:hyperlink>
      <w:r>
        <w:rPr>
          <w:rFonts w:ascii="Times New Roman" w:cs="Times New Roman" w:eastAsia="Times New Roman" w:hAnsi="Times New Roman"/>
          <w:sz w:val="18"/>
          <w:szCs w:val="18"/>
          <w:u w:val="single" w:color="auto"/>
          <w:color w:val="0000FF"/>
        </w:rPr>
        <w:t xml:space="preserve"> </w:t>
      </w:r>
      <w:hyperlink r:id="rId442">
        <w:r>
          <w:rPr>
            <w:rFonts w:ascii="Times New Roman" w:cs="Times New Roman" w:eastAsia="Times New Roman" w:hAnsi="Times New Roman"/>
            <w:sz w:val="18"/>
            <w:szCs w:val="18"/>
            <w:u w:val="single" w:color="auto"/>
            <w:color w:val="0000FF"/>
          </w:rPr>
          <w:t>Inc. and Amgen Manufacturing,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625665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3">
                      <a:extLst>
                        <a:ext uri="{28A0092B-C50C-407E-A947-70E740481C1C}"/>
                      </a:extLst>
                    </a:blip>
                    <a:srcRect/>
                    <a:stretch>
                      <a:fillRect/>
                    </a:stretch>
                  </pic:blipFill>
                  <pic:spPr bwMode="auto">
                    <a:xfrm>
                      <a:off x="0" y="0"/>
                      <a:ext cx="6256655" cy="8890"/>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19519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4">
                      <a:extLst>
                        <a:ext uri="{28A0092B-C50C-407E-A947-70E740481C1C}"/>
                      </a:extLst>
                    </a:blip>
                    <a:srcRect/>
                    <a:stretch>
                      <a:fillRect/>
                    </a:stretch>
                  </pic:blipFill>
                  <pic:spPr bwMode="auto">
                    <a:xfrm>
                      <a:off x="0" y="0"/>
                      <a:ext cx="1951990" cy="8890"/>
                    </a:xfrm>
                    <a:prstGeom prst="rect">
                      <a:avLst/>
                    </a:prstGeom>
                    <a:noFill/>
                  </pic:spPr>
                </pic:pic>
              </a:graphicData>
            </a:graphic>
          </wp:anchor>
        </w:drawing>
      </w:r>
    </w:p>
    <w:p>
      <w:pPr>
        <w:spacing w:after="0" w:line="142" w:lineRule="exact"/>
        <w:rPr>
          <w:sz w:val="20"/>
          <w:szCs w:val="20"/>
          <w:color w:val="auto"/>
        </w:rPr>
      </w:pPr>
    </w:p>
    <w:p>
      <w:pPr>
        <w:ind w:left="2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10.23(21)</w:t>
      </w:r>
      <w:r>
        <w:rPr>
          <w:sz w:val="20"/>
          <w:szCs w:val="20"/>
          <w:color w:val="auto"/>
        </w:rPr>
        <w:tab/>
      </w:r>
      <w:hyperlink r:id="rId445">
        <w:r>
          <w:rPr>
            <w:rFonts w:ascii="Times New Roman" w:cs="Times New Roman" w:eastAsia="Times New Roman" w:hAnsi="Times New Roman"/>
            <w:sz w:val="18"/>
            <w:szCs w:val="18"/>
            <w:u w:val="single" w:color="auto"/>
            <w:color w:val="0000FF"/>
          </w:rPr>
          <w:t>License Agreement by and between AstraZeneca AB and Nektar Therapeutics, dated September 20,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49244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6">
                      <a:extLst>
                        <a:ext uri="{28A0092B-C50C-407E-A947-70E740481C1C}"/>
                      </a:extLst>
                    </a:blip>
                    <a:srcRect/>
                    <a:stretch>
                      <a:fillRect/>
                    </a:stretch>
                  </pic:blipFill>
                  <pic:spPr bwMode="auto">
                    <a:xfrm>
                      <a:off x="0" y="0"/>
                      <a:ext cx="4924425" cy="8255"/>
                    </a:xfrm>
                    <a:prstGeom prst="rect">
                      <a:avLst/>
                    </a:prstGeom>
                    <a:noFill/>
                  </pic:spPr>
                </pic:pic>
              </a:graphicData>
            </a:graphic>
          </wp:anchor>
        </w:drawing>
      </w:r>
    </w:p>
    <w:p>
      <w:pPr>
        <w:spacing w:after="0" w:line="205" w:lineRule="exact"/>
        <w:rPr>
          <w:sz w:val="20"/>
          <w:szCs w:val="20"/>
          <w:color w:val="auto"/>
        </w:rPr>
      </w:pPr>
    </w:p>
    <w:p>
      <w:pPr>
        <w:ind w:left="2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10.24(22)</w:t>
      </w:r>
      <w:r>
        <w:rPr>
          <w:sz w:val="20"/>
          <w:szCs w:val="20"/>
          <w:color w:val="auto"/>
        </w:rPr>
        <w:tab/>
      </w:r>
      <w:hyperlink r:id="rId447">
        <w:r>
          <w:rPr>
            <w:rFonts w:ascii="Times New Roman" w:cs="Times New Roman" w:eastAsia="Times New Roman" w:hAnsi="Times New Roman"/>
            <w:sz w:val="17"/>
            <w:szCs w:val="17"/>
            <w:u w:val="single" w:color="auto"/>
            <w:color w:val="0000FF"/>
          </w:rPr>
          <w:t>Collaboration and License Agreement dated as of May 30, 2016, by and between Daiichi Sankyo Europe GmbH and Nektar Therapeutics.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63201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8">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21"/>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 of Documents</w:t>
            </w:r>
          </w:p>
        </w:tc>
      </w:tr>
      <w:tr>
        <w:trPr>
          <w:trHeight w:val="38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10.25(18)</w:t>
            </w:r>
          </w:p>
        </w:tc>
        <w:tc>
          <w:tcPr>
            <w:tcW w:w="140" w:type="dxa"/>
            <w:vAlign w:val="bottom"/>
          </w:tcPr>
          <w:p>
            <w:pPr>
              <w:spacing w:after="0"/>
              <w:rPr>
                <w:sz w:val="24"/>
                <w:szCs w:val="24"/>
                <w:color w:val="auto"/>
              </w:rPr>
            </w:pPr>
          </w:p>
        </w:tc>
        <w:tc>
          <w:tcPr>
            <w:tcW w:w="84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450">
              <w:r>
                <w:rPr>
                  <w:rFonts w:ascii="Times New Roman" w:cs="Times New Roman" w:eastAsia="Times New Roman" w:hAnsi="Times New Roman"/>
                  <w:sz w:val="18"/>
                  <w:szCs w:val="18"/>
                  <w:color w:val="0000FF"/>
                  <w:w w:val="99"/>
                </w:rPr>
                <w:t>License Agreement effective as of August 23, 2017, by and between Eli Lilly and Company and Nektar Therapeutics.</w:t>
              </w:r>
            </w:hyperlink>
          </w:p>
        </w:tc>
        <w:tc>
          <w:tcPr>
            <w:tcW w:w="1600" w:type="dxa"/>
            <w:vAlign w:val="bottom"/>
            <w:gridSpan w:val="15"/>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10.26(7)</w:t>
            </w:r>
          </w:p>
        </w:tc>
        <w:tc>
          <w:tcPr>
            <w:tcW w:w="1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FF"/>
              </w:rPr>
            </w:pPr>
            <w:hyperlink r:id="rId451">
              <w:r>
                <w:rPr>
                  <w:rFonts w:ascii="Times New Roman" w:cs="Times New Roman" w:eastAsia="Times New Roman" w:hAnsi="Times New Roman"/>
                  <w:sz w:val="18"/>
                  <w:szCs w:val="18"/>
                  <w:color w:val="0000FF"/>
                </w:rPr>
                <w:t>Purchase Agreement dated September 30, 2015 by and among Nektar Therapeutics and TC Lending, LLC and TAO Fund, LLC.</w:t>
              </w:r>
            </w:hyperlink>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10.27(7)</w:t>
            </w:r>
          </w:p>
        </w:tc>
        <w:tc>
          <w:tcPr>
            <w:tcW w:w="140" w:type="dxa"/>
            <w:vAlign w:val="bottom"/>
          </w:tcPr>
          <w:p>
            <w:pPr>
              <w:spacing w:after="0"/>
              <w:rPr>
                <w:sz w:val="24"/>
                <w:szCs w:val="24"/>
                <w:color w:val="auto"/>
              </w:rPr>
            </w:pPr>
          </w:p>
        </w:tc>
        <w:tc>
          <w:tcPr>
            <w:tcW w:w="820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8"/>
                <w:szCs w:val="18"/>
                <w:color w:val="0000FF"/>
                <w:w w:val="99"/>
              </w:rPr>
            </w:pPr>
            <w:hyperlink r:id="rId452">
              <w:r>
                <w:rPr>
                  <w:rFonts w:ascii="Times New Roman" w:cs="Times New Roman" w:eastAsia="Times New Roman" w:hAnsi="Times New Roman"/>
                  <w:sz w:val="18"/>
                  <w:szCs w:val="18"/>
                  <w:color w:val="0000FF"/>
                  <w:w w:val="99"/>
                </w:rPr>
                <w:t>Pledge and Security Agreement dated October 5, 2015 by and among Nektar Therapeutics and TC Lending, LLC.</w:t>
              </w:r>
            </w:hyperlink>
          </w:p>
        </w:tc>
        <w:tc>
          <w:tcPr>
            <w:tcW w:w="1040" w:type="dxa"/>
            <w:vAlign w:val="bottom"/>
            <w:tcBorders>
              <w:top w:val="single" w:sz="8" w:color="0000FF"/>
            </w:tcBorders>
            <w:gridSpan w:val="5"/>
          </w:tcPr>
          <w:p>
            <w:pPr>
              <w:spacing w:after="0"/>
              <w:rPr>
                <w:sz w:val="24"/>
                <w:szCs w:val="24"/>
                <w:color w:val="auto"/>
              </w:rPr>
            </w:pPr>
          </w:p>
        </w:tc>
        <w:tc>
          <w:tcPr>
            <w:tcW w:w="840" w:type="dxa"/>
            <w:vAlign w:val="bottom"/>
            <w:gridSpan w:val="12"/>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10.28(23)</w:t>
            </w:r>
          </w:p>
        </w:tc>
        <w:tc>
          <w:tcPr>
            <w:tcW w:w="1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FF"/>
              </w:rPr>
            </w:pPr>
            <w:hyperlink r:id="rId453">
              <w:r>
                <w:rPr>
                  <w:rFonts w:ascii="Times New Roman" w:cs="Times New Roman" w:eastAsia="Times New Roman" w:hAnsi="Times New Roman"/>
                  <w:sz w:val="18"/>
                  <w:szCs w:val="18"/>
                  <w:color w:val="0000FF"/>
                </w:rPr>
                <w:t>Purchase and Sale Agreement, dated as of February 24, 2012, between Nektar Therapeutics and RPI Finance Trust.+</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10.29(24)</w:t>
            </w:r>
          </w:p>
        </w:tc>
        <w:tc>
          <w:tcPr>
            <w:tcW w:w="140" w:type="dxa"/>
            <w:vAlign w:val="bottom"/>
          </w:tcPr>
          <w:p>
            <w:pPr>
              <w:spacing w:after="0"/>
              <w:rPr>
                <w:sz w:val="24"/>
                <w:szCs w:val="24"/>
                <w:color w:val="auto"/>
              </w:rPr>
            </w:pPr>
          </w:p>
        </w:tc>
        <w:tc>
          <w:tcPr>
            <w:tcW w:w="100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454">
              <w:r>
                <w:rPr>
                  <w:rFonts w:ascii="Times New Roman" w:cs="Times New Roman" w:eastAsia="Times New Roman" w:hAnsi="Times New Roman"/>
                  <w:sz w:val="18"/>
                  <w:szCs w:val="18"/>
                  <w:color w:val="0000FF"/>
                  <w:w w:val="99"/>
                </w:rPr>
                <w:t>Amendment No. 1 to License Agreement dated effective as of August 8, 2013, by and between Nektar Therapeutics and AstraZeneca AB.+</w:t>
              </w:r>
            </w:hyperlink>
          </w:p>
        </w:tc>
        <w:tc>
          <w:tcPr>
            <w:tcW w:w="40" w:type="dxa"/>
            <w:vAlign w:val="bottom"/>
            <w:gridSpan w:val="2"/>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10.30(25)</w:t>
            </w:r>
          </w:p>
        </w:tc>
        <w:tc>
          <w:tcPr>
            <w:tcW w:w="1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FF"/>
              </w:rPr>
            </w:pPr>
            <w:hyperlink r:id="rId455">
              <w:r>
                <w:rPr>
                  <w:rFonts w:ascii="Times New Roman" w:cs="Times New Roman" w:eastAsia="Times New Roman" w:hAnsi="Times New Roman"/>
                  <w:sz w:val="18"/>
                  <w:szCs w:val="18"/>
                  <w:color w:val="0000FF"/>
                </w:rPr>
                <w:t>Investor Agreement, dated as of February 13, 2018, by and between Bristol-Myers Squibb and Company and Nektar Therapeutics.+</w:t>
              </w:r>
            </w:hyperlink>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10.31(25)</w:t>
            </w:r>
          </w:p>
        </w:tc>
        <w:tc>
          <w:tcPr>
            <w:tcW w:w="140" w:type="dxa"/>
            <w:vAlign w:val="bottom"/>
          </w:tcPr>
          <w:p>
            <w:pPr>
              <w:spacing w:after="0"/>
              <w:rPr>
                <w:sz w:val="24"/>
                <w:szCs w:val="24"/>
                <w:color w:val="auto"/>
              </w:rPr>
            </w:pPr>
          </w:p>
        </w:tc>
        <w:tc>
          <w:tcPr>
            <w:tcW w:w="9500" w:type="dxa"/>
            <w:vAlign w:val="bottom"/>
            <w:tcBorders>
              <w:top w:val="single" w:sz="8" w:color="0000FF"/>
              <w:bottom w:val="single" w:sz="8" w:color="0000FF"/>
            </w:tcBorders>
            <w:gridSpan w:val="23"/>
          </w:tcPr>
          <w:p>
            <w:pPr>
              <w:spacing w:after="0"/>
              <w:rPr>
                <w:rFonts w:ascii="Times New Roman" w:cs="Times New Roman" w:eastAsia="Times New Roman" w:hAnsi="Times New Roman"/>
                <w:sz w:val="18"/>
                <w:szCs w:val="18"/>
                <w:color w:val="0000FF"/>
              </w:rPr>
            </w:pPr>
            <w:hyperlink r:id="rId456">
              <w:r>
                <w:rPr>
                  <w:rFonts w:ascii="Times New Roman" w:cs="Times New Roman" w:eastAsia="Times New Roman" w:hAnsi="Times New Roman"/>
                  <w:sz w:val="18"/>
                  <w:szCs w:val="18"/>
                  <w:color w:val="0000FF"/>
                </w:rPr>
                <w:t>Strategic Collaboration Agreement, dated as of February 13, 2018, by and between Bristol-Myers Squibb and Company and Nektar</w:t>
              </w:r>
            </w:hyperlink>
          </w:p>
        </w:tc>
        <w:tc>
          <w:tcPr>
            <w:tcW w:w="20" w:type="dxa"/>
            <w:vAlign w:val="bottom"/>
            <w:tcBorders>
              <w:bottom w:val="single" w:sz="8" w:color="0000FF"/>
            </w:tcBorders>
          </w:tcPr>
          <w:p>
            <w:pPr>
              <w:spacing w:after="0"/>
              <w:rPr>
                <w:sz w:val="24"/>
                <w:szCs w:val="24"/>
                <w:color w:val="auto"/>
              </w:rPr>
            </w:pPr>
          </w:p>
        </w:tc>
        <w:tc>
          <w:tcPr>
            <w:tcW w:w="56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456">
              <w:r>
                <w:rPr>
                  <w:rFonts w:ascii="Times New Roman" w:cs="Times New Roman" w:eastAsia="Times New Roman" w:hAnsi="Times New Roman"/>
                  <w:sz w:val="18"/>
                  <w:szCs w:val="18"/>
                  <w:color w:val="0000FF"/>
                  <w:w w:val="98"/>
                </w:rPr>
                <w:t>Therapeutics.+</w:t>
              </w:r>
            </w:hyperlink>
          </w:p>
        </w:tc>
        <w:tc>
          <w:tcPr>
            <w:tcW w:w="20" w:type="dxa"/>
            <w:vAlign w:val="bottom"/>
            <w:tcBorders>
              <w:bottom w:val="single" w:sz="8" w:color="0000EE"/>
            </w:tcBorders>
          </w:tcPr>
          <w:p>
            <w:pPr>
              <w:spacing w:after="0"/>
              <w:rPr>
                <w:sz w:val="17"/>
                <w:szCs w:val="17"/>
                <w:color w:val="auto"/>
              </w:rPr>
            </w:pPr>
          </w:p>
        </w:tc>
        <w:tc>
          <w:tcPr>
            <w:tcW w:w="8980" w:type="dxa"/>
            <w:vAlign w:val="bottom"/>
            <w:gridSpan w:val="27"/>
          </w:tcPr>
          <w:p>
            <w:pPr>
              <w:spacing w:after="0"/>
              <w:rPr>
                <w:sz w:val="17"/>
                <w:szCs w:val="17"/>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10.32(29)</w:t>
            </w:r>
          </w:p>
        </w:tc>
        <w:tc>
          <w:tcPr>
            <w:tcW w:w="1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FF"/>
              </w:rPr>
            </w:pPr>
            <w:hyperlink r:id="rId457">
              <w:r>
                <w:rPr>
                  <w:rFonts w:ascii="Times New Roman" w:cs="Times New Roman" w:eastAsia="Times New Roman" w:hAnsi="Times New Roman"/>
                  <w:sz w:val="18"/>
                  <w:szCs w:val="18"/>
                  <w:color w:val="0000FF"/>
                </w:rPr>
                <w:t>Co-Development Agreement, dated as of February 12, 2021, by and between SFJ Pharmaceuticals XII, L.P. and Nektar Therapeutics.+</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10.33(28)</w:t>
            </w:r>
          </w:p>
        </w:tc>
        <w:tc>
          <w:tcPr>
            <w:tcW w:w="140" w:type="dxa"/>
            <w:vAlign w:val="bottom"/>
          </w:tcPr>
          <w:p>
            <w:pPr>
              <w:spacing w:after="0"/>
              <w:rPr>
                <w:sz w:val="24"/>
                <w:szCs w:val="24"/>
                <w:color w:val="auto"/>
              </w:rPr>
            </w:pPr>
          </w:p>
        </w:tc>
        <w:tc>
          <w:tcPr>
            <w:tcW w:w="100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458">
              <w:r>
                <w:rPr>
                  <w:rFonts w:ascii="Times New Roman" w:cs="Times New Roman" w:eastAsia="Times New Roman" w:hAnsi="Times New Roman"/>
                  <w:sz w:val="18"/>
                  <w:szCs w:val="18"/>
                  <w:color w:val="0000FF"/>
                </w:rPr>
                <w:t>Amendment No. 1 to Strategic Collaboration Agreement dated as of January 9, 2020, by and between Bristol-Myers Squibb and Company</w:t>
              </w:r>
            </w:hyperlink>
          </w:p>
        </w:tc>
        <w:tc>
          <w:tcPr>
            <w:tcW w:w="6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58">
              <w:r>
                <w:rPr>
                  <w:rFonts w:ascii="Times New Roman" w:cs="Times New Roman" w:eastAsia="Times New Roman" w:hAnsi="Times New Roman"/>
                  <w:sz w:val="18"/>
                  <w:szCs w:val="18"/>
                  <w:color w:val="0000FF"/>
                  <w:w w:val="99"/>
                </w:rPr>
                <w:t>and Nektar Therapeutics.+</w:t>
              </w:r>
            </w:hyperlink>
          </w:p>
        </w:tc>
        <w:tc>
          <w:tcPr>
            <w:tcW w:w="20" w:type="dxa"/>
            <w:vAlign w:val="bottom"/>
            <w:tcBorders>
              <w:bottom w:val="single" w:sz="8" w:color="0000EE"/>
            </w:tcBorders>
          </w:tcPr>
          <w:p>
            <w:pPr>
              <w:spacing w:after="0"/>
              <w:rPr>
                <w:sz w:val="17"/>
                <w:szCs w:val="17"/>
                <w:color w:val="auto"/>
              </w:rPr>
            </w:pPr>
          </w:p>
        </w:tc>
        <w:tc>
          <w:tcPr>
            <w:tcW w:w="8140" w:type="dxa"/>
            <w:vAlign w:val="bottom"/>
            <w:gridSpan w:val="24"/>
          </w:tcPr>
          <w:p>
            <w:pPr>
              <w:spacing w:after="0"/>
              <w:rPr>
                <w:sz w:val="17"/>
                <w:szCs w:val="17"/>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10.34(26)</w:t>
            </w:r>
          </w:p>
        </w:tc>
        <w:tc>
          <w:tcPr>
            <w:tcW w:w="140" w:type="dxa"/>
            <w:vAlign w:val="bottom"/>
          </w:tcPr>
          <w:p>
            <w:pPr>
              <w:spacing w:after="0"/>
              <w:rPr>
                <w:sz w:val="24"/>
                <w:szCs w:val="24"/>
                <w:color w:val="auto"/>
              </w:rPr>
            </w:pPr>
          </w:p>
        </w:tc>
        <w:tc>
          <w:tcPr>
            <w:tcW w:w="99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459">
              <w:r>
                <w:rPr>
                  <w:rFonts w:ascii="Times New Roman" w:cs="Times New Roman" w:eastAsia="Times New Roman" w:hAnsi="Times New Roman"/>
                  <w:sz w:val="18"/>
                  <w:szCs w:val="18"/>
                  <w:color w:val="0000FF"/>
                  <w:w w:val="99"/>
                </w:rPr>
                <w:t>Share Purchase Agreement, dated as of February 13, 2018, by and between Bristol-Myers Squibb and Company and Nektar Therapeutics.</w:t>
              </w:r>
            </w:hyperlink>
          </w:p>
        </w:tc>
        <w:tc>
          <w:tcPr>
            <w:tcW w:w="160" w:type="dxa"/>
            <w:vAlign w:val="bottom"/>
            <w:gridSpan w:val="5"/>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10.35(27)</w:t>
            </w:r>
          </w:p>
        </w:tc>
        <w:tc>
          <w:tcPr>
            <w:tcW w:w="140" w:type="dxa"/>
            <w:vAlign w:val="bottom"/>
          </w:tcPr>
          <w:p>
            <w:pPr>
              <w:spacing w:after="0"/>
              <w:rPr>
                <w:sz w:val="24"/>
                <w:szCs w:val="24"/>
                <w:color w:val="auto"/>
              </w:rPr>
            </w:pPr>
          </w:p>
        </w:tc>
        <w:tc>
          <w:tcPr>
            <w:tcW w:w="9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460">
              <w:r>
                <w:rPr>
                  <w:rFonts w:ascii="Times New Roman" w:cs="Times New Roman" w:eastAsia="Times New Roman" w:hAnsi="Times New Roman"/>
                  <w:sz w:val="18"/>
                  <w:szCs w:val="18"/>
                  <w:color w:val="0000FF"/>
                  <w:w w:val="99"/>
                </w:rPr>
                <w:t>Office Lease, effective as of May 31, 2018, by and between Kilroy Realty Finance Partnership, L.P., and Nektar Therapeutics.</w:t>
              </w:r>
            </w:hyperlink>
          </w:p>
        </w:tc>
        <w:tc>
          <w:tcPr>
            <w:tcW w:w="20" w:type="dxa"/>
            <w:vAlign w:val="bottom"/>
            <w:tcBorders>
              <w:bottom w:val="single" w:sz="8" w:color="0000EE"/>
            </w:tcBorders>
          </w:tcPr>
          <w:p>
            <w:pPr>
              <w:spacing w:after="0"/>
              <w:rPr>
                <w:sz w:val="24"/>
                <w:szCs w:val="24"/>
                <w:color w:val="auto"/>
              </w:rPr>
            </w:pPr>
          </w:p>
        </w:tc>
        <w:tc>
          <w:tcPr>
            <w:tcW w:w="960" w:type="dxa"/>
            <w:vAlign w:val="bottom"/>
            <w:gridSpan w:val="13"/>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10.36(29)</w:t>
            </w:r>
          </w:p>
        </w:tc>
        <w:tc>
          <w:tcPr>
            <w:tcW w:w="140" w:type="dxa"/>
            <w:vAlign w:val="bottom"/>
          </w:tcPr>
          <w:p>
            <w:pPr>
              <w:spacing w:after="0"/>
              <w:rPr>
                <w:sz w:val="24"/>
                <w:szCs w:val="24"/>
                <w:color w:val="auto"/>
              </w:rPr>
            </w:pPr>
          </w:p>
        </w:tc>
        <w:tc>
          <w:tcPr>
            <w:tcW w:w="100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Purchase and Sale Agreement, dated December 16, 2020, by and between entities managed by Healthcare Royalty Management, LLC and</w:t>
              </w:r>
            </w:hyperlink>
          </w:p>
        </w:tc>
        <w:tc>
          <w:tcPr>
            <w:tcW w:w="8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FF"/>
              </w:rPr>
            </w:pPr>
            <w:hyperlink r:id="rId461">
              <w:r>
                <w:rPr>
                  <w:rFonts w:ascii="Times New Roman" w:cs="Times New Roman" w:eastAsia="Times New Roman" w:hAnsi="Times New Roman"/>
                  <w:sz w:val="18"/>
                  <w:szCs w:val="18"/>
                  <w:color w:val="0000FF"/>
                </w:rPr>
                <w:t>Nektar Therapeutics.+</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10.37(30)</w:t>
            </w:r>
          </w:p>
        </w:tc>
        <w:tc>
          <w:tcPr>
            <w:tcW w:w="140" w:type="dxa"/>
            <w:vAlign w:val="bottom"/>
          </w:tcPr>
          <w:p>
            <w:pPr>
              <w:spacing w:after="0"/>
              <w:rPr>
                <w:sz w:val="24"/>
                <w:szCs w:val="24"/>
                <w:color w:val="auto"/>
              </w:rPr>
            </w:pPr>
          </w:p>
        </w:tc>
        <w:tc>
          <w:tcPr>
            <w:tcW w:w="100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462">
              <w:r>
                <w:rPr>
                  <w:rFonts w:ascii="Times New Roman" w:cs="Times New Roman" w:eastAsia="Times New Roman" w:hAnsi="Times New Roman"/>
                  <w:sz w:val="18"/>
                  <w:szCs w:val="18"/>
                  <w:color w:val="0000FF"/>
                  <w:w w:val="99"/>
                </w:rPr>
                <w:t>Amendment No. 2 to Strategic Collaboration Agreement dated as of January 12, 2022, by and between Bristol-Myers Squibb and Company</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62">
              <w:r>
                <w:rPr>
                  <w:rFonts w:ascii="Times New Roman" w:cs="Times New Roman" w:eastAsia="Times New Roman" w:hAnsi="Times New Roman"/>
                  <w:sz w:val="18"/>
                  <w:szCs w:val="18"/>
                  <w:color w:val="0000FF"/>
                  <w:w w:val="99"/>
                </w:rPr>
                <w:t>and Nektar Therapeutics.+</w:t>
              </w:r>
            </w:hyperlink>
          </w:p>
        </w:tc>
        <w:tc>
          <w:tcPr>
            <w:tcW w:w="20" w:type="dxa"/>
            <w:vAlign w:val="bottom"/>
            <w:tcBorders>
              <w:bottom w:val="single" w:sz="8" w:color="0000EE"/>
            </w:tcBorders>
          </w:tcPr>
          <w:p>
            <w:pPr>
              <w:spacing w:after="0"/>
              <w:rPr>
                <w:sz w:val="17"/>
                <w:szCs w:val="17"/>
                <w:color w:val="auto"/>
              </w:rPr>
            </w:pPr>
          </w:p>
        </w:tc>
        <w:tc>
          <w:tcPr>
            <w:tcW w:w="8140" w:type="dxa"/>
            <w:vAlign w:val="bottom"/>
            <w:gridSpan w:val="24"/>
          </w:tcPr>
          <w:p>
            <w:pPr>
              <w:spacing w:after="0"/>
              <w:rPr>
                <w:sz w:val="17"/>
                <w:szCs w:val="17"/>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10.38(31)</w:t>
            </w:r>
          </w:p>
        </w:tc>
        <w:tc>
          <w:tcPr>
            <w:tcW w:w="140" w:type="dxa"/>
            <w:vAlign w:val="bottom"/>
          </w:tcPr>
          <w:p>
            <w:pPr>
              <w:spacing w:after="0"/>
              <w:rPr>
                <w:sz w:val="24"/>
                <w:szCs w:val="24"/>
                <w:color w:val="auto"/>
              </w:rPr>
            </w:pPr>
          </w:p>
        </w:tc>
        <w:tc>
          <w:tcPr>
            <w:tcW w:w="100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Employment Transition, Separation and Consultation Agreement, dated as of June 29, 2022, by and between Nektar Therapeutics and John</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463">
              <w:r>
                <w:rPr>
                  <w:rFonts w:ascii="Times New Roman" w:cs="Times New Roman" w:eastAsia="Times New Roman" w:hAnsi="Times New Roman"/>
                  <w:sz w:val="18"/>
                  <w:szCs w:val="18"/>
                  <w:color w:val="0000FF"/>
                  <w:w w:val="98"/>
                </w:rPr>
                <w:t>Northcott.++</w:t>
              </w:r>
            </w:hyperlink>
          </w:p>
        </w:tc>
        <w:tc>
          <w:tcPr>
            <w:tcW w:w="20" w:type="dxa"/>
            <w:vAlign w:val="bottom"/>
            <w:tcBorders>
              <w:bottom w:val="single" w:sz="8" w:color="0000EE"/>
            </w:tcBorders>
          </w:tcPr>
          <w:p>
            <w:pPr>
              <w:spacing w:after="0"/>
              <w:rPr>
                <w:sz w:val="17"/>
                <w:szCs w:val="17"/>
                <w:color w:val="auto"/>
              </w:rPr>
            </w:pPr>
          </w:p>
        </w:tc>
        <w:tc>
          <w:tcPr>
            <w:tcW w:w="9120" w:type="dxa"/>
            <w:vAlign w:val="bottom"/>
            <w:gridSpan w:val="29"/>
          </w:tcPr>
          <w:p>
            <w:pPr>
              <w:spacing w:after="0"/>
              <w:rPr>
                <w:sz w:val="17"/>
                <w:szCs w:val="17"/>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10.39(32)</w:t>
            </w:r>
          </w:p>
        </w:tc>
        <w:tc>
          <w:tcPr>
            <w:tcW w:w="1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FF"/>
              </w:rPr>
            </w:pPr>
            <w:hyperlink r:id="rId464">
              <w:r>
                <w:rPr>
                  <w:rFonts w:ascii="Times New Roman" w:cs="Times New Roman" w:eastAsia="Times New Roman" w:hAnsi="Times New Roman"/>
                  <w:sz w:val="18"/>
                  <w:szCs w:val="18"/>
                  <w:color w:val="0000FF"/>
                </w:rPr>
                <w:t>Consulting Agreement between Nektar Therapeutics and FLG Partners, LLC dated April, 2023++</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7"/>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tcBorders>
              <w:right w:val="single" w:sz="8" w:color="0000EE"/>
            </w:tcBorders>
            <w:shd w:val="clear" w:color="auto" w:fill="0000FF"/>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10.40(33)</w:t>
            </w:r>
          </w:p>
        </w:tc>
        <w:tc>
          <w:tcPr>
            <w:tcW w:w="140" w:type="dxa"/>
            <w:vAlign w:val="bottom"/>
          </w:tcPr>
          <w:p>
            <w:pPr>
              <w:spacing w:after="0"/>
              <w:rPr>
                <w:sz w:val="24"/>
                <w:szCs w:val="24"/>
                <w:color w:val="auto"/>
              </w:rPr>
            </w:pPr>
          </w:p>
        </w:tc>
        <w:tc>
          <w:tcPr>
            <w:tcW w:w="93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Employment Separation and Release Agreement effective as of June 19, 2023 by and between Nektar Therapeutics and Jillian B.</w:t>
              </w:r>
            </w:hyperlink>
          </w:p>
        </w:tc>
        <w:tc>
          <w:tcPr>
            <w:tcW w:w="74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465">
              <w:r>
                <w:rPr>
                  <w:rFonts w:ascii="Times New Roman" w:cs="Times New Roman" w:eastAsia="Times New Roman" w:hAnsi="Times New Roman"/>
                  <w:sz w:val="18"/>
                  <w:szCs w:val="18"/>
                  <w:color w:val="0000FF"/>
                  <w:w w:val="97"/>
                </w:rPr>
                <w:t>Thomsen.++</w:t>
              </w:r>
            </w:hyperlink>
          </w:p>
        </w:tc>
        <w:tc>
          <w:tcPr>
            <w:tcW w:w="20" w:type="dxa"/>
            <w:vAlign w:val="bottom"/>
            <w:tcBorders>
              <w:bottom w:val="single" w:sz="8" w:color="0000EE"/>
            </w:tcBorders>
          </w:tcPr>
          <w:p>
            <w:pPr>
              <w:spacing w:after="0"/>
              <w:rPr>
                <w:sz w:val="17"/>
                <w:szCs w:val="17"/>
                <w:color w:val="auto"/>
              </w:rPr>
            </w:pPr>
          </w:p>
        </w:tc>
        <w:tc>
          <w:tcPr>
            <w:tcW w:w="9140" w:type="dxa"/>
            <w:vAlign w:val="bottom"/>
            <w:gridSpan w:val="30"/>
          </w:tcPr>
          <w:p>
            <w:pPr>
              <w:spacing w:after="0"/>
              <w:rPr>
                <w:sz w:val="17"/>
                <w:szCs w:val="17"/>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10.41(34)</w:t>
            </w:r>
          </w:p>
        </w:tc>
        <w:tc>
          <w:tcPr>
            <w:tcW w:w="140" w:type="dxa"/>
            <w:vAlign w:val="bottom"/>
          </w:tcPr>
          <w:p>
            <w:pPr>
              <w:spacing w:after="0"/>
              <w:rPr>
                <w:sz w:val="24"/>
                <w:szCs w:val="24"/>
                <w:color w:val="auto"/>
              </w:rPr>
            </w:pPr>
          </w:p>
        </w:tc>
        <w:tc>
          <w:tcPr>
            <w:tcW w:w="10080" w:type="dxa"/>
            <w:vAlign w:val="bottom"/>
            <w:gridSpan w:val="32"/>
          </w:tcPr>
          <w:p>
            <w:pPr>
              <w:spacing w:after="0"/>
              <w:rPr>
                <w:rFonts w:ascii="Times New Roman" w:cs="Times New Roman" w:eastAsia="Times New Roman" w:hAnsi="Times New Roman"/>
                <w:sz w:val="18"/>
                <w:szCs w:val="18"/>
                <w:color w:val="0000FF"/>
              </w:rPr>
            </w:pPr>
            <w:hyperlink r:id="rId466">
              <w:r>
                <w:rPr>
                  <w:rFonts w:ascii="Times New Roman" w:cs="Times New Roman" w:eastAsia="Times New Roman" w:hAnsi="Times New Roman"/>
                  <w:sz w:val="18"/>
                  <w:szCs w:val="18"/>
                  <w:color w:val="0000FF"/>
                </w:rPr>
                <w:t>Letter Agreement dated as of September 6, 2023 by and between Bristol-Myers Squibb and Company and Nektar Therapeutics.+</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40" w:type="dxa"/>
            <w:vAlign w:val="bottom"/>
            <w:tcBorders>
              <w:right w:val="single" w:sz="8" w:color="0000FF"/>
            </w:tcBorders>
            <w:gridSpan w:val="9"/>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20" w:type="dxa"/>
            <w:vAlign w:val="bottom"/>
            <w:tcBorders>
              <w:right w:val="single" w:sz="8" w:color="0000EE"/>
            </w:tcBorders>
            <w:gridSpan w:val="8"/>
            <w:shd w:val="clear" w:color="auto" w:fill="0000FF"/>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10.42(35)</w:t>
            </w:r>
          </w:p>
        </w:tc>
        <w:tc>
          <w:tcPr>
            <w:tcW w:w="140" w:type="dxa"/>
            <w:vAlign w:val="bottom"/>
          </w:tcPr>
          <w:p>
            <w:pPr>
              <w:spacing w:after="0"/>
              <w:rPr>
                <w:sz w:val="24"/>
                <w:szCs w:val="24"/>
                <w:color w:val="auto"/>
              </w:rPr>
            </w:pPr>
          </w:p>
        </w:tc>
        <w:tc>
          <w:tcPr>
            <w:tcW w:w="98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Amendment No. 1 to Purchase and Sale Agreement, dated December 16, 2020, by and between entities managed by Healthcare Royalty</w:t>
              </w:r>
            </w:hyperlink>
          </w:p>
        </w:tc>
        <w:tc>
          <w:tcPr>
            <w:tcW w:w="24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Management, LLC and Nektar Therapeutics.</w:t>
              </w:r>
            </w:hyperlink>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19.1(36)</w:t>
            </w:r>
          </w:p>
        </w:tc>
        <w:tc>
          <w:tcPr>
            <w:tcW w:w="140" w:type="dxa"/>
            <w:vAlign w:val="bottom"/>
          </w:tcPr>
          <w:p>
            <w:pPr>
              <w:spacing w:after="0"/>
              <w:rPr>
                <w:sz w:val="24"/>
                <w:szCs w:val="24"/>
                <w:color w:val="auto"/>
              </w:rPr>
            </w:pPr>
          </w:p>
        </w:tc>
        <w:tc>
          <w:tcPr>
            <w:tcW w:w="32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Nektar Therapeutics Insider Trading Policy</w:t>
            </w:r>
          </w:p>
        </w:tc>
        <w:tc>
          <w:tcPr>
            <w:tcW w:w="6860" w:type="dxa"/>
            <w:vAlign w:val="bottom"/>
            <w:gridSpan w:val="21"/>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21.1(36)</w:t>
            </w:r>
          </w:p>
        </w:tc>
        <w:tc>
          <w:tcPr>
            <w:tcW w:w="140" w:type="dxa"/>
            <w:vAlign w:val="bottom"/>
          </w:tcPr>
          <w:p>
            <w:pPr>
              <w:spacing w:after="0"/>
              <w:rPr>
                <w:sz w:val="24"/>
                <w:szCs w:val="24"/>
                <w:color w:val="auto"/>
              </w:rPr>
            </w:pPr>
          </w:p>
        </w:tc>
        <w:tc>
          <w:tcPr>
            <w:tcW w:w="31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Subsidiaries of Nektar Therapeutics.</w:t>
            </w:r>
          </w:p>
        </w:tc>
        <w:tc>
          <w:tcPr>
            <w:tcW w:w="6960" w:type="dxa"/>
            <w:vAlign w:val="bottom"/>
            <w:gridSpan w:val="22"/>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40" w:type="dxa"/>
            <w:vAlign w:val="bottom"/>
            <w:tcBorders>
              <w:right w:val="single" w:sz="8" w:color="0000EE"/>
            </w:tcBorders>
            <w:gridSpan w:val="9"/>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gridSpan w:val="19"/>
          </w:tcPr>
          <w:p>
            <w:pPr>
              <w:spacing w:after="0" w:line="20" w:lineRule="exact"/>
              <w:rPr>
                <w:sz w:val="1"/>
                <w:szCs w:val="1"/>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23.1(36)</w:t>
            </w:r>
          </w:p>
        </w:tc>
        <w:tc>
          <w:tcPr>
            <w:tcW w:w="140" w:type="dxa"/>
            <w:vAlign w:val="bottom"/>
          </w:tcPr>
          <w:p>
            <w:pPr>
              <w:spacing w:after="0"/>
              <w:rPr>
                <w:sz w:val="24"/>
                <w:szCs w:val="24"/>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20" w:type="dxa"/>
            <w:vAlign w:val="bottom"/>
            <w:tcBorders>
              <w:bottom w:val="single" w:sz="8" w:color="0000EE"/>
            </w:tcBorders>
          </w:tcPr>
          <w:p>
            <w:pPr>
              <w:spacing w:after="0"/>
              <w:rPr>
                <w:sz w:val="24"/>
                <w:szCs w:val="24"/>
                <w:color w:val="auto"/>
              </w:rPr>
            </w:pPr>
          </w:p>
        </w:tc>
        <w:tc>
          <w:tcPr>
            <w:tcW w:w="5700" w:type="dxa"/>
            <w:vAlign w:val="bottom"/>
            <w:gridSpan w:val="19"/>
          </w:tcPr>
          <w:p>
            <w:pPr>
              <w:spacing w:after="0"/>
              <w:rPr>
                <w:sz w:val="24"/>
                <w:szCs w:val="24"/>
                <w:color w:val="auto"/>
              </w:rPr>
            </w:pPr>
          </w:p>
        </w:tc>
      </w:tr>
      <w:tr>
        <w:trPr>
          <w:trHeight w:val="689"/>
        </w:trPr>
        <w:tc>
          <w:tcPr>
            <w:tcW w:w="1020" w:type="dxa"/>
            <w:vAlign w:val="bottom"/>
          </w:tcPr>
          <w:p>
            <w:pPr>
              <w:spacing w:after="0"/>
              <w:rPr>
                <w:sz w:val="24"/>
                <w:szCs w:val="24"/>
                <w:color w:val="auto"/>
              </w:rPr>
            </w:pPr>
          </w:p>
        </w:tc>
        <w:tc>
          <w:tcPr>
            <w:tcW w:w="7200" w:type="dxa"/>
            <w:vAlign w:val="bottom"/>
            <w:gridSpan w:val="15"/>
          </w:tcPr>
          <w:p>
            <w:pPr>
              <w:jc w:val="right"/>
              <w:ind w:right="2460"/>
              <w:spacing w:after="0"/>
              <w:rPr>
                <w:sz w:val="20"/>
                <w:szCs w:val="20"/>
                <w:color w:val="auto"/>
              </w:rPr>
            </w:pPr>
            <w:r>
              <w:rPr>
                <w:rFonts w:ascii="Arial" w:cs="Arial" w:eastAsia="Arial" w:hAnsi="Arial"/>
                <w:sz w:val="15"/>
                <w:szCs w:val="15"/>
                <w:color w:val="auto"/>
              </w:rPr>
              <w:t>129</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2"/>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8"/>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gridSpan w:val="5"/>
          </w:tcPr>
          <w:p>
            <w:pPr>
              <w:ind w:left="2020"/>
              <w:spacing w:after="0"/>
              <w:rPr>
                <w:sz w:val="20"/>
                <w:szCs w:val="20"/>
                <w:color w:val="auto"/>
              </w:rPr>
            </w:pPr>
            <w:r>
              <w:rPr>
                <w:rFonts w:ascii="Times New Roman" w:cs="Times New Roman" w:eastAsia="Times New Roman" w:hAnsi="Times New Roman"/>
                <w:sz w:val="18"/>
                <w:szCs w:val="18"/>
                <w:b w:val="1"/>
                <w:bCs w:val="1"/>
                <w:color w:val="auto"/>
              </w:rPr>
              <w:t>Description of Documents</w:t>
            </w:r>
          </w:p>
        </w:tc>
      </w:tr>
      <w:tr>
        <w:trPr>
          <w:trHeight w:val="60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24(36)</w:t>
            </w:r>
          </w:p>
        </w:tc>
        <w:tc>
          <w:tcPr>
            <w:tcW w:w="140" w:type="dxa"/>
            <w:vAlign w:val="bottom"/>
          </w:tcPr>
          <w:p>
            <w:pPr>
              <w:spacing w:after="0"/>
              <w:rPr>
                <w:sz w:val="24"/>
                <w:szCs w:val="24"/>
                <w:color w:val="auto"/>
              </w:rPr>
            </w:pPr>
          </w:p>
        </w:tc>
        <w:tc>
          <w:tcPr>
            <w:tcW w:w="4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Power of Attorney (reference is made to the signature page).</w:t>
            </w:r>
          </w:p>
        </w:tc>
        <w:tc>
          <w:tcPr>
            <w:tcW w:w="20" w:type="dxa"/>
            <w:vAlign w:val="bottom"/>
            <w:tcBorders>
              <w:bottom w:val="single" w:sz="8" w:color="0000EE"/>
            </w:tcBorders>
          </w:tcPr>
          <w:p>
            <w:pPr>
              <w:spacing w:after="0"/>
              <w:rPr>
                <w:sz w:val="24"/>
                <w:szCs w:val="24"/>
                <w:color w:val="auto"/>
              </w:rPr>
            </w:pPr>
          </w:p>
        </w:tc>
        <w:tc>
          <w:tcPr>
            <w:tcW w:w="5700" w:type="dxa"/>
            <w:vAlign w:val="bottom"/>
            <w:gridSpan w:val="3"/>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31.1(36)</w:t>
            </w:r>
          </w:p>
        </w:tc>
        <w:tc>
          <w:tcPr>
            <w:tcW w:w="1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Nektar Therapeutics’ principal executive officer required by Rule 13a-14(a) or Rule 15d-14(a).</w:t>
            </w: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31.2(36)</w:t>
            </w:r>
          </w:p>
        </w:tc>
        <w:tc>
          <w:tcPr>
            <w:tcW w:w="140" w:type="dxa"/>
            <w:vAlign w:val="bottom"/>
          </w:tcPr>
          <w:p>
            <w:pPr>
              <w:spacing w:after="0"/>
              <w:rPr>
                <w:sz w:val="24"/>
                <w:szCs w:val="24"/>
                <w:color w:val="auto"/>
              </w:rPr>
            </w:pPr>
          </w:p>
        </w:tc>
        <w:tc>
          <w:tcPr>
            <w:tcW w:w="79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Nektar Therapeutics’ principal financial officer required by Rule 13a-14(a) or Rule 15d-14(a).</w:t>
            </w:r>
          </w:p>
        </w:tc>
        <w:tc>
          <w:tcPr>
            <w:tcW w:w="2100" w:type="dxa"/>
            <w:vAlign w:val="bottom"/>
          </w:tcPr>
          <w:p>
            <w:pPr>
              <w:spacing w:after="0"/>
              <w:rPr>
                <w:sz w:val="24"/>
                <w:szCs w:val="24"/>
                <w:color w:val="auto"/>
              </w:rPr>
            </w:pPr>
          </w:p>
        </w:tc>
      </w:tr>
      <w:tr>
        <w:trPr>
          <w:trHeight w:val="41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79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2160" w:type="dxa"/>
            <w:vAlign w:val="bottom"/>
            <w:gridSpan w:val="2"/>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60" w:hanging="1139"/>
        <w:spacing w:after="0"/>
        <w:tabs>
          <w:tab w:leader="none" w:pos="11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Nektar Therapeutics Compensation Recovery Policy, 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331851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0">
                      <a:extLst>
                        <a:ext uri="{28A0092B-C50C-407E-A947-70E740481C1C}"/>
                      </a:extLst>
                    </a:blip>
                    <a:srcRect/>
                    <a:stretch>
                      <a:fillRect/>
                    </a:stretch>
                  </pic:blipFill>
                  <pic:spPr bwMode="auto">
                    <a:xfrm>
                      <a:off x="0" y="0"/>
                      <a:ext cx="3318510" cy="8890"/>
                    </a:xfrm>
                    <a:prstGeom prst="rect">
                      <a:avLst/>
                    </a:prstGeom>
                    <a:noFill/>
                  </pic:spPr>
                </pic:pic>
              </a:graphicData>
            </a:graphic>
          </wp:anchor>
        </w:drawing>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99.1(36)</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Unaudited Pro Forma Condensed Consolidated Financial Statements for the year ended December 31, 2024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7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Label Linkbase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with applicable taxonomy extension information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45" w:lineRule="exact"/>
        <w:rPr>
          <w:sz w:val="20"/>
          <w:szCs w:val="20"/>
          <w:color w:val="auto"/>
        </w:rPr>
      </w:pPr>
    </w:p>
    <w:p>
      <w:pPr>
        <w:ind w:right="160" w:firstLine="8"/>
        <w:spacing w:after="0" w:line="261" w:lineRule="auto"/>
        <w:tabs>
          <w:tab w:leader="none" w:pos="1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 in accordance with the rules of the Securities and Exchange Commission.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9" w:lineRule="exact"/>
        <w:rPr>
          <w:rFonts w:ascii="Times New Roman" w:cs="Times New Roman" w:eastAsia="Times New Roman" w:hAnsi="Times New Roman"/>
          <w:sz w:val="18"/>
          <w:szCs w:val="18"/>
          <w:color w:val="auto"/>
        </w:rPr>
      </w:pPr>
    </w:p>
    <w:p>
      <w:pPr>
        <w:ind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Inline XBRL information is filed herewith.</w:t>
      </w:r>
    </w:p>
    <w:p>
      <w:pPr>
        <w:spacing w:after="0" w:line="9" w:lineRule="exact"/>
        <w:rPr>
          <w:sz w:val="20"/>
          <w:szCs w:val="20"/>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2008.</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1998.</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2000.</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January 23, 2003.</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2009.</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December 16, 2022.</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October 6, 2015.</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2011.</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June 17, 2015.</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December 17, 2015.</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September 30, 2023.</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2018.</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2020.</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March 31, 2020.</w:t>
      </w:r>
    </w:p>
    <w:p>
      <w:pPr>
        <w:spacing w:after="0" w:line="27"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2004.</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2007.</w:t>
      </w:r>
    </w:p>
    <w:p>
      <w:pPr>
        <w:spacing w:after="0" w:line="20"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2010.</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2017.</w:t>
      </w:r>
    </w:p>
    <w:p>
      <w:pPr>
        <w:spacing w:after="0" w:line="20"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2019.</w:t>
      </w:r>
    </w:p>
    <w:p>
      <w:pPr>
        <w:spacing w:after="0" w:line="20"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2006.</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2009.</w:t>
      </w:r>
    </w:p>
    <w:p>
      <w:pPr>
        <w:spacing w:after="0" w:line="20"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2016.</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March 31, 2012.</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2013.</w:t>
      </w:r>
    </w:p>
    <w:p>
      <w:pPr>
        <w:spacing w:after="0" w:line="20"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March 31, 2018.</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February 14, 2018.</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2018.</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2019.</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2020.</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2021.</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2022.</w:t>
      </w:r>
    </w:p>
    <w:p>
      <w:pPr>
        <w:spacing w:after="0" w:line="20"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March 31, 2023.</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2023.</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2023.</w:t>
      </w:r>
    </w:p>
    <w:p>
      <w:pPr>
        <w:spacing w:after="0" w:line="20"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March 31, 2024.</w:t>
      </w:r>
    </w:p>
    <w:p>
      <w:pPr>
        <w:spacing w:after="0" w:line="9" w:lineRule="exact"/>
        <w:rPr>
          <w:rFonts w:ascii="Times New Roman" w:cs="Times New Roman" w:eastAsia="Times New Roman" w:hAnsi="Times New Roman"/>
          <w:sz w:val="15"/>
          <w:szCs w:val="15"/>
          <w:color w:val="auto"/>
        </w:rPr>
      </w:pPr>
    </w:p>
    <w:p>
      <w:pPr>
        <w:ind w:left="480" w:hanging="472"/>
        <w:spacing w:after="0"/>
        <w:tabs>
          <w:tab w:leader="none" w:pos="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Filed herewith.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16. Form 10-K Summary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14, 2025</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NEKTAR THERAPEUTICS</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SANDRA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333438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Sandra Gardiner</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i w:val="1"/>
          <w:iCs w:val="1"/>
          <w:color w:val="auto"/>
        </w:rPr>
        <w:t>Interim Chief Financial Officer (Principal Financial and Accounting</w:t>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i w:val="1"/>
          <w:iCs w:val="1"/>
          <w:color w:val="auto"/>
        </w:rPr>
        <w:t>Officer)</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KNOW ALL PERSON BY THESE PRESENTS, that each person whose signature appears below constitutes and appoints Howard W. Robin and Sandra Gardiner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 and confirming all that said attorneys-in-fact and agents, or any of them, or their or his or her substitute or substitutes, may lawfully do or cause to be done by virtue hereof.</w:t>
      </w:r>
    </w:p>
    <w:p>
      <w:pPr>
        <w:spacing w:after="0" w:line="148" w:lineRule="exact"/>
        <w:rPr>
          <w:sz w:val="20"/>
          <w:szCs w:val="20"/>
          <w:color w:val="auto"/>
        </w:rPr>
      </w:pPr>
    </w:p>
    <w:p>
      <w:pPr>
        <w:ind w:right="340" w:firstLine="64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in the capacities and on the dates indicated: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40" w:type="dxa"/>
            <w:vAlign w:val="bottom"/>
          </w:tcPr>
          <w:p>
            <w:pPr>
              <w:spacing w:after="0"/>
              <w:rPr>
                <w:sz w:val="21"/>
                <w:szCs w:val="21"/>
                <w:color w:val="auto"/>
              </w:rPr>
            </w:pPr>
          </w:p>
        </w:tc>
        <w:tc>
          <w:tcPr>
            <w:tcW w:w="40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80" w:type="dxa"/>
            <w:vAlign w:val="bottom"/>
          </w:tcPr>
          <w:p>
            <w:pPr>
              <w:spacing w:after="0"/>
              <w:rPr>
                <w:sz w:val="21"/>
                <w:szCs w:val="21"/>
                <w:color w:val="auto"/>
              </w:rPr>
            </w:pPr>
          </w:p>
        </w:tc>
        <w:tc>
          <w:tcPr>
            <w:tcW w:w="18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45"/>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HOWARD W. ROBIN</w:t>
            </w: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48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14, 2025</w:t>
            </w:r>
          </w:p>
        </w:tc>
      </w:tr>
      <w:tr>
        <w:trPr>
          <w:trHeight w:val="232"/>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Howard W. Robin</w:t>
            </w: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3"/>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SANDRA GARDINER</w:t>
            </w: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48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14, 2025</w:t>
            </w:r>
          </w:p>
        </w:tc>
      </w:tr>
      <w:tr>
        <w:trPr>
          <w:trHeight w:val="232"/>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Sandra Gardiner</w:t>
            </w: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3"/>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B. CHESS</w:t>
            </w: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 Chairman of the Board of Directors</w:t>
            </w:r>
          </w:p>
        </w:tc>
        <w:tc>
          <w:tcPr>
            <w:tcW w:w="148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14, 2025</w:t>
            </w:r>
          </w:p>
        </w:tc>
      </w:tr>
      <w:tr>
        <w:trPr>
          <w:trHeight w:val="232"/>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Robert B. Chess</w:t>
            </w:r>
          </w:p>
        </w:tc>
        <w:tc>
          <w:tcPr>
            <w:tcW w:w="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3"/>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R. AJER</w:t>
            </w: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14, 2025</w:t>
            </w:r>
          </w:p>
        </w:tc>
      </w:tr>
      <w:tr>
        <w:trPr>
          <w:trHeight w:val="232"/>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Jeffrey R. Ajer</w:t>
            </w:r>
          </w:p>
        </w:tc>
        <w:tc>
          <w:tcPr>
            <w:tcW w:w="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3"/>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DIANA M. BRAINARD</w:t>
            </w: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14, 2025</w:t>
            </w:r>
          </w:p>
        </w:tc>
      </w:tr>
      <w:tr>
        <w:trPr>
          <w:trHeight w:val="232"/>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Diana M. Brainard</w:t>
            </w:r>
          </w:p>
        </w:tc>
        <w:tc>
          <w:tcPr>
            <w:tcW w:w="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3"/>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 SCOTT GREER</w:t>
            </w: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14, 2025</w:t>
            </w:r>
          </w:p>
        </w:tc>
      </w:tr>
      <w:tr>
        <w:trPr>
          <w:trHeight w:val="232"/>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 Scott Greer</w:t>
            </w:r>
          </w:p>
        </w:tc>
        <w:tc>
          <w:tcPr>
            <w:tcW w:w="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3"/>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ROY A. WHITFIELD</w:t>
            </w: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14, 2025</w:t>
            </w:r>
          </w:p>
        </w:tc>
      </w:tr>
      <w:tr>
        <w:trPr>
          <w:trHeight w:val="232"/>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Roy A. Whitfield</w:t>
            </w:r>
          </w:p>
        </w:tc>
        <w:tc>
          <w:tcPr>
            <w:tcW w:w="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32" w:name="page133"/>
    <w:bookmarkEnd w:id="132"/>
    <w:p>
      <w:pPr>
        <w:ind w:left="10120"/>
        <w:spacing w:after="0"/>
        <w:rPr>
          <w:sz w:val="20"/>
          <w:szCs w:val="20"/>
          <w:color w:val="auto"/>
        </w:rPr>
      </w:pPr>
      <w:r>
        <w:rPr>
          <w:rFonts w:ascii="Times New Roman" w:cs="Times New Roman" w:eastAsia="Times New Roman" w:hAnsi="Times New Roman"/>
          <w:sz w:val="21"/>
          <w:szCs w:val="21"/>
          <w:b w:val="1"/>
          <w:bCs w:val="1"/>
          <w:color w:val="181818"/>
        </w:rPr>
        <w:t>Exhibit 19.1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NEKTAR THERAPEUTICS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SECURITY TRADING POLICY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Nektar Therapeutics (“Nektar” or the “Company”) is committed to complying with all applicable laws and regulations. Nektar has adopted this Security Trading Policy (“Policy”) to prohibit Affiliates from trading in the securities of any company, including Nektar, while in possession of material, non-public information about such company, as well as passing on material, non-public information to others who trade on that information. These types of transactions are commonly known as “insider trading” and “tipping,” respectively.</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Our Board of Directors has approved this Policy, and we have appointed our head of the legal department (“General Counsel”) (with their designees) to administer the Policy and to be available to answer your questions.</w:t>
      </w:r>
    </w:p>
    <w:p>
      <w:pPr>
        <w:spacing w:after="0" w:line="154" w:lineRule="exact"/>
        <w:rPr>
          <w:sz w:val="20"/>
          <w:szCs w:val="20"/>
          <w:color w:val="auto"/>
        </w:rPr>
      </w:pPr>
    </w:p>
    <w:p>
      <w:pPr>
        <w:jc w:val="both"/>
        <w:ind w:left="760" w:hanging="752"/>
        <w:spacing w:after="0" w:line="246" w:lineRule="auto"/>
        <w:tabs>
          <w:tab w:leader="none" w:pos="7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Scope of the Policy</w:t>
      </w:r>
      <w:r>
        <w:rPr>
          <w:rFonts w:ascii="Times New Roman" w:cs="Times New Roman" w:eastAsia="Times New Roman" w:hAnsi="Times New Roman"/>
          <w:sz w:val="21"/>
          <w:szCs w:val="21"/>
          <w:color w:val="auto"/>
        </w:rPr>
        <w:t>. Because our stock is publicly traded, as an employee, officer, director, consultant or contractor,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your Affiliates (as defined below) must comply with both the provisions of federal and state securities laws and with our policies, including this policy and our Corporate Disclosure Policy. It is the policy of Nektar to maintain proper procedures to ensure compliance with applicable securities laws and other ethical standards. During the course of your employment with or delivery of services to Nektar, you will learn information about the Company that may be material and/or not publicly known. </w:t>
      </w:r>
      <w:r>
        <w:rPr>
          <w:rFonts w:ascii="Times New Roman" w:cs="Times New Roman" w:eastAsia="Times New Roman" w:hAnsi="Times New Roman"/>
          <w:sz w:val="21"/>
          <w:szCs w:val="21"/>
          <w:b w:val="1"/>
          <w:bCs w:val="1"/>
          <w:color w:val="auto"/>
        </w:rPr>
        <w:t>It is illegal for you to buy or sell Nektar’s stock (or other securities, whether they are</w:t>
      </w:r>
    </w:p>
    <w:p>
      <w:pPr>
        <w:jc w:val="both"/>
        <w:ind w:left="76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Nektar securities or the securities of other companies) on the basis of material, non-public information. It is also illegal for you to pass such information on to others who use it to decide whether to buy or sell securities. </w:t>
      </w:r>
      <w:r>
        <w:rPr>
          <w:rFonts w:ascii="Times New Roman" w:cs="Times New Roman" w:eastAsia="Times New Roman" w:hAnsi="Times New Roman"/>
          <w:sz w:val="22"/>
          <w:szCs w:val="22"/>
          <w:color w:val="auto"/>
        </w:rPr>
        <w:t>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prohibits not only illegal activities, but also other stock trading activities that may not be illegal. These additional restrictions are designed to protect both you and Nektar from even the appearance of improper activity.</w:t>
      </w:r>
    </w:p>
    <w:p>
      <w:pPr>
        <w:spacing w:after="0" w:line="177" w:lineRule="exact"/>
        <w:rPr>
          <w:rFonts w:ascii="Times New Roman" w:cs="Times New Roman" w:eastAsia="Times New Roman" w:hAnsi="Times New Roman"/>
          <w:sz w:val="21"/>
          <w:szCs w:val="21"/>
          <w:color w:val="auto"/>
        </w:rPr>
      </w:pPr>
    </w:p>
    <w:p>
      <w:pPr>
        <w:jc w:val="both"/>
        <w:ind w:left="760" w:right="2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Policy provides you with an overview of the most significant aspects of trading in Nektar’s securities (including insider trading). All individuals subject to this policy are obligated to read, abide by and retain this Policy and applicable laws.</w:t>
      </w:r>
    </w:p>
    <w:p>
      <w:pPr>
        <w:spacing w:after="0" w:line="169" w:lineRule="exact"/>
        <w:rPr>
          <w:rFonts w:ascii="Times New Roman" w:cs="Times New Roman" w:eastAsia="Times New Roman" w:hAnsi="Times New Roman"/>
          <w:sz w:val="21"/>
          <w:szCs w:val="21"/>
          <w:color w:val="auto"/>
        </w:rPr>
      </w:pPr>
    </w:p>
    <w:p>
      <w:pPr>
        <w:jc w:val="both"/>
        <w:ind w:left="76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Persons Covered by the Policy</w:t>
      </w:r>
      <w:r>
        <w:rPr>
          <w:rFonts w:ascii="Times New Roman" w:cs="Times New Roman" w:eastAsia="Times New Roman" w:hAnsi="Times New Roman"/>
          <w:sz w:val="22"/>
          <w:szCs w:val="22"/>
          <w:color w:val="auto"/>
        </w:rPr>
        <w:t>. This Policy applies to all Nektar directors, officers, employees (regardless of whether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full-time, part-time or temporary), consultants, and contractors of Nektar, and the following persons (collectively, these persons and entities are referred to as “Affiliates”):</w:t>
      </w:r>
    </w:p>
    <w:p>
      <w:pPr>
        <w:spacing w:after="0" w:line="171" w:lineRule="exact"/>
        <w:rPr>
          <w:rFonts w:ascii="Times New Roman" w:cs="Times New Roman" w:eastAsia="Times New Roman" w:hAnsi="Times New Roman"/>
          <w:sz w:val="21"/>
          <w:szCs w:val="21"/>
          <w:color w:val="auto"/>
        </w:rPr>
      </w:pPr>
    </w:p>
    <w:p>
      <w:pPr>
        <w:jc w:val="both"/>
        <w:ind w:left="1500" w:hanging="743"/>
        <w:spacing w:after="0" w:line="239" w:lineRule="auto"/>
        <w:tabs>
          <w:tab w:leader="none" w:pos="15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family members (“Family Members”), defined as: (a) your spouse, domestic partner, children, stepchildren, grandchildren, parents, stepparents, grandparents, siblings, in-laws, significant other or other family members, in each case, living in the same household; (b) your children or your spouse’s children who do not reside in the same household as you but are financially dependent on you; and (c) any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3" w:name="page134"/>
    <w:bookmarkEnd w:id="133"/>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person within (a) or (b) who does not reside in your household but whose transactions are directed by you;</w:t>
      </w:r>
    </w:p>
    <w:p>
      <w:pPr>
        <w:spacing w:after="0" w:line="14" w:lineRule="exact"/>
        <w:rPr>
          <w:sz w:val="20"/>
          <w:szCs w:val="20"/>
          <w:color w:val="auto"/>
        </w:rPr>
      </w:pPr>
    </w:p>
    <w:p>
      <w:pPr>
        <w:jc w:val="both"/>
        <w:ind w:left="1500" w:hanging="743"/>
        <w:spacing w:after="0" w:line="230" w:lineRule="auto"/>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individual over whose account you have control and to whose financial support you materially contribute (wherein materially contributing to financial support would include, for example, paying an individual’s rent but not just a phone bill);</w:t>
      </w:r>
    </w:p>
    <w:p>
      <w:pPr>
        <w:spacing w:after="0" w:line="1"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the benefit of a Restricted Person (as defined herein) or for the benefit of a member of your family over which you have the ability to influence or direct investment decisions concerning securities;</w:t>
      </w:r>
    </w:p>
    <w:p>
      <w:pPr>
        <w:spacing w:after="0" w:line="1"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jc w:val="both"/>
        <w:ind w:left="1500" w:hanging="743"/>
        <w:spacing w:after="0" w:line="231" w:lineRule="auto"/>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investment funds, trusts, retirement plans, partnerships, corporations and other types of entities over which you have the ability to influence or direct investment decisions concerning securities (other than electronically traded and investment funds that hold Nektar stock as part of an index and which you have de minimis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black-out periods and pre-clearance procedures do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that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You are responsible for ensuring compliance with this Policy by all of your Affiliates.</w:t>
      </w:r>
    </w:p>
    <w:p>
      <w:pPr>
        <w:spacing w:after="0" w:line="202"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b w:val="1"/>
          <w:bCs w:val="1"/>
          <w:color w:val="auto"/>
        </w:rPr>
        <w:t>Duration of Trading Prohibitions</w:t>
      </w:r>
      <w:r>
        <w:rPr>
          <w:rFonts w:ascii="Times New Roman" w:cs="Times New Roman" w:eastAsia="Times New Roman" w:hAnsi="Times New Roman"/>
          <w:sz w:val="22"/>
          <w:szCs w:val="22"/>
          <w:color w:val="auto"/>
        </w:rPr>
        <w:t>. These trading prohibitions continue whenever and for as long as you know or are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81"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In the event that you leave the Company for any reason, this Security Trading Policy will continue to apply to you and your Affiliates until the later of: (1) the first full trading day following the day in which there is a public release of earnings for the fiscal quarter in which you leave the Company; and (2) the first full trading day following the day in which any material non-public information known to you has become public or is no longer material.</w:t>
      </w:r>
    </w:p>
    <w:p>
      <w:pPr>
        <w:spacing w:after="0" w:line="176" w:lineRule="exact"/>
        <w:rPr>
          <w:sz w:val="20"/>
          <w:szCs w:val="20"/>
          <w:color w:val="auto"/>
        </w:rPr>
      </w:pPr>
    </w:p>
    <w:p>
      <w:pPr>
        <w:jc w:val="both"/>
        <w:ind w:left="760" w:hanging="752"/>
        <w:spacing w:after="0" w:line="246"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Definition of “Material, Non-Public Information.” </w:t>
      </w:r>
      <w:r>
        <w:rPr>
          <w:rFonts w:ascii="Times New Roman" w:cs="Times New Roman" w:eastAsia="Times New Roman" w:hAnsi="Times New Roman"/>
          <w:sz w:val="22"/>
          <w:szCs w:val="22"/>
          <w:color w:val="auto"/>
        </w:rPr>
        <w:t>Information is “</w:t>
      </w:r>
      <w:r>
        <w:rPr>
          <w:rFonts w:ascii="Times New Roman" w:cs="Times New Roman" w:eastAsia="Times New Roman" w:hAnsi="Times New Roman"/>
          <w:sz w:val="22"/>
          <w:szCs w:val="22"/>
          <w:b w:val="1"/>
          <w:bCs w:val="1"/>
          <w:color w:val="auto"/>
        </w:rPr>
        <w:t>material</w:t>
      </w:r>
      <w:r>
        <w:rPr>
          <w:rFonts w:ascii="Times New Roman" w:cs="Times New Roman" w:eastAsia="Times New Roman" w:hAnsi="Times New Roman"/>
          <w:sz w:val="22"/>
          <w:szCs w:val="22"/>
          <w:color w:val="auto"/>
        </w:rPr>
        <w:t>” if its disclosure could reasonably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effect on the price of Nektar’s stock, if a reasonable person would consider it important in deciding whether to buy or sell Nektar stock, or if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4"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the disclosure of the information could reasonably be expected to significantly alter the total mix of information in the market about the Company. Both positive and negative information may be material. While it is not possible to identify all information that would be deemed “material,” common examples of “material” information include:</w:t>
      </w:r>
    </w:p>
    <w:p>
      <w:pPr>
        <w:spacing w:after="0" w:line="173" w:lineRule="exact"/>
        <w:rPr>
          <w:sz w:val="20"/>
          <w:szCs w:val="20"/>
          <w:color w:val="auto"/>
        </w:rPr>
      </w:pPr>
    </w:p>
    <w:p>
      <w:pPr>
        <w:ind w:left="1500" w:hanging="743"/>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concerning the clinical progress of a product;</w:t>
      </w:r>
    </w:p>
    <w:p>
      <w:pPr>
        <w:spacing w:after="0" w:line="14"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data or results of a clinical trial;</w:t>
      </w: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safety issues that arise in clinical trials;</w:t>
      </w: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communications with FDA or other regulators;</w:t>
      </w: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manufacturing activity indicating level of partner sales;</w:t>
      </w: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positive or negative news concerning a relationship with one of Nektar’s corporate partners;</w:t>
      </w: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new products;</w:t>
      </w: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revenue, investment or expense information, financial projections, or financial results including changes to previously announced financial results;</w:t>
      </w:r>
    </w:p>
    <w:p>
      <w:pPr>
        <w:spacing w:after="0" w:line="1"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pending or proposed mergers, acquisitions, alliances, other business combinations or collaborations, divestitures, bankruptcies or receiverships;</w:t>
      </w:r>
    </w:p>
    <w:p>
      <w:pPr>
        <w:spacing w:after="0" w:line="1"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patent developments;</w:t>
      </w: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in proposed or pending litigation or government and regulatory investigations;</w:t>
      </w:r>
    </w:p>
    <w:p>
      <w:pPr>
        <w:ind w:left="1500" w:hanging="743"/>
        <w:spacing w:after="0" w:line="230" w:lineRule="auto"/>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the discovery of significant vulnerabilities or breaches; or</w:t>
      </w:r>
    </w:p>
    <w:p>
      <w:pPr>
        <w:ind w:left="1500" w:hanging="743"/>
        <w:spacing w:after="0"/>
        <w:tabs>
          <w:tab w:leader="none" w:pos="1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key personnel hires or departures.</w:t>
      </w:r>
    </w:p>
    <w:p>
      <w:pPr>
        <w:spacing w:after="0" w:line="182"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It can sometimes be difficult to know whether information would be considered “material.” The determination of whether information is material or not is almost always made after the fact, when the effect of that information on the market can be quantified. Although you may be aware of information that you do not consider to be material, federal regulators and others may conclude that such information was material. Therefore, trading in a company’s securities based on such information can be risky. When doubt exists, you should presume that the information is material.</w:t>
      </w:r>
    </w:p>
    <w:p>
      <w:pPr>
        <w:spacing w:after="0" w:line="173"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21"/>
          <w:szCs w:val="21"/>
          <w:color w:val="auto"/>
        </w:rPr>
        <w:t>Information is “</w:t>
      </w:r>
      <w:r>
        <w:rPr>
          <w:rFonts w:ascii="Times New Roman" w:cs="Times New Roman" w:eastAsia="Times New Roman" w:hAnsi="Times New Roman"/>
          <w:sz w:val="21"/>
          <w:szCs w:val="21"/>
          <w:b w:val="1"/>
          <w:bCs w:val="1"/>
          <w:color w:val="auto"/>
        </w:rPr>
        <w:t>non-public</w:t>
      </w:r>
      <w:r>
        <w:rPr>
          <w:rFonts w:ascii="Times New Roman" w:cs="Times New Roman" w:eastAsia="Times New Roman" w:hAnsi="Times New Roman"/>
          <w:sz w:val="21"/>
          <w:szCs w:val="21"/>
          <w:color w:val="auto"/>
        </w:rPr>
        <w:t>” if it has not been announced publicly, such as by press release, conference call, public filing, conference presentation, or similar means of public dissemination, or, if it has been announced publicly, where the public has not had a reasonable opportunity to absorb the information. You must wait until the opening of the first full trading day following the day that information is publicly announced before you can trade. For example, if the information is publicly announced on Tuesday before the market opens, you cannot trade until the opening of the market on Wednesday (assuming no intervening holidays on which markets are closed between Tuesday and Wednesday).</w:t>
      </w:r>
    </w:p>
    <w:p>
      <w:pPr>
        <w:spacing w:after="0" w:line="165" w:lineRule="exact"/>
        <w:rPr>
          <w:sz w:val="20"/>
          <w:szCs w:val="20"/>
          <w:color w:val="auto"/>
        </w:rPr>
      </w:pPr>
    </w:p>
    <w:p>
      <w:pPr>
        <w:jc w:val="both"/>
        <w:ind w:left="760"/>
        <w:spacing w:after="0" w:line="262" w:lineRule="auto"/>
        <w:rPr>
          <w:sz w:val="20"/>
          <w:szCs w:val="20"/>
          <w:color w:val="auto"/>
        </w:rPr>
      </w:pPr>
      <w:r>
        <w:rPr>
          <w:rFonts w:ascii="Times New Roman" w:cs="Times New Roman" w:eastAsia="Times New Roman" w:hAnsi="Times New Roman"/>
          <w:sz w:val="22"/>
          <w:szCs w:val="22"/>
          <w:b w:val="1"/>
          <w:bCs w:val="1"/>
          <w:color w:val="auto"/>
        </w:rPr>
        <w:t>If you are unsure whether information is material or non-public, you should consult with Nektar’s General Counsel.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0" w:lineRule="exact"/>
        <w:rPr>
          <w:sz w:val="20"/>
          <w:szCs w:val="20"/>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 Applicable to All Affiliates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Trading While in Possession of Material, Non-Public Information. </w:t>
      </w:r>
      <w:r>
        <w:rPr>
          <w:rFonts w:ascii="Times New Roman" w:cs="Times New Roman" w:eastAsia="Times New Roman" w:hAnsi="Times New Roman"/>
          <w:sz w:val="22"/>
          <w:szCs w:val="22"/>
          <w:color w:val="auto"/>
        </w:rPr>
        <w:t>You may not trade in Nektar’s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(whether for your account or for the account of another) while you possess information about Nektar that is both material and non-public, except for trades made pursuant to plans approved by the General Counsel in accordance with the Company’s Rule 10b5-1 Trading Plan Policy that is intended to comply with Rule 10b5-1 under the Securities and Exchange Act of 1934 (the “Exchange Act”).</w:t>
      </w:r>
    </w:p>
    <w:p>
      <w:pPr>
        <w:spacing w:after="0" w:line="180" w:lineRule="exact"/>
        <w:rPr>
          <w:rFonts w:ascii="Times New Roman" w:cs="Times New Roman" w:eastAsia="Times New Roman" w:hAnsi="Times New Roman"/>
          <w:sz w:val="22"/>
          <w:szCs w:val="22"/>
          <w:color w:val="auto"/>
        </w:rPr>
      </w:pPr>
    </w:p>
    <w:p>
      <w:pPr>
        <w:jc w:val="both"/>
        <w:ind w:left="150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Nektar’s securities include common stock, options to purchase common stock, any other type of securities that the Company may issue (such as preferred stock, convertible debentures, warrants and exchange-traded options), and any derivative securities that provide the economic equivalent of ownership of any the Company’s securities or an opportunity, direct or indirect, to profit from any change in the value of the Company’s securities. If you possess material, non-public information relating to Nektar, you are prohibited from buying or selling Nektar securities until the earlier of (a) the beginning of the first full trading day following the day in which the information is publicly announced or (b) such time as that non-public information is no longer material.</w:t>
      </w:r>
    </w:p>
    <w:p>
      <w:pPr>
        <w:spacing w:after="0" w:line="178" w:lineRule="exact"/>
        <w:rPr>
          <w:rFonts w:ascii="Times New Roman" w:cs="Times New Roman" w:eastAsia="Times New Roman" w:hAnsi="Times New Roman"/>
          <w:sz w:val="22"/>
          <w:szCs w:val="22"/>
          <w:color w:val="auto"/>
        </w:rPr>
      </w:pPr>
    </w:p>
    <w:p>
      <w:pPr>
        <w:jc w:val="both"/>
        <w:ind w:left="150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during the course of your employment with Nektar, possess material, non-public information of another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as a customer, vendor, supplier, business partner, potential business partner, or potential acquisition target), you are prohibited from buying or selling the securities of such company.</w:t>
      </w:r>
    </w:p>
    <w:p>
      <w:pPr>
        <w:spacing w:after="0" w:line="169" w:lineRule="exact"/>
        <w:rPr>
          <w:rFonts w:ascii="Times New Roman" w:cs="Times New Roman" w:eastAsia="Times New Roman" w:hAnsi="Times New Roman"/>
          <w:sz w:val="22"/>
          <w:szCs w:val="22"/>
          <w:color w:val="auto"/>
        </w:rPr>
      </w:pPr>
    </w:p>
    <w:p>
      <w:pPr>
        <w:jc w:val="both"/>
        <w:ind w:left="1500" w:hanging="743"/>
        <w:spacing w:after="0" w:line="248" w:lineRule="auto"/>
        <w:tabs>
          <w:tab w:leader="none" w:pos="150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 Tipping. </w:t>
      </w:r>
      <w:r>
        <w:rPr>
          <w:rFonts w:ascii="Times New Roman" w:cs="Times New Roman" w:eastAsia="Times New Roman" w:hAnsi="Times New Roman"/>
          <w:sz w:val="21"/>
          <w:szCs w:val="21"/>
          <w:color w:val="auto"/>
        </w:rPr>
        <w:t>You must not disclose or pass on (“tip”) material, non-public information, whether positive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negative, to any other person (including Affiliates, family members, friends and acquaintances) where such information may be used by the other person to trade in Nektar’s securities (or the securities of any other entity), whether or not you intend to or actually do realize a profit (or any other benefit) from such tipping. You are also prohibited from making recommendations, advising, “signaling,” or expressing opinions about trading, while aware of material, non-public information. You may, of course, discuss such information with other Nektar employees on a “need to know” basis and solely for the purpose of performing your job at Nektar.</w:t>
      </w:r>
    </w:p>
    <w:p>
      <w:pPr>
        <w:spacing w:after="0" w:line="174" w:lineRule="exact"/>
        <w:rPr>
          <w:rFonts w:ascii="Times New Roman" w:cs="Times New Roman" w:eastAsia="Times New Roman" w:hAnsi="Times New Roman"/>
          <w:sz w:val="21"/>
          <w:szCs w:val="21"/>
          <w:color w:val="auto"/>
        </w:rPr>
      </w:pPr>
    </w:p>
    <w:p>
      <w:pPr>
        <w:jc w:val="both"/>
        <w:ind w:left="150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It should be noted that trading by members of an officer’s, director’s or employee’s household can be the responsibility of such officer, director or employee, respectively, under certain circumstances and could give rise to legal and company-imposed sanctions.</w:t>
      </w:r>
    </w:p>
    <w:p>
      <w:pPr>
        <w:spacing w:after="0" w:line="169" w:lineRule="exact"/>
        <w:rPr>
          <w:rFonts w:ascii="Times New Roman" w:cs="Times New Roman" w:eastAsia="Times New Roman" w:hAnsi="Times New Roman"/>
          <w:sz w:val="21"/>
          <w:szCs w:val="21"/>
          <w:color w:val="auto"/>
        </w:rPr>
      </w:pPr>
    </w:p>
    <w:p>
      <w:pPr>
        <w:jc w:val="both"/>
        <w:ind w:left="760" w:hanging="752"/>
        <w:spacing w:after="0" w:line="241"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Safeguarding inside information. </w:t>
      </w:r>
      <w:r>
        <w:rPr>
          <w:rFonts w:ascii="Times New Roman" w:cs="Times New Roman" w:eastAsia="Times New Roman" w:hAnsi="Times New Roman"/>
          <w:sz w:val="22"/>
          <w:szCs w:val="22"/>
          <w:color w:val="auto"/>
        </w:rPr>
        <w:t>Before confidential information relating to Nektar or its business (including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non-public information) has been disclosed to the public, it must be kept in strict confidence. Utmost care must be exercised at all times. For example, conversations in public places, such as elevators, taxicabs or shared ride services, restaurants and airplanes should be limited to matters that do not involve information of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4"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sensitive or confidential nature. In addition, do not transmit confidential information through the Internet or any unsecure e-mail system or other means that is not secure.</w:t>
      </w:r>
    </w:p>
    <w:p>
      <w:pPr>
        <w:spacing w:after="0" w:line="154" w:lineRule="exact"/>
        <w:rPr>
          <w:sz w:val="20"/>
          <w:szCs w:val="20"/>
          <w:color w:val="auto"/>
        </w:rPr>
      </w:pPr>
    </w:p>
    <w:p>
      <w:pPr>
        <w:jc w:val="both"/>
        <w:ind w:left="760" w:hanging="752"/>
        <w:spacing w:after="0" w:line="241"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Releasing public information to the market. </w:t>
      </w:r>
      <w:r>
        <w:rPr>
          <w:rFonts w:ascii="Times New Roman" w:cs="Times New Roman" w:eastAsia="Times New Roman" w:hAnsi="Times New Roman"/>
          <w:sz w:val="22"/>
          <w:szCs w:val="22"/>
          <w:color w:val="auto"/>
        </w:rPr>
        <w:t>To ensure that Nektar’s confidential information is protected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maximum extent possible, no individuals other than specifically authorized personnel should release material information to the public or respond to inquiries from the media, investment analysts or other market participants, or others outside Nektar.</w:t>
      </w:r>
    </w:p>
    <w:p>
      <w:pPr>
        <w:spacing w:after="0" w:line="175" w:lineRule="exact"/>
        <w:rPr>
          <w:rFonts w:ascii="Times New Roman" w:cs="Times New Roman" w:eastAsia="Times New Roman" w:hAnsi="Times New Roman"/>
          <w:sz w:val="22"/>
          <w:szCs w:val="22"/>
          <w:color w:val="auto"/>
        </w:rPr>
      </w:pPr>
    </w:p>
    <w:p>
      <w:pPr>
        <w:jc w:val="both"/>
        <w:ind w:left="7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contacted by anyone outside the company seeking information about Nektar, and if you have not been expressly authorized to provide information by the Chief Executive Officer, Chief Financial Officer or Head of Investor Relations, you should refer the call to the Head of Investor Relations or the Chief Financial Officer. Please see Nektar’s Corporate Disclosure Policy.</w:t>
      </w:r>
    </w:p>
    <w:p>
      <w:pPr>
        <w:spacing w:after="0" w:line="17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Blackout Periods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6" w:lineRule="auto"/>
        <w:tabs>
          <w:tab w:leader="none" w:pos="150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Restricted Persons may buy or sell only when trading window period is open. </w:t>
      </w:r>
      <w:r>
        <w:rPr>
          <w:rFonts w:ascii="Times New Roman" w:cs="Times New Roman" w:eastAsia="Times New Roman" w:hAnsi="Times New Roman"/>
          <w:sz w:val="22"/>
          <w:szCs w:val="22"/>
          <w:color w:val="auto"/>
        </w:rPr>
        <w:t>Nektar has determined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individuals (“Restricted Persons”) and their Affiliates may buy or sell Nektar securities only when the trading window period is open. You are a “Restricted Person” if you are:</w:t>
      </w:r>
    </w:p>
    <w:p>
      <w:pPr>
        <w:spacing w:after="0" w:line="171"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Board member of Nektar;</w:t>
      </w:r>
    </w:p>
    <w:p>
      <w:pPr>
        <w:spacing w:after="0" w:line="14" w:lineRule="exact"/>
        <w:rPr>
          <w:rFonts w:ascii="Times New Roman" w:cs="Times New Roman" w:eastAsia="Times New Roman" w:hAnsi="Times New Roman"/>
          <w:sz w:val="22"/>
          <w:szCs w:val="22"/>
          <w:color w:val="auto"/>
        </w:rPr>
      </w:pPr>
    </w:p>
    <w:p>
      <w:pPr>
        <w:jc w:val="both"/>
        <w:ind w:left="1880" w:hanging="375"/>
        <w:spacing w:after="0" w:line="230" w:lineRule="auto"/>
        <w:tabs>
          <w:tab w:leader="none" w:pos="1880"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“executive officer” of Nektar as described in Rule 3b-7 under the Securities Exchange Act, and all individuals designated as “officers” of Nektar for purposes of Section 16 under the Exchange Act (“Section 16 Officers”);</w:t>
      </w:r>
    </w:p>
    <w:p>
      <w:pPr>
        <w:spacing w:after="0" w:line="1" w:lineRule="exact"/>
        <w:rPr>
          <w:rFonts w:ascii="Times New Roman" w:cs="Times New Roman" w:eastAsia="Times New Roman" w:hAnsi="Times New Roman"/>
          <w:sz w:val="22"/>
          <w:szCs w:val="22"/>
          <w:color w:val="auto"/>
        </w:rPr>
      </w:pPr>
    </w:p>
    <w:p>
      <w:pPr>
        <w:ind w:left="1880" w:hanging="375"/>
        <w:spacing w:after="0" w:line="230" w:lineRule="auto"/>
        <w:tabs>
          <w:tab w:leader="none" w:pos="1880"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of Nektar with a title of vice president or above;</w:t>
      </w:r>
    </w:p>
    <w:p>
      <w:pPr>
        <w:ind w:left="1880" w:hanging="375"/>
        <w:spacing w:after="0" w:line="230" w:lineRule="auto"/>
        <w:tabs>
          <w:tab w:leader="none" w:pos="1880"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who works in the legal, finance or investor relations department of Nektar;</w:t>
      </w:r>
    </w:p>
    <w:p>
      <w:pPr>
        <w:ind w:left="1880" w:hanging="375"/>
        <w:spacing w:after="0"/>
        <w:tabs>
          <w:tab w:leader="none" w:pos="1880"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designated as a Restricted Person by the General Counsel in his or her sole discretion.</w:t>
      </w:r>
    </w:p>
    <w:p>
      <w:pPr>
        <w:spacing w:after="0" w:line="182" w:lineRule="exact"/>
        <w:rPr>
          <w:sz w:val="20"/>
          <w:szCs w:val="20"/>
          <w:color w:val="auto"/>
        </w:rPr>
      </w:pPr>
    </w:p>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In addition to being a Restricted Person, Nektar has determined that certain individuals, (“Senior Restricted Persons”) must enter into a trading plan entered into in accordance with Rule 10b5-1 under the Exchange Act (“Trading Plan”) in order to buy or sell Nektar securities. For more details on Trading Plans, see Paragraph 17 and Nektar’s Rule 10b5-1 Trading Plan Policy.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You are a “Senior Restricted Person” if you are:</w:t>
      </w:r>
    </w:p>
    <w:p>
      <w:pPr>
        <w:spacing w:after="0" w:line="206" w:lineRule="exact"/>
        <w:rPr>
          <w:sz w:val="20"/>
          <w:szCs w:val="20"/>
          <w:color w:val="auto"/>
        </w:rPr>
      </w:pPr>
    </w:p>
    <w:p>
      <w:pPr>
        <w:ind w:left="1880" w:hanging="375"/>
        <w:spacing w:after="0"/>
        <w:tabs>
          <w:tab w:leader="none" w:pos="18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Board member of Nektar;</w:t>
      </w:r>
    </w:p>
    <w:p>
      <w:pPr>
        <w:spacing w:after="0" w:line="14" w:lineRule="exact"/>
        <w:rPr>
          <w:rFonts w:ascii="Times New Roman" w:cs="Times New Roman" w:eastAsia="Times New Roman" w:hAnsi="Times New Roman"/>
          <w:sz w:val="22"/>
          <w:szCs w:val="22"/>
          <w:color w:val="auto"/>
        </w:rPr>
      </w:pPr>
    </w:p>
    <w:p>
      <w:pPr>
        <w:ind w:left="1880" w:hanging="375"/>
        <w:spacing w:after="0" w:line="230" w:lineRule="auto"/>
        <w:tabs>
          <w:tab w:leader="none" w:pos="18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“executive officer” of Nektar as described in Rule 3b-7 under the Exchange Act, and all Section 16 Officers;</w:t>
      </w:r>
    </w:p>
    <w:p>
      <w:pPr>
        <w:spacing w:after="0" w:line="1"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of Nektar with a title of Senior Vice president or above.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0" w:lineRule="exact"/>
        <w:rPr>
          <w:sz w:val="20"/>
          <w:szCs w:val="20"/>
          <w:color w:val="auto"/>
        </w:rPr>
      </w:pPr>
    </w:p>
    <w:p>
      <w:pPr>
        <w:jc w:val="both"/>
        <w:ind w:left="1500" w:hanging="743"/>
        <w:spacing w:after="0" w:line="256" w:lineRule="auto"/>
        <w:tabs>
          <w:tab w:leader="none" w:pos="150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Trading Windows. </w:t>
      </w:r>
      <w:r>
        <w:rPr>
          <w:rFonts w:ascii="Times New Roman" w:cs="Times New Roman" w:eastAsia="Times New Roman" w:hAnsi="Times New Roman"/>
          <w:sz w:val="21"/>
          <w:szCs w:val="21"/>
          <w:color w:val="auto"/>
        </w:rPr>
        <w:t>Trading window periods are those periods of time during which Restricted Persons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permitted to trade Nektar securities. At these times, the “window” is said to be “open.” Trading window periods will be emailed to Restricted Persons. The periods of time when the trading window is closed is referred to as a “Blackout Period.” All Restricted Persons may not buy or sell Nektar stock during any Blackout Period.</w:t>
      </w:r>
    </w:p>
    <w:p>
      <w:pPr>
        <w:spacing w:after="0" w:line="157" w:lineRule="exact"/>
        <w:rPr>
          <w:rFonts w:ascii="Times New Roman" w:cs="Times New Roman" w:eastAsia="Times New Roman" w:hAnsi="Times New Roman"/>
          <w:sz w:val="21"/>
          <w:szCs w:val="21"/>
          <w:color w:val="auto"/>
        </w:rPr>
      </w:pPr>
    </w:p>
    <w:p>
      <w:pPr>
        <w:jc w:val="both"/>
        <w:ind w:left="1500" w:hanging="743"/>
        <w:spacing w:after="0" w:line="241" w:lineRule="auto"/>
        <w:tabs>
          <w:tab w:leader="none" w:pos="150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Standing Blackout Periods</w:t>
      </w:r>
      <w:r>
        <w:rPr>
          <w:rFonts w:ascii="Times New Roman" w:cs="Times New Roman" w:eastAsia="Times New Roman" w:hAnsi="Times New Roman"/>
          <w:sz w:val="21"/>
          <w:szCs w:val="21"/>
          <w:color w:val="auto"/>
        </w:rPr>
        <w:t>. There will be routine quarterly Blackout Periods which will run from the fifteenth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of the month in which each fiscal quarter ends until the opening of the first full trading day following the day on which the public release of Nektar’s earnings relating to such period is issued (a “Quarterly Blackout Period”). Restricted Persons and Senior Restricted Persons may not trade during any Quarterly Blackout Period even if they do not possess any material, non-public information. This requirement does not apply to the exercise of Nektar employee stock options as long as payment of the exercise price is made by the employee to the Company in cash; however, this requirement does apply to any sale of Nektar securities to pay part or all of the exercise price of a stock option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a broker-assisted cashless exercise of stock options). In other words, Restricted Persons and Senior Restricted Persons are permitted to exercise and hold Nektar employee stock options even during a Blackout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Quarterly Blackout Period). Restricted Persons may not sell any stock acquired through the exercise of an option during a Blackout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a Quarterly Blackout Period).</w:t>
      </w:r>
    </w:p>
    <w:p>
      <w:pPr>
        <w:spacing w:after="0" w:line="179" w:lineRule="exact"/>
        <w:rPr>
          <w:rFonts w:ascii="Times New Roman" w:cs="Times New Roman" w:eastAsia="Times New Roman" w:hAnsi="Times New Roman"/>
          <w:sz w:val="21"/>
          <w:szCs w:val="21"/>
          <w:color w:val="auto"/>
        </w:rPr>
      </w:pPr>
    </w:p>
    <w:p>
      <w:pPr>
        <w:jc w:val="both"/>
        <w:ind w:left="1500" w:hanging="743"/>
        <w:spacing w:after="0" w:line="235" w:lineRule="auto"/>
        <w:tabs>
          <w:tab w:leader="none" w:pos="15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Special Blackout Periods</w:t>
      </w:r>
      <w:r>
        <w:rPr>
          <w:rFonts w:ascii="Times New Roman" w:cs="Times New Roman" w:eastAsia="Times New Roman" w:hAnsi="Times New Roman"/>
          <w:sz w:val="22"/>
          <w:szCs w:val="22"/>
          <w:color w:val="auto"/>
        </w:rPr>
        <w:t>. From time to time, Nektar may impose a “blackout” period during which trading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specified group of insiders or all insiders would be considered inappropriate. Nektar’s Chief Financial Officer or its General Counsel will communicate the imposition or extension of such a blackout period to all affected parties (a “Special Blackout Period”). Individuals subject to a Special Blackout Period may not disclose the fact that they are subject to a Special Blackout Period to anyone, including other employees (who may themselves be subject to the Special Blackout Period), family members (other than those subject to this Policy), friends or financial advisers/stock brokers. The imposition of a Special Blackout Period shall be treated as material non-public information.</w:t>
      </w:r>
    </w:p>
    <w:p>
      <w:pPr>
        <w:spacing w:after="0" w:line="178" w:lineRule="exact"/>
        <w:rPr>
          <w:rFonts w:ascii="Times New Roman" w:cs="Times New Roman" w:eastAsia="Times New Roman" w:hAnsi="Times New Roman"/>
          <w:sz w:val="22"/>
          <w:szCs w:val="22"/>
          <w:color w:val="auto"/>
        </w:rPr>
      </w:pPr>
    </w:p>
    <w:p>
      <w:pPr>
        <w:jc w:val="both"/>
        <w:ind w:left="150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Conference-related Blackout Periods</w:t>
      </w:r>
      <w:r>
        <w:rPr>
          <w:rFonts w:ascii="Times New Roman" w:cs="Times New Roman" w:eastAsia="Times New Roman" w:hAnsi="Times New Roman"/>
          <w:sz w:val="22"/>
          <w:szCs w:val="22"/>
          <w:color w:val="auto"/>
        </w:rPr>
        <w:t>. Restricted Persons and Senior Restricted Persons are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Blackout Periods that will run from three (3) trading days before, and one (1) trading day after, the following pre-scheduled industry conferences (“Conference-Related Blackout Periods”):</w:t>
      </w:r>
    </w:p>
    <w:p>
      <w:pPr>
        <w:spacing w:after="0" w:line="171"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J.P. Morgan Healthcare Conference;</w:t>
      </w:r>
    </w:p>
    <w:p>
      <w:pPr>
        <w:spacing w:after="0" w:line="14" w:lineRule="exact"/>
        <w:rPr>
          <w:rFonts w:ascii="Times New Roman" w:cs="Times New Roman" w:eastAsia="Times New Roman" w:hAnsi="Times New Roman"/>
          <w:sz w:val="22"/>
          <w:szCs w:val="22"/>
          <w:color w:val="auto"/>
        </w:rPr>
      </w:pPr>
    </w:p>
    <w:p>
      <w:pPr>
        <w:ind w:left="1880" w:hanging="375"/>
        <w:spacing w:after="0" w:line="230" w:lineRule="auto"/>
        <w:tabs>
          <w:tab w:leader="none" w:pos="18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Cowen &amp; Co. Annual Health Care Conference; and</w:t>
      </w:r>
    </w:p>
    <w:p>
      <w:pPr>
        <w:ind w:left="1880" w:hanging="375"/>
        <w:spacing w:after="0"/>
        <w:tabs>
          <w:tab w:leader="none" w:pos="18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American Academy of Dermatology (AAD) Annual Meeting.</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84" w:lineRule="exact"/>
        <w:rPr>
          <w:sz w:val="20"/>
          <w:szCs w:val="20"/>
          <w:color w:val="auto"/>
        </w:rPr>
      </w:pPr>
    </w:p>
    <w:p>
      <w:pPr>
        <w:jc w:val="both"/>
        <w:ind w:left="1500"/>
        <w:spacing w:after="0" w:line="238" w:lineRule="auto"/>
        <w:rPr>
          <w:sz w:val="20"/>
          <w:szCs w:val="20"/>
          <w:color w:val="auto"/>
        </w:rPr>
      </w:pPr>
      <w:r>
        <w:rPr>
          <w:rFonts w:ascii="Times New Roman" w:cs="Times New Roman" w:eastAsia="Times New Roman" w:hAnsi="Times New Roman"/>
          <w:sz w:val="22"/>
          <w:szCs w:val="22"/>
          <w:color w:val="auto"/>
        </w:rPr>
        <w:t>Restricted Persons and Senior Restricted Persons may not trade or schedule trades pursuant to a Trading Plan during the Conference-related Blackout Periods, even if they don’t possess any material, non-public information. The General Counsel may, in his or her sole discretion, modify the pre-scheduled industry conferences based on the relevance of these conferences to the Company’s business, and may further designate additional medical, analyst, or industry conferences subject to Conference-Related Blackouts.</w:t>
      </w:r>
    </w:p>
    <w:p>
      <w:pPr>
        <w:spacing w:after="0" w:line="173" w:lineRule="exact"/>
        <w:rPr>
          <w:sz w:val="20"/>
          <w:szCs w:val="20"/>
          <w:color w:val="auto"/>
        </w:rPr>
      </w:pPr>
    </w:p>
    <w:p>
      <w:pPr>
        <w:jc w:val="both"/>
        <w:ind w:left="760" w:hanging="752"/>
        <w:spacing w:after="0" w:line="248" w:lineRule="exact"/>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Pre-Clearance of Trades by Restricted Persons at the Vice President level: </w:t>
      </w:r>
      <w:r>
        <w:rPr>
          <w:rFonts w:ascii="Times New Roman" w:cs="Times New Roman" w:eastAsia="Times New Roman" w:hAnsi="Times New Roman"/>
          <w:sz w:val="22"/>
          <w:szCs w:val="22"/>
          <w:color w:val="auto"/>
        </w:rPr>
        <w:t>Prior to making any trade in Nektar’s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other than pursuant to a validly entered into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Trading Plan, any Restricted Person who is an employee of Nektar with a title of vice president (“VP Restricted Person”) must first obtain the written authorization of the General Counsel, in accordance with the procedures described below. In addition, such advance approval must be obtained before buying or selling securities in any company that the VP Restricted Person knows has established or is in the process of establishing a significant business relationship with the Company, whether as a customer, supplier, affiliate or otherwise. The VP Restricted Person must contact the General Counsel at least two (2) business days before the intended purchase or sale in order to allow the General Counsel to review the substance of the trade and determine whether or not the Company or the individual must comply with any reporting requirements. If the proposed transaction is approved, the VP Restricted Person shall confirm in writing to the General Counsel that purchase or sale was consummated within two (2) business days of the transaction.</w:t>
      </w:r>
    </w:p>
    <w:p>
      <w:pPr>
        <w:spacing w:after="0" w:line="181"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Gifts of Company securities are considered a trade in securities for purposes of this Policy.</w:t>
      </w:r>
    </w:p>
    <w:p>
      <w:pPr>
        <w:spacing w:after="0" w:line="202"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b w:val="1"/>
          <w:bCs w:val="1"/>
          <w:color w:val="auto"/>
        </w:rPr>
        <w:t xml:space="preserve">Procedures. </w:t>
      </w:r>
      <w:r>
        <w:rPr>
          <w:rFonts w:ascii="Times New Roman" w:cs="Times New Roman" w:eastAsia="Times New Roman" w:hAnsi="Times New Roman"/>
          <w:sz w:val="21"/>
          <w:szCs w:val="21"/>
          <w:color w:val="auto"/>
        </w:rPr>
        <w:t>No VP Restricted Person may trade in our securities unless:</w:t>
      </w:r>
    </w:p>
    <w:p>
      <w:pPr>
        <w:spacing w:after="0" w:line="210" w:lineRule="exact"/>
        <w:rPr>
          <w:rFonts w:ascii="Times New Roman" w:cs="Times New Roman" w:eastAsia="Times New Roman" w:hAnsi="Times New Roman"/>
          <w:sz w:val="22"/>
          <w:szCs w:val="22"/>
          <w:color w:val="auto"/>
        </w:rPr>
      </w:pPr>
    </w:p>
    <w:p>
      <w:pPr>
        <w:ind w:left="1880" w:hanging="375"/>
        <w:spacing w:after="0" w:line="241" w:lineRule="auto"/>
        <w:tabs>
          <w:tab w:leader="none" w:pos="1880"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VP Restricted Person has notified the General Counsel of the amount and nature of the proposed trade(s) using the Stock Transaction Request form attached to this Policy.</w:t>
      </w:r>
    </w:p>
    <w:p>
      <w:pPr>
        <w:spacing w:after="0" w:line="1" w:lineRule="exact"/>
        <w:rPr>
          <w:rFonts w:ascii="Times New Roman" w:cs="Times New Roman" w:eastAsia="Times New Roman" w:hAnsi="Times New Roman"/>
          <w:sz w:val="22"/>
          <w:szCs w:val="22"/>
          <w:color w:val="auto"/>
        </w:rPr>
      </w:pPr>
    </w:p>
    <w:p>
      <w:pPr>
        <w:ind w:left="1880" w:hanging="375"/>
        <w:spacing w:after="0" w:line="230" w:lineRule="auto"/>
        <w:tabs>
          <w:tab w:leader="none" w:pos="1880"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VP Restricted Person has certified to the General Counsel in writing before the proposed trade(s) that the VP Restricted Person does not possess material nonpublic information concerning the Company.</w:t>
      </w:r>
    </w:p>
    <w:p>
      <w:pPr>
        <w:spacing w:after="0" w:line="1" w:lineRule="exact"/>
        <w:rPr>
          <w:rFonts w:ascii="Times New Roman" w:cs="Times New Roman" w:eastAsia="Times New Roman" w:hAnsi="Times New Roman"/>
          <w:sz w:val="22"/>
          <w:szCs w:val="22"/>
          <w:color w:val="auto"/>
        </w:rPr>
      </w:pPr>
    </w:p>
    <w:p>
      <w:pPr>
        <w:ind w:left="1880" w:hanging="375"/>
        <w:spacing w:after="0" w:line="237" w:lineRule="auto"/>
        <w:tabs>
          <w:tab w:leader="none" w:pos="1880"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Counsel has approved the trade(s) and has certified their approval in writing (which may be by email).</w:t>
      </w:r>
    </w:p>
    <w:p>
      <w:pPr>
        <w:spacing w:after="0" w:line="178" w:lineRule="exact"/>
        <w:rPr>
          <w:sz w:val="20"/>
          <w:szCs w:val="20"/>
          <w:color w:val="auto"/>
        </w:rPr>
      </w:pPr>
    </w:p>
    <w:p>
      <w:pPr>
        <w:ind w:left="1500"/>
        <w:spacing w:after="0" w:line="258" w:lineRule="auto"/>
        <w:rPr>
          <w:sz w:val="20"/>
          <w:szCs w:val="20"/>
          <w:color w:val="auto"/>
        </w:rPr>
      </w:pPr>
      <w:r>
        <w:rPr>
          <w:rFonts w:ascii="Times New Roman" w:cs="Times New Roman" w:eastAsia="Times New Roman" w:hAnsi="Times New Roman"/>
          <w:sz w:val="22"/>
          <w:szCs w:val="22"/>
          <w:color w:val="auto"/>
        </w:rPr>
        <w:t>The General Counsel does not assume responsibility for, and approval by the General Counsel does not protect the VP Restricted Person from, the consequences of prohibited insider trading.</w:t>
      </w:r>
    </w:p>
    <w:p>
      <w:pPr>
        <w:spacing w:after="0" w:line="154" w:lineRule="exact"/>
        <w:rPr>
          <w:sz w:val="20"/>
          <w:szCs w:val="20"/>
          <w:color w:val="auto"/>
        </w:rPr>
      </w:pPr>
    </w:p>
    <w:p>
      <w:pPr>
        <w:jc w:val="both"/>
        <w:ind w:left="1500" w:hanging="743"/>
        <w:spacing w:after="0" w:line="246"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Additional Information. </w:t>
      </w:r>
      <w:r>
        <w:rPr>
          <w:rFonts w:ascii="Times New Roman" w:cs="Times New Roman" w:eastAsia="Times New Roman" w:hAnsi="Times New Roman"/>
          <w:sz w:val="22"/>
          <w:szCs w:val="22"/>
          <w:color w:val="auto"/>
        </w:rPr>
        <w:t>VP Restricted Persons shall provide to the General Counsel any documentation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Counsel reasonably requires in furtherance of the foregoing procedures. Any failure to provide such information will be grounds for the General Counsel to deny approval of the trade request.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0" w:lineRule="exact"/>
        <w:rPr>
          <w:sz w:val="20"/>
          <w:szCs w:val="20"/>
          <w:color w:val="auto"/>
        </w:rPr>
      </w:pPr>
    </w:p>
    <w:p>
      <w:pPr>
        <w:jc w:val="both"/>
        <w:ind w:left="1500" w:hanging="743"/>
        <w:spacing w:after="0" w:line="241" w:lineRule="auto"/>
        <w:tabs>
          <w:tab w:leader="none" w:pos="15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Notification of Brokers of Insider Status. </w:t>
      </w:r>
      <w:r>
        <w:rPr>
          <w:rFonts w:ascii="Times New Roman" w:cs="Times New Roman" w:eastAsia="Times New Roman" w:hAnsi="Times New Roman"/>
          <w:sz w:val="22"/>
          <w:szCs w:val="22"/>
          <w:color w:val="auto"/>
        </w:rPr>
        <w:t>Senior Restricted Persons who are required to file reports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16 of the Exchange Act shall inform their broker-dealers that (a) the Senior Restricted Person is subject to Section 16; and (b) the broker is to provide transaction information to the Senior Restricted Person and/or General Counsel on the day of a trade.</w:t>
      </w:r>
    </w:p>
    <w:p>
      <w:pPr>
        <w:spacing w:after="0" w:line="169" w:lineRule="exact"/>
        <w:rPr>
          <w:rFonts w:ascii="Times New Roman" w:cs="Times New Roman" w:eastAsia="Times New Roman" w:hAnsi="Times New Roman"/>
          <w:sz w:val="22"/>
          <w:szCs w:val="22"/>
          <w:color w:val="auto"/>
        </w:rPr>
      </w:pPr>
    </w:p>
    <w:p>
      <w:pPr>
        <w:ind w:left="1500" w:right="20" w:hanging="743"/>
        <w:spacing w:after="0" w:line="264" w:lineRule="auto"/>
        <w:tabs>
          <w:tab w:leader="none" w:pos="15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Obligation to Approve Trades. </w:t>
      </w:r>
      <w:r>
        <w:rPr>
          <w:rFonts w:ascii="Times New Roman" w:cs="Times New Roman" w:eastAsia="Times New Roman" w:hAnsi="Times New Roman"/>
          <w:sz w:val="22"/>
          <w:szCs w:val="22"/>
          <w:color w:val="auto"/>
        </w:rPr>
        <w:t>The foregoing approval procedures do not in any way obligate the General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Counsel to approve any trade. The General Counsel has sole discretion to reject any trading request.</w:t>
      </w:r>
    </w:p>
    <w:p>
      <w:pPr>
        <w:spacing w:after="0" w:line="151" w:lineRule="exact"/>
        <w:rPr>
          <w:rFonts w:ascii="Times New Roman" w:cs="Times New Roman" w:eastAsia="Times New Roman" w:hAnsi="Times New Roman"/>
          <w:sz w:val="22"/>
          <w:szCs w:val="22"/>
          <w:color w:val="auto"/>
        </w:rPr>
      </w:pPr>
    </w:p>
    <w:p>
      <w:pPr>
        <w:jc w:val="both"/>
        <w:ind w:left="150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From time to time, an event may occur that is material to the Company and is known by only a limited number of directors and employees. The General Counsel may decline a VP Restricted Person’s request to preclear a proposed trade based on the existence of a material nonpublic development – even if the VP Restricted Person is not aware of that material nonpublic development. If any VP Restricted Person engages in a trade before a material nonpublic development is disclosed to the public or resolved, the VP Restricted Person and the Company might be exposed to a charge of insider trading that could be costly and difficult to refute even if the VP Restricted Person was unaware of the development. So long as the event remains material and nonpublic, the General Counsel may decide not to approve any transactions in the Company’s securities. The General Counsel will subsequently notify the VP Restricted Person once the material nonpublic development is disclosed to the public or resolved. If a VP Restricted Person requests preclearance of a trade during the pendency of such an event, the General Counsel may reject the trading request without disclosing the reason.</w:t>
      </w:r>
    </w:p>
    <w:p>
      <w:pPr>
        <w:spacing w:after="0" w:line="173" w:lineRule="exact"/>
        <w:rPr>
          <w:rFonts w:ascii="Times New Roman" w:cs="Times New Roman" w:eastAsia="Times New Roman" w:hAnsi="Times New Roman"/>
          <w:sz w:val="22"/>
          <w:szCs w:val="22"/>
          <w:color w:val="auto"/>
        </w:rPr>
      </w:pPr>
    </w:p>
    <w:p>
      <w:pPr>
        <w:jc w:val="both"/>
        <w:ind w:left="1500" w:hanging="743"/>
        <w:spacing w:after="0" w:line="237" w:lineRule="auto"/>
        <w:tabs>
          <w:tab w:leader="none" w:pos="15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Completion of Trades. </w:t>
      </w:r>
      <w:r>
        <w:rPr>
          <w:rFonts w:ascii="Times New Roman" w:cs="Times New Roman" w:eastAsia="Times New Roman" w:hAnsi="Times New Roman"/>
          <w:sz w:val="22"/>
          <w:szCs w:val="22"/>
          <w:color w:val="auto"/>
        </w:rPr>
        <w:t>After receiving written clearance to engage in a trade signed by the General Counsel,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VP Restricted Person must complete the proposed trade within two (2) business days or make a new trading request. Even if the VP Restricted Person has received clearance, the VP Restricted Person may not engage in a trade if (i) such clearance has been rescinded by the General Counsel, (ii) the VP Restricted Person has otherwise received notice that the trading window has closed or (iii) the VP Restricted Person has or acquires material nonpublic information.</w:t>
      </w:r>
    </w:p>
    <w:p>
      <w:pPr>
        <w:spacing w:after="0" w:line="175" w:lineRule="exact"/>
        <w:rPr>
          <w:rFonts w:ascii="Times New Roman" w:cs="Times New Roman" w:eastAsia="Times New Roman" w:hAnsi="Times New Roman"/>
          <w:sz w:val="22"/>
          <w:szCs w:val="22"/>
          <w:color w:val="auto"/>
        </w:rPr>
      </w:pPr>
    </w:p>
    <w:p>
      <w:pPr>
        <w:jc w:val="both"/>
        <w:ind w:left="1500" w:hanging="743"/>
        <w:spacing w:after="0" w:line="247" w:lineRule="auto"/>
        <w:tabs>
          <w:tab w:leader="none" w:pos="150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Post-Trade Reporting</w:t>
      </w:r>
      <w:r>
        <w:rPr>
          <w:rFonts w:ascii="Times New Roman" w:cs="Times New Roman" w:eastAsia="Times New Roman" w:hAnsi="Times New Roman"/>
          <w:sz w:val="21"/>
          <w:szCs w:val="21"/>
          <w:color w:val="auto"/>
        </w:rPr>
        <w:t>. The details of any transactions in our securities (including transactions effected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a Rule 10b5-1 Plan) by a Senior Restricted Person (or an Affiliated Person) who is required to file reports under Section 16 of the Exchange Act must be reported to the General Counsel by the Senior Restricted Person or their brokerage firm on the same day on which a trade order is placed or such a transaction otherwise is entered into. The report shall include the date of the transaction, quantity of shares, the price and the name of the broker-dealer that effected the transaction. This reporting requirement may be satisfied by providing (or having the Senior Restricted Person’s broker provide) a trade order confirmation to the General Counsel if the General Counsel receives such information by the required date. Compliance by directors and executive officers with this provision is imperative given the requirement of Section 16 of the Exchange Act that these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4" w:lineRule="exact"/>
        <w:rPr>
          <w:sz w:val="20"/>
          <w:szCs w:val="20"/>
          <w:color w:val="auto"/>
        </w:rPr>
      </w:pPr>
    </w:p>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76" w:lineRule="exact"/>
        <w:rPr>
          <w:sz w:val="20"/>
          <w:szCs w:val="20"/>
          <w:color w:val="auto"/>
        </w:rPr>
      </w:pPr>
    </w:p>
    <w:p>
      <w:pPr>
        <w:jc w:val="both"/>
        <w:ind w:left="760" w:hanging="752"/>
        <w:spacing w:after="0" w:line="236"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Trading in Derivative Securities. </w:t>
      </w:r>
      <w:r>
        <w:rPr>
          <w:rFonts w:ascii="Times New Roman" w:cs="Times New Roman" w:eastAsia="Times New Roman" w:hAnsi="Times New Roman"/>
          <w:sz w:val="22"/>
          <w:szCs w:val="22"/>
          <w:color w:val="auto"/>
        </w:rPr>
        <w:t>You are prohibited from trading in derivative securities of Nektar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derivative securities that provide the economic equivalent of ownership of any of Nektar’s securities or an opportunity, direct or indirect, to profit from any change in the value of our securities or engage in any other hedging transaction with respect to our securities, at any time. Derivative securities are securities other than common stock that are speculative in nature because they permit a person to leverage his or her investment using a relatively small amount of money. Examples of derivative securities include put and call options. These are different from employee stock options, which are not derivative securities.</w:t>
      </w:r>
    </w:p>
    <w:p>
      <w:pPr>
        <w:spacing w:after="0" w:line="175" w:lineRule="exact"/>
        <w:rPr>
          <w:rFonts w:ascii="Times New Roman" w:cs="Times New Roman" w:eastAsia="Times New Roman" w:hAnsi="Times New Roman"/>
          <w:sz w:val="22"/>
          <w:szCs w:val="22"/>
          <w:color w:val="auto"/>
        </w:rPr>
      </w:pPr>
    </w:p>
    <w:p>
      <w:pPr>
        <w:jc w:val="both"/>
        <w:ind w:left="760" w:hanging="752"/>
        <w:spacing w:after="0" w:line="241"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Short Selling. </w:t>
      </w:r>
      <w:r>
        <w:rPr>
          <w:rFonts w:ascii="Times New Roman" w:cs="Times New Roman" w:eastAsia="Times New Roman" w:hAnsi="Times New Roman"/>
          <w:sz w:val="22"/>
          <w:szCs w:val="22"/>
          <w:color w:val="auto"/>
        </w:rPr>
        <w:t>You are prohibited from engaging in short selling of Nektar securities. Selling short includes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in which you borrow stock from a broker, sell it, and eventually buy it back on the market to return the borrowed shares to the broker. Profit is anticipated through the expectation that the stock price will decrease during the period of borrowing.</w:t>
      </w:r>
    </w:p>
    <w:p>
      <w:pPr>
        <w:spacing w:after="0" w:line="171" w:lineRule="exact"/>
        <w:rPr>
          <w:rFonts w:ascii="Times New Roman" w:cs="Times New Roman" w:eastAsia="Times New Roman" w:hAnsi="Times New Roman"/>
          <w:sz w:val="22"/>
          <w:szCs w:val="22"/>
          <w:color w:val="auto"/>
        </w:rPr>
      </w:pPr>
    </w:p>
    <w:p>
      <w:pPr>
        <w:jc w:val="both"/>
        <w:ind w:left="760" w:hanging="752"/>
        <w:spacing w:after="0" w:line="236"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Purchasing on Margin. </w:t>
      </w:r>
      <w:r>
        <w:rPr>
          <w:rFonts w:ascii="Times New Roman" w:cs="Times New Roman" w:eastAsia="Times New Roman" w:hAnsi="Times New Roman"/>
          <w:sz w:val="22"/>
          <w:szCs w:val="22"/>
          <w:color w:val="auto"/>
        </w:rPr>
        <w:t>You are prohibited from purchasing Nektar stock on margin at any time. Purchasing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securities on margin is the use of borrowed money from a brokerage to purchase securities. You may, however, hold Nektar stock in a margin account,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an account that allows you to borrow money against your stock, including Nektar stock so long as you have, at all times, sufficient cash or securities other than Nektar stock to meet a margin call. You may not allow a “margin call” to be covered by the sale of Nektar securities while in possession of material, non-public information or if the trading window has been closed by Nektar, and, in the case of Restricted Persons, during a Blackout Period whether or not such persons are in possession of material, non-public information.</w:t>
      </w:r>
    </w:p>
    <w:p>
      <w:pPr>
        <w:spacing w:after="0" w:line="175"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Pledges. </w:t>
      </w:r>
      <w:r>
        <w:rPr>
          <w:rFonts w:ascii="Times New Roman" w:cs="Times New Roman" w:eastAsia="Times New Roman" w:hAnsi="Times New Roman"/>
          <w:sz w:val="22"/>
          <w:szCs w:val="22"/>
          <w:color w:val="auto"/>
        </w:rPr>
        <w:t>You may not pledge Company securities as collateral for a loan (or modify an existing pledge).</w:t>
      </w:r>
    </w:p>
    <w:p>
      <w:pPr>
        <w:spacing w:after="0" w:line="206" w:lineRule="exact"/>
        <w:rPr>
          <w:rFonts w:ascii="Times New Roman" w:cs="Times New Roman" w:eastAsia="Times New Roman" w:hAnsi="Times New Roman"/>
          <w:sz w:val="22"/>
          <w:szCs w:val="22"/>
          <w:color w:val="auto"/>
        </w:rPr>
      </w:pPr>
    </w:p>
    <w:p>
      <w:pPr>
        <w:jc w:val="both"/>
        <w:ind w:left="760" w:hanging="752"/>
        <w:spacing w:after="0" w:line="241"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Participating in Chat Rooms. </w:t>
      </w:r>
      <w:r>
        <w:rPr>
          <w:rFonts w:ascii="Times New Roman" w:cs="Times New Roman" w:eastAsia="Times New Roman" w:hAnsi="Times New Roman"/>
          <w:sz w:val="22"/>
          <w:szCs w:val="22"/>
          <w:color w:val="auto"/>
        </w:rPr>
        <w:t>You must not participate in “chat rooms” or other electronic discussion groups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Internet or on social media concerning the activities of Nektar, the prospects for Nektar stock, or the prospects of other companies with which Nektar does business, even if you do so anonymously. Please refer to the Nektar Corporate Disclosure Policy.</w:t>
      </w:r>
    </w:p>
    <w:p>
      <w:pPr>
        <w:spacing w:after="0" w:line="171" w:lineRule="exact"/>
        <w:rPr>
          <w:rFonts w:ascii="Times New Roman" w:cs="Times New Roman" w:eastAsia="Times New Roman" w:hAnsi="Times New Roman"/>
          <w:sz w:val="22"/>
          <w:szCs w:val="22"/>
          <w:color w:val="auto"/>
        </w:rPr>
      </w:pPr>
    </w:p>
    <w:p>
      <w:pPr>
        <w:ind w:left="760" w:hanging="752"/>
        <w:spacing w:after="0" w:line="262"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Recommending of Stock. </w:t>
      </w:r>
      <w:r>
        <w:rPr>
          <w:rFonts w:ascii="Times New Roman" w:cs="Times New Roman" w:eastAsia="Times New Roman" w:hAnsi="Times New Roman"/>
          <w:sz w:val="22"/>
          <w:szCs w:val="22"/>
          <w:color w:val="auto"/>
        </w:rPr>
        <w:t>You may never recommend to or advise another person that he or she buy, hold or sell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Nektar stock. This rule does not apply to those Nektar employees authorized to speak to analysts, fund managers, etc.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80" w:lineRule="exact"/>
        <w:rPr>
          <w:sz w:val="20"/>
          <w:szCs w:val="20"/>
          <w:color w:val="auto"/>
        </w:rPr>
      </w:pPr>
    </w:p>
    <w:p>
      <w:pPr>
        <w:jc w:val="both"/>
        <w:ind w:left="760" w:right="20" w:hanging="752"/>
        <w:spacing w:after="0" w:line="241" w:lineRule="auto"/>
        <w:tabs>
          <w:tab w:leader="none" w:pos="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Trading in the Securities of Other Companies. </w:t>
      </w:r>
      <w:r>
        <w:rPr>
          <w:rFonts w:ascii="Times New Roman" w:cs="Times New Roman" w:eastAsia="Times New Roman" w:hAnsi="Times New Roman"/>
          <w:sz w:val="22"/>
          <w:szCs w:val="22"/>
          <w:color w:val="auto"/>
        </w:rPr>
        <w:t>Many of the trading restrictions described throughout this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apply to transactions in the stock of other companies, to the extent you have learned material, non-public information about these companies as a result of your employment by or delivery of services to Nektar. Companies working with Nektar include but are not limited to corporate partners and key suppliers and contractors.</w:t>
      </w:r>
    </w:p>
    <w:p>
      <w:pPr>
        <w:spacing w:after="0" w:line="171" w:lineRule="exact"/>
        <w:rPr>
          <w:rFonts w:ascii="Times New Roman" w:cs="Times New Roman" w:eastAsia="Times New Roman" w:hAnsi="Times New Roman"/>
          <w:sz w:val="22"/>
          <w:szCs w:val="22"/>
          <w:color w:val="auto"/>
        </w:rPr>
      </w:pPr>
    </w:p>
    <w:p>
      <w:pPr>
        <w:jc w:val="both"/>
        <w:ind w:left="760" w:hanging="752"/>
        <w:spacing w:after="0" w:line="238" w:lineRule="auto"/>
        <w:tabs>
          <w:tab w:leader="none" w:pos="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Gifts and Other Distributions in Kind. </w:t>
      </w:r>
      <w:r>
        <w:rPr>
          <w:rFonts w:ascii="Times New Roman" w:cs="Times New Roman" w:eastAsia="Times New Roman" w:hAnsi="Times New Roman"/>
          <w:sz w:val="22"/>
          <w:szCs w:val="22"/>
          <w:color w:val="auto"/>
        </w:rPr>
        <w:t>No Restricted Person may donate or make any other transfer of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without consideration when the Restricted Person is not permitted to trade unless the donee agrees in writing not to sell the shares until the Restricted Person is permitted to sell. In addition to charitable donations or gifts to family members, friends, trusts or others, this prohibition applies to distributions to limited partners by limited partnerships that are subject to this Policy.</w:t>
      </w:r>
    </w:p>
    <w:p>
      <w:pPr>
        <w:spacing w:after="0" w:line="176" w:lineRule="exact"/>
        <w:rPr>
          <w:rFonts w:ascii="Times New Roman" w:cs="Times New Roman" w:eastAsia="Times New Roman" w:hAnsi="Times New Roman"/>
          <w:sz w:val="22"/>
          <w:szCs w:val="22"/>
          <w:color w:val="auto"/>
        </w:rPr>
      </w:pPr>
    </w:p>
    <w:p>
      <w:pPr>
        <w:jc w:val="both"/>
        <w:ind w:left="760" w:hanging="752"/>
        <w:spacing w:after="0" w:line="236" w:lineRule="auto"/>
        <w:tabs>
          <w:tab w:leader="none" w:pos="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Penalties for Insider Trading</w:t>
      </w:r>
      <w:r>
        <w:rPr>
          <w:rFonts w:ascii="Times New Roman" w:cs="Times New Roman" w:eastAsia="Times New Roman" w:hAnsi="Times New Roman"/>
          <w:sz w:val="22"/>
          <w:szCs w:val="22"/>
          <w:color w:val="auto"/>
        </w:rPr>
        <w:t>. Trading while aware of inside information is a crime and is pursued aggressively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federal government. </w:t>
      </w:r>
      <w:r>
        <w:rPr>
          <w:rFonts w:ascii="Times New Roman" w:cs="Times New Roman" w:eastAsia="Times New Roman" w:hAnsi="Times New Roman"/>
          <w:sz w:val="22"/>
          <w:szCs w:val="22"/>
          <w:i w:val="1"/>
          <w:iCs w:val="1"/>
          <w:color w:val="auto"/>
        </w:rPr>
        <w:t>Penalties for insider trading include criminal fines of up to $5,000,000 and 20 years in jail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individuals. </w:t>
      </w:r>
      <w:r>
        <w:rPr>
          <w:rFonts w:ascii="Times New Roman" w:cs="Times New Roman" w:eastAsia="Times New Roman" w:hAnsi="Times New Roman"/>
          <w:sz w:val="22"/>
          <w:szCs w:val="22"/>
          <w:color w:val="auto"/>
        </w:rPr>
        <w:t>In addition, the Securities and Exchange Commission may seek the imposition of a civil penalty of up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three times the profits made or losses avoided from trading while aware of inside information. Those who trade on inside information also must return any profits made, with interest, and they are subject to an injunction against future violations. Finally, under some circumstances, people who trade on inside information may be subjected to civil liability in private lawsuits.</w:t>
      </w:r>
    </w:p>
    <w:p>
      <w:pPr>
        <w:spacing w:after="0" w:line="175" w:lineRule="exact"/>
        <w:rPr>
          <w:rFonts w:ascii="Times New Roman" w:cs="Times New Roman" w:eastAsia="Times New Roman" w:hAnsi="Times New Roman"/>
          <w:sz w:val="22"/>
          <w:szCs w:val="22"/>
          <w:color w:val="auto"/>
        </w:rPr>
      </w:pPr>
    </w:p>
    <w:p>
      <w:pPr>
        <w:jc w:val="both"/>
        <w:ind w:left="76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Employers are at risk under federal law. </w:t>
      </w:r>
      <w:r>
        <w:rPr>
          <w:rFonts w:ascii="Times New Roman" w:cs="Times New Roman" w:eastAsia="Times New Roman" w:hAnsi="Times New Roman"/>
          <w:sz w:val="22"/>
          <w:szCs w:val="22"/>
          <w:b w:val="1"/>
          <w:bCs w:val="1"/>
          <w:color w:val="auto"/>
        </w:rPr>
        <w:t>Employers may, among other things, face civil penalties equal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greater of $2,000,000 or more, up to three times the profits made or losses avoided by the trader if they recklessly fail to take preventive steps to control insider trading, as well as criminal penalties of up to $25,000,000, and could under some circumstances be subject to private lawsuits and civil liability.</w:t>
      </w:r>
    </w:p>
    <w:p>
      <w:pPr>
        <w:spacing w:after="0" w:line="175" w:lineRule="exact"/>
        <w:rPr>
          <w:rFonts w:ascii="Times New Roman" w:cs="Times New Roman" w:eastAsia="Times New Roman" w:hAnsi="Times New Roman"/>
          <w:sz w:val="22"/>
          <w:szCs w:val="22"/>
          <w:color w:val="auto"/>
        </w:rPr>
      </w:pPr>
    </w:p>
    <w:p>
      <w:pPr>
        <w:jc w:val="both"/>
        <w:ind w:left="7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violation of this Policy or any federal or state insider trading laws may result in severe personnel action, up to and including termination of your employment or other relationship with Nektar. </w:t>
      </w:r>
      <w:r>
        <w:rPr>
          <w:rFonts w:ascii="Times New Roman" w:cs="Times New Roman" w:eastAsia="Times New Roman" w:hAnsi="Times New Roman"/>
          <w:sz w:val="22"/>
          <w:szCs w:val="22"/>
          <w:b w:val="1"/>
          <w:bCs w:val="1"/>
          <w:color w:val="auto"/>
        </w:rPr>
        <w:t>Any violation of this Policy should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 reported to the General Counsel.</w:t>
      </w:r>
    </w:p>
    <w:p>
      <w:pPr>
        <w:spacing w:after="0" w:line="173" w:lineRule="exact"/>
        <w:rPr>
          <w:rFonts w:ascii="Times New Roman" w:cs="Times New Roman" w:eastAsia="Times New Roman" w:hAnsi="Times New Roman"/>
          <w:sz w:val="22"/>
          <w:szCs w:val="22"/>
          <w:color w:val="auto"/>
        </w:rPr>
      </w:pPr>
    </w:p>
    <w:p>
      <w:pPr>
        <w:jc w:val="both"/>
        <w:ind w:left="7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determine, in its own discretion and on the basis of the information available to it, whether this Policy has been violated. The Company may determine that specific conduct violates this Policy whether or not it also violates the law. It is not necessary for the Company to await the filing or conclusion of a civil or criminal action against an alleged violator before taking disciplinary action.</w:t>
      </w:r>
    </w:p>
    <w:p>
      <w:pPr>
        <w:spacing w:after="0" w:line="176" w:lineRule="exact"/>
        <w:rPr>
          <w:rFonts w:ascii="Times New Roman" w:cs="Times New Roman" w:eastAsia="Times New Roman" w:hAnsi="Times New Roman"/>
          <w:sz w:val="22"/>
          <w:szCs w:val="22"/>
          <w:color w:val="auto"/>
        </w:rPr>
      </w:pPr>
    </w:p>
    <w:p>
      <w:pPr>
        <w:jc w:val="both"/>
        <w:ind w:left="760" w:hanging="752"/>
        <w:spacing w:after="0" w:line="237" w:lineRule="auto"/>
        <w:tabs>
          <w:tab w:leader="none" w:pos="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Rule 10b5-1 Plans. </w:t>
      </w:r>
      <w:r>
        <w:rPr>
          <w:rFonts w:ascii="Times New Roman" w:cs="Times New Roman" w:eastAsia="Times New Roman" w:hAnsi="Times New Roman"/>
          <w:sz w:val="22"/>
          <w:szCs w:val="22"/>
          <w:color w:val="auto"/>
        </w:rPr>
        <w:t>The Securities and Exchange Commission provides for an affirmative defense from insider trading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for trades executed pursuant to a plan, arrangement, or instruction that meets the requirements of Rule 10b5-1 under the Exchange Act (“Trading Plan”). Generally, Trading Plans must be documented in writing and established at a time that the person was not aware of material, non-public information and must provide specific (as detailed by the rule) instructions as to amount, price, and timing of the trades thereunder. The Company has adopted a separate Rule 10b5-1 Trading Policy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84"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“Rule 10b5-1 Trading Policy”) that sets forth the requirements for putting in place a Rule 10b5-1 Plan with respect to Company securities.</w:t>
      </w:r>
    </w:p>
    <w:p>
      <w:pPr>
        <w:spacing w:after="0" w:line="152" w:lineRule="exact"/>
        <w:rPr>
          <w:sz w:val="20"/>
          <w:szCs w:val="20"/>
          <w:color w:val="auto"/>
        </w:rPr>
      </w:pPr>
    </w:p>
    <w:p>
      <w:pPr>
        <w:jc w:val="both"/>
        <w:ind w:left="760" w:hanging="752"/>
        <w:spacing w:after="0" w:line="235"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of Stock Options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trading prohibitions and restrictions set forth in the Policy do not apply to the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cash of an option to purchase securities of the Company. However, the exercise is subject to the current reporting requirements of Section 16 of the Exchange Act and, therefore, Senior Restricted Persons must comply with the post-trade reporting requirement described above for any such transaction. In addition, the securities acquired upon the exercise of an option to purchase Company securities are subject to all of the requirements of this Policy. Moreover, the Policy applies to the use of outstanding Company securities to pay part or all of the exercise price of an option, any net option exercise, any exercise of a stock appreciation right, share withholding and any sale of stock as part of a broker-assisted cashless exercise of an option or any other market sale for the purpose of generating the cash needed to pay the exercise price of an option</w:t>
      </w:r>
      <w:r>
        <w:rPr>
          <w:rFonts w:ascii="Times New Roman" w:cs="Times New Roman" w:eastAsia="Times New Roman" w:hAnsi="Times New Roman"/>
          <w:sz w:val="22"/>
          <w:szCs w:val="22"/>
          <w:i w:val="1"/>
          <w:iCs w:val="1"/>
          <w:color w:val="auto"/>
        </w:rPr>
        <w:t>.</w:t>
      </w:r>
    </w:p>
    <w:p>
      <w:pPr>
        <w:spacing w:after="0" w:line="175" w:lineRule="exact"/>
        <w:rPr>
          <w:rFonts w:ascii="Times New Roman" w:cs="Times New Roman" w:eastAsia="Times New Roman" w:hAnsi="Times New Roman"/>
          <w:sz w:val="22"/>
          <w:szCs w:val="22"/>
          <w:color w:val="auto"/>
        </w:rPr>
      </w:pPr>
    </w:p>
    <w:p>
      <w:pPr>
        <w:jc w:val="both"/>
        <w:ind w:left="760" w:hanging="752"/>
        <w:spacing w:after="0" w:line="235"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Employee Stock Purchase Plan. </w:t>
      </w:r>
      <w:r>
        <w:rPr>
          <w:rFonts w:ascii="Times New Roman" w:cs="Times New Roman" w:eastAsia="Times New Roman" w:hAnsi="Times New Roman"/>
          <w:sz w:val="22"/>
          <w:szCs w:val="22"/>
          <w:color w:val="auto"/>
        </w:rPr>
        <w:t>The trading prohibitions and restrictions set forth in this Policy do not apply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periodic wage withholding contributions by the Company or employees of the Company which are used to purchase the Company’s securities pursuant to the employees’ advance instructions under the Company’s Amended and Restated Employee Stock Purchase Plan, as amended from time to time. However, no person subject to this Policy may: (a) elect to participate in the plan or alter his or her instructions regarding the level of withholding or purchase by the employee of Company securities under such plan; or (b) make cash contributions to such plan (other than through periodic wage withholding) without complying with the Policy. Any sale of securities acquired under such plan is subject to the prohibitions and restrictions of this Policy.</w:t>
      </w:r>
    </w:p>
    <w:p>
      <w:pPr>
        <w:spacing w:after="0" w:line="178" w:lineRule="exact"/>
        <w:rPr>
          <w:rFonts w:ascii="Times New Roman" w:cs="Times New Roman" w:eastAsia="Times New Roman" w:hAnsi="Times New Roman"/>
          <w:sz w:val="22"/>
          <w:szCs w:val="22"/>
          <w:color w:val="auto"/>
        </w:rPr>
      </w:pPr>
    </w:p>
    <w:p>
      <w:pPr>
        <w:jc w:val="both"/>
        <w:ind w:left="760" w:hanging="752"/>
        <w:spacing w:after="0" w:line="250" w:lineRule="auto"/>
        <w:tabs>
          <w:tab w:leader="none" w:pos="7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 The trading prohibitions and restrictions set forth in this Policy do not apply to the withholding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of shares of stock upon vesting of restricted stock or upon settlement of restricted stock units to satisfy applicable tax withholding requirements if (a) such withholding is required by the applicable plan or award agreement or</w:t>
      </w:r>
    </w:p>
    <w:p>
      <w:pPr>
        <w:spacing w:after="0" w:line="2"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the election to exercise such tax withholding right was made by the Restricted Person in compliance with this Policy.</w:t>
      </w:r>
    </w:p>
    <w:p>
      <w:pPr>
        <w:spacing w:after="0" w:line="189" w:lineRule="exact"/>
        <w:rPr>
          <w:rFonts w:ascii="Times New Roman" w:cs="Times New Roman" w:eastAsia="Times New Roman" w:hAnsi="Times New Roman"/>
          <w:sz w:val="21"/>
          <w:szCs w:val="21"/>
          <w:color w:val="auto"/>
        </w:rPr>
      </w:pPr>
    </w:p>
    <w:p>
      <w:pPr>
        <w:jc w:val="both"/>
        <w:ind w:left="760" w:hanging="752"/>
        <w:spacing w:after="0" w:line="238" w:lineRule="auto"/>
        <w:tabs>
          <w:tab w:leader="none" w:pos="7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Assistance, Enforcement of the Policy and Reporting of Violations. </w:t>
      </w:r>
      <w:r>
        <w:rPr>
          <w:rFonts w:ascii="Times New Roman" w:cs="Times New Roman" w:eastAsia="Times New Roman" w:hAnsi="Times New Roman"/>
          <w:sz w:val="22"/>
          <w:szCs w:val="22"/>
          <w:color w:val="auto"/>
        </w:rPr>
        <w:t>If you have any questions about any aspect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you are encouraged to contact the General Counsel. You should not try to make your own judgments about what constitutes illegal conduct. If you have any questions about this Policy, your responsibilities or the responsibilities of others under this Policy or specific transactions, please contact the General Counsel. In any event, err on the side of caution.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84"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If you violate this Policy or any federal or state laws governing insider trading or know of any such violation by any director or employee of the Company, you should report the violation immediately to the General Counsel. In addition, if you know or have reason to believe that this policy has been or is about to be violated, you should report this information to your manager, the General Counsel or, if you prefer to make an anonymous report, you may report to Nektar’s help line at www.nektar.ethicspoint.com.</w:t>
      </w:r>
    </w:p>
    <w:p>
      <w:pPr>
        <w:spacing w:after="0" w:line="173" w:lineRule="exact"/>
        <w:rPr>
          <w:sz w:val="20"/>
          <w:szCs w:val="20"/>
          <w:color w:val="auto"/>
        </w:rPr>
      </w:pPr>
    </w:p>
    <w:p>
      <w:pPr>
        <w:ind w:left="760" w:hanging="752"/>
        <w:spacing w:after="0" w:line="262" w:lineRule="auto"/>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Waivers. </w:t>
      </w:r>
      <w:r>
        <w:rPr>
          <w:rFonts w:ascii="Times New Roman" w:cs="Times New Roman" w:eastAsia="Times New Roman" w:hAnsi="Times New Roman"/>
          <w:sz w:val="22"/>
          <w:szCs w:val="22"/>
          <w:color w:val="auto"/>
        </w:rPr>
        <w:t>A waiver of any provision of this Policy may be authorized in writing by the General Counsel. All waivers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reported to the Board of Directors.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ADOPTED:</w:t>
            </w:r>
          </w:p>
        </w:tc>
        <w:tc>
          <w:tcPr>
            <w:tcW w:w="9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June 8, 2023</w:t>
            </w:r>
          </w:p>
        </w:tc>
        <w:tc>
          <w:tcPr>
            <w:tcW w:w="0" w:type="dxa"/>
            <w:vAlign w:val="bottom"/>
          </w:tcPr>
          <w:p>
            <w:pPr>
              <w:spacing w:after="0"/>
              <w:rPr>
                <w:sz w:val="1"/>
                <w:szCs w:val="1"/>
                <w:color w:val="auto"/>
              </w:rPr>
            </w:pPr>
          </w:p>
        </w:tc>
      </w:tr>
      <w:tr>
        <w:trPr>
          <w:trHeight w:val="282"/>
        </w:trPr>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EFFECTIVE:</w:t>
            </w:r>
          </w:p>
        </w:tc>
        <w:tc>
          <w:tcPr>
            <w:tcW w:w="9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June 8, 2023</w:t>
            </w:r>
          </w:p>
        </w:tc>
        <w:tc>
          <w:tcPr>
            <w:tcW w:w="0" w:type="dxa"/>
            <w:vAlign w:val="bottom"/>
          </w:tcPr>
          <w:p>
            <w:pPr>
              <w:spacing w:after="0"/>
              <w:rPr>
                <w:sz w:val="1"/>
                <w:szCs w:val="1"/>
                <w:color w:val="auto"/>
              </w:rPr>
            </w:pPr>
          </w:p>
        </w:tc>
      </w:tr>
      <w:tr>
        <w:trPr>
          <w:trHeight w:val="636"/>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Updated: June 8, 2023</w:t>
            </w:r>
          </w:p>
        </w:tc>
        <w:tc>
          <w:tcPr>
            <w:tcW w:w="9580" w:type="dxa"/>
            <w:vAlign w:val="bottom"/>
          </w:tcPr>
          <w:p>
            <w:pPr>
              <w:jc w:val="right"/>
              <w:ind w:right="5318"/>
              <w:spacing w:after="0"/>
              <w:rPr>
                <w:sz w:val="20"/>
                <w:szCs w:val="20"/>
                <w:color w:val="auto"/>
              </w:rPr>
            </w:pPr>
            <w:r>
              <w:rPr>
                <w:rFonts w:ascii="Times New Roman" w:cs="Times New Roman" w:eastAsia="Times New Roman" w:hAnsi="Times New Roman"/>
                <w:sz w:val="18"/>
                <w:szCs w:val="18"/>
                <w:color w:val="auto"/>
              </w:rPr>
              <w:t>- 12 -</w:t>
            </w:r>
          </w:p>
        </w:tc>
        <w:tc>
          <w:tcPr>
            <w:tcW w:w="0" w:type="dxa"/>
            <w:vAlign w:val="bottom"/>
          </w:tcPr>
          <w:p>
            <w:pPr>
              <w:spacing w:after="0"/>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3"/>
        </w:trPr>
        <w:tc>
          <w:tcPr>
            <w:tcW w:w="166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CONCERNING TRADING IN COMPANY SECURITIES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You must sign, date and return this Certification stating that you received the Nektar Therapeutics Security Trading Policy (the “Policy”) and related procedures, and you agree to comply with it. Please note that you are bound by the Policy whether or not you sign the Certification. You will be required to confirm your compliance with the Policy by signing and returning a copy of the Certification each year.</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You will receive training regarding the Policy on a periodic basis. At that time, it is expected that you will ask questions sufficient to allow you to understand the Policy. Also, if at any time during the year you desire additional training or have a question regarding the Policy, please contact the Legal Department to set up an appointment for training.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certify that I:</w:t>
      </w:r>
    </w:p>
    <w:p>
      <w:pPr>
        <w:spacing w:after="0" w:line="206" w:lineRule="exact"/>
        <w:rPr>
          <w:sz w:val="20"/>
          <w:szCs w:val="20"/>
          <w:color w:val="auto"/>
        </w:rPr>
      </w:pPr>
    </w:p>
    <w:p>
      <w:pPr>
        <w:ind w:left="1500" w:hanging="743"/>
        <w:spacing w:after="0" w:line="258" w:lineRule="auto"/>
        <w:tabs>
          <w:tab w:leader="none" w:pos="1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read and understand Nektar’s Security Trading Policy, a copy of which was distributed with this certificate;</w:t>
      </w:r>
    </w:p>
    <w:p>
      <w:pPr>
        <w:spacing w:after="0" w:line="15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complied with the foregoing policy and procedures;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continue to comply with the policy and procedures set forth in the Policy; and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will request prior approval of all proposed sales or acquisitions of securities of Nektar.</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10795</wp:posOffset>
            </wp:positionV>
            <wp:extent cx="27774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10795</wp:posOffset>
            </wp:positionV>
            <wp:extent cx="27774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Department or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10795</wp:posOffset>
            </wp:positionV>
            <wp:extent cx="19888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1">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10795</wp:posOffset>
            </wp:positionV>
            <wp:extent cx="27774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2">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TRANSACTION REQUEST</w:t>
      </w:r>
    </w:p>
    <w:p>
      <w:pPr>
        <w:spacing w:after="0" w:line="2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Nektar’s Security Trading Policy, I hereby notify Nektar (the “Company”) of my intent to trade the securities of the Company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45020" cy="65322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4">
                      <a:extLst>
                        <a:ext uri="{28A0092B-C50C-407E-A947-70E740481C1C}"/>
                      </a:extLst>
                    </a:blip>
                    <a:srcRect/>
                    <a:stretch>
                      <a:fillRect/>
                    </a:stretch>
                  </pic:blipFill>
                  <pic:spPr bwMode="auto">
                    <a:xfrm>
                      <a:off x="0" y="0"/>
                      <a:ext cx="7145020" cy="6532245"/>
                    </a:xfrm>
                    <a:prstGeom prst="rect">
                      <a:avLst/>
                    </a:prstGeom>
                    <a:noFill/>
                  </pic:spPr>
                </pic:pic>
              </a:graphicData>
            </a:graphic>
          </wp:anchor>
        </w:drawing>
      </w: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REQUESTER INFORMATION</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Insider’s Name: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INTENT TO PURCHASE</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12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Intended trade date:</w:t>
            </w:r>
          </w:p>
        </w:tc>
        <w:tc>
          <w:tcPr>
            <w:tcW w:w="3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120" w:type="dxa"/>
            <w:vAlign w:val="bottom"/>
            <w:gridSpan w:val="5"/>
            <w:vMerge w:val="continue"/>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4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1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Means of acquiring shares:</w:t>
            </w:r>
          </w:p>
        </w:tc>
        <w:tc>
          <w:tcPr>
            <w:tcW w:w="360" w:type="dxa"/>
            <w:vAlign w:val="bottom"/>
          </w:tcPr>
          <w:p>
            <w:pPr>
              <w:spacing w:after="0"/>
              <w:rPr>
                <w:sz w:val="20"/>
                <w:szCs w:val="20"/>
                <w:color w:val="auto"/>
              </w:rPr>
            </w:pPr>
            <w:r>
              <w:rPr>
                <w:rFonts w:ascii="Wingdings" w:cs="Wingdings" w:eastAsia="Wingdings" w:hAnsi="Wingdings"/>
                <w:sz w:val="18"/>
                <w:szCs w:val="18"/>
                <w:b w:val="1"/>
                <w:bCs w:val="1"/>
                <w:color w:val="auto"/>
              </w:rPr>
              <w:t></w:t>
            </w:r>
          </w:p>
        </w:tc>
        <w:tc>
          <w:tcPr>
            <w:tcW w:w="6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Acquisition through employee benefit plan (please specify):</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00" w:type="dxa"/>
            <w:vAlign w:val="bottom"/>
            <w:tcBorders>
              <w:bottom w:val="single" w:sz="8" w:color="auto"/>
            </w:tcBorders>
            <w:gridSpan w:val="2"/>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3"/>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740" w:type="dxa"/>
            <w:vAlign w:val="bottom"/>
            <w:gridSpan w:val="4"/>
          </w:tcPr>
          <w:p>
            <w:pPr>
              <w:spacing w:after="0"/>
              <w:rPr>
                <w:sz w:val="20"/>
                <w:szCs w:val="20"/>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Purchase through a broker on the open market</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vMerge w:val="restart"/>
          </w:tcPr>
          <w:p>
            <w:pPr>
              <w:spacing w:after="0"/>
              <w:rPr>
                <w:sz w:val="20"/>
                <w:szCs w:val="20"/>
                <w:color w:val="auto"/>
              </w:rPr>
            </w:pPr>
            <w:r>
              <w:rPr>
                <w:rFonts w:ascii="Wingdings" w:cs="Wingdings" w:eastAsia="Wingdings" w:hAnsi="Wingdings"/>
                <w:sz w:val="18"/>
                <w:szCs w:val="18"/>
                <w:b w:val="1"/>
                <w:bCs w:val="1"/>
                <w:color w:val="auto"/>
              </w:rPr>
              <w:t></w:t>
            </w:r>
          </w:p>
        </w:tc>
        <w:tc>
          <w:tcPr>
            <w:tcW w:w="6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Other (please specify):</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60" w:type="dxa"/>
            <w:vAlign w:val="bottom"/>
            <w:vMerge w:val="continue"/>
          </w:tcPr>
          <w:p>
            <w:pPr>
              <w:spacing w:after="0"/>
              <w:rPr>
                <w:sz w:val="23"/>
                <w:szCs w:val="23"/>
                <w:color w:val="auto"/>
              </w:rPr>
            </w:pPr>
          </w:p>
        </w:tc>
        <w:tc>
          <w:tcPr>
            <w:tcW w:w="6380" w:type="dxa"/>
            <w:vAlign w:val="bottom"/>
            <w:gridSpan w:val="3"/>
            <w:vMerge w:val="continue"/>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INTENT TO SELL</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8"/>
        </w:trPr>
        <w:tc>
          <w:tcPr>
            <w:tcW w:w="60" w:type="dxa"/>
            <w:vAlign w:val="bottom"/>
          </w:tcPr>
          <w:p>
            <w:pPr>
              <w:spacing w:after="0"/>
              <w:rPr>
                <w:sz w:val="24"/>
                <w:szCs w:val="24"/>
                <w:color w:val="auto"/>
              </w:rPr>
            </w:pP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25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12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Intended trade date:</w:t>
            </w:r>
          </w:p>
        </w:tc>
        <w:tc>
          <w:tcPr>
            <w:tcW w:w="3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448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120" w:type="dxa"/>
            <w:vAlign w:val="bottom"/>
            <w:gridSpan w:val="5"/>
            <w:vMerge w:val="continue"/>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960" w:type="dxa"/>
            <w:vAlign w:val="bottom"/>
            <w:gridSpan w:val="2"/>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41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Means of selling shares:</w:t>
            </w:r>
          </w:p>
        </w:tc>
        <w:tc>
          <w:tcPr>
            <w:tcW w:w="360" w:type="dxa"/>
            <w:vAlign w:val="bottom"/>
          </w:tcPr>
          <w:p>
            <w:pPr>
              <w:spacing w:after="0"/>
              <w:rPr>
                <w:sz w:val="20"/>
                <w:szCs w:val="20"/>
                <w:color w:val="auto"/>
              </w:rPr>
            </w:pPr>
            <w:r>
              <w:rPr>
                <w:rFonts w:ascii="Wingdings" w:cs="Wingdings" w:eastAsia="Wingdings" w:hAnsi="Wingdings"/>
                <w:sz w:val="18"/>
                <w:szCs w:val="18"/>
                <w:b w:val="1"/>
                <w:bCs w:val="1"/>
                <w:color w:val="auto"/>
              </w:rPr>
              <w:t></w:t>
            </w:r>
          </w:p>
        </w:tc>
        <w:tc>
          <w:tcPr>
            <w:tcW w:w="6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Sale through employee benefit plan (please specify):</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380" w:type="dxa"/>
            <w:vAlign w:val="bottom"/>
            <w:tcBorders>
              <w:bottom w:val="single" w:sz="8" w:color="auto"/>
            </w:tcBorders>
            <w:gridSpan w:val="3"/>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740" w:type="dxa"/>
            <w:vAlign w:val="bottom"/>
            <w:gridSpan w:val="4"/>
          </w:tcPr>
          <w:p>
            <w:pPr>
              <w:spacing w:after="0"/>
              <w:rPr>
                <w:sz w:val="20"/>
                <w:szCs w:val="20"/>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Sale through a broker on the open market</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vMerge w:val="restart"/>
          </w:tcPr>
          <w:p>
            <w:pPr>
              <w:spacing w:after="0"/>
              <w:rPr>
                <w:sz w:val="20"/>
                <w:szCs w:val="20"/>
                <w:color w:val="auto"/>
              </w:rPr>
            </w:pPr>
            <w:r>
              <w:rPr>
                <w:rFonts w:ascii="Wingdings" w:cs="Wingdings" w:eastAsia="Wingdings" w:hAnsi="Wingdings"/>
                <w:sz w:val="18"/>
                <w:szCs w:val="18"/>
                <w:b w:val="1"/>
                <w:bCs w:val="1"/>
                <w:color w:val="auto"/>
              </w:rPr>
              <w:t></w:t>
            </w:r>
          </w:p>
        </w:tc>
        <w:tc>
          <w:tcPr>
            <w:tcW w:w="6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Other (please specify):</w:t>
            </w: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60" w:type="dxa"/>
            <w:vAlign w:val="bottom"/>
            <w:vMerge w:val="continue"/>
          </w:tcPr>
          <w:p>
            <w:pPr>
              <w:spacing w:after="0"/>
              <w:rPr>
                <w:sz w:val="23"/>
                <w:szCs w:val="23"/>
                <w:color w:val="auto"/>
              </w:rPr>
            </w:pPr>
          </w:p>
        </w:tc>
        <w:tc>
          <w:tcPr>
            <w:tcW w:w="6380" w:type="dxa"/>
            <w:vAlign w:val="bottom"/>
            <w:gridSpan w:val="3"/>
            <w:vMerge w:val="continue"/>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8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4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RULE 144 (Not applicable if transaction requested involves a</w:t>
            </w:r>
          </w:p>
        </w:tc>
        <w:tc>
          <w:tcPr>
            <w:tcW w:w="0" w:type="dxa"/>
            <w:vAlign w:val="bottom"/>
          </w:tcPr>
          <w:p>
            <w:pPr>
              <w:spacing w:after="0"/>
              <w:rPr>
                <w:sz w:val="1"/>
                <w:szCs w:val="1"/>
                <w:color w:val="auto"/>
              </w:rPr>
            </w:pPr>
          </w:p>
        </w:tc>
      </w:tr>
      <w:tr>
        <w:trPr>
          <w:trHeight w:val="130"/>
        </w:trPr>
        <w:tc>
          <w:tcPr>
            <w:tcW w:w="5880" w:type="dxa"/>
            <w:vAlign w:val="bottom"/>
            <w:gridSpan w:val="3"/>
            <w:vMerge w:val="continue"/>
          </w:tcPr>
          <w:p>
            <w:pPr>
              <w:spacing w:after="0"/>
              <w:rPr>
                <w:sz w:val="11"/>
                <w:szCs w:val="11"/>
                <w:color w:val="auto"/>
              </w:rPr>
            </w:pPr>
          </w:p>
        </w:tc>
        <w:tc>
          <w:tcPr>
            <w:tcW w:w="48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578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not subject to Section 16.</w:t>
            </w:r>
          </w:p>
        </w:tc>
        <w:tc>
          <w:tcPr>
            <w:tcW w:w="4860" w:type="dxa"/>
            <w:vAlign w:val="bottom"/>
          </w:tcPr>
          <w:p>
            <w:pPr>
              <w:ind w:left="120"/>
              <w:spacing w:after="0"/>
              <w:rPr>
                <w:sz w:val="20"/>
                <w:szCs w:val="20"/>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I am not an “affiliate” of the Company and the transaction</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requested above does not involve the sale of “restricted</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securities” (as those terms are defined in Rule 144 under the</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60" w:type="dxa"/>
            <w:vAlign w:val="bottom"/>
          </w:tcPr>
          <w:p>
            <w:pPr>
              <w:ind w:left="400"/>
              <w:spacing w:after="0" w:line="189" w:lineRule="exact"/>
              <w:rPr>
                <w:sz w:val="20"/>
                <w:szCs w:val="20"/>
                <w:color w:val="auto"/>
              </w:rPr>
            </w:pPr>
            <w:r>
              <w:rPr>
                <w:rFonts w:ascii="Times New Roman" w:cs="Times New Roman" w:eastAsia="Times New Roman" w:hAnsi="Times New Roman"/>
                <w:sz w:val="18"/>
                <w:szCs w:val="18"/>
                <w:color w:val="auto"/>
              </w:rPr>
              <w:t>Securities Act of 1933, as amended).</w:t>
            </w:r>
          </w:p>
        </w:tc>
        <w:tc>
          <w:tcPr>
            <w:tcW w:w="0" w:type="dxa"/>
            <w:vAlign w:val="bottom"/>
          </w:tcPr>
          <w:p>
            <w:pPr>
              <w:spacing w:after="0"/>
              <w:rPr>
                <w:sz w:val="1"/>
                <w:szCs w:val="1"/>
                <w:color w:val="auto"/>
              </w:rPr>
            </w:pPr>
          </w:p>
        </w:tc>
      </w:tr>
    </w:tbl>
    <w:p>
      <w:pPr>
        <w:ind w:left="620" w:hanging="295"/>
        <w:spacing w:after="0" w:line="183" w:lineRule="auto"/>
        <w:tabs>
          <w:tab w:leader="none" w:pos="620" w:val="left"/>
        </w:tabs>
        <w:numPr>
          <w:ilvl w:val="0"/>
          <w:numId w:val="93"/>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To the best of my knowledge, I have not (and am not deemed to have)</w:t>
      </w:r>
    </w:p>
    <w:tbl>
      <w:tblPr>
        <w:tblLayout w:type="fixed"/>
        <w:tblInd w:w="320" w:type="dxa"/>
        <w:tblCellMar>
          <w:top w:w="0" w:type="dxa"/>
          <w:left w:w="0" w:type="dxa"/>
          <w:bottom w:w="0" w:type="dxa"/>
          <w:right w:w="0" w:type="dxa"/>
        </w:tblCellMar>
      </w:tblPr>
      <w:tr>
        <w:trPr>
          <w:trHeight w:val="198"/>
        </w:trPr>
        <w:tc>
          <w:tcPr>
            <w:tcW w:w="554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engaged in an opposite way transaction within the previous 6 months</w:t>
            </w:r>
          </w:p>
        </w:tc>
        <w:tc>
          <w:tcPr>
            <w:tcW w:w="4880" w:type="dxa"/>
            <w:vAlign w:val="bottom"/>
            <w:vMerge w:val="restart"/>
          </w:tcPr>
          <w:p>
            <w:pPr>
              <w:ind w:left="260"/>
              <w:spacing w:after="0" w:line="265" w:lineRule="exact"/>
              <w:rPr>
                <w:sz w:val="20"/>
                <w:szCs w:val="20"/>
                <w:color w:val="auto"/>
              </w:rPr>
            </w:pPr>
            <w:r>
              <w:rPr>
                <w:rFonts w:ascii="Wingdings" w:cs="Wingdings" w:eastAsia="Wingdings" w:hAnsi="Wingdings"/>
                <w:sz w:val="30"/>
                <w:szCs w:val="30"/>
                <w:b w:val="1"/>
                <w:bCs w:val="1"/>
                <w:color w:val="auto"/>
                <w:vertAlign w:val="subscript"/>
              </w:rPr>
              <w:t></w:t>
            </w:r>
            <w:r>
              <w:rPr>
                <w:rFonts w:ascii="Times New Roman" w:cs="Times New Roman" w:eastAsia="Times New Roman" w:hAnsi="Times New Roman"/>
                <w:sz w:val="16"/>
                <w:szCs w:val="16"/>
                <w:color w:val="auto"/>
              </w:rPr>
              <w:t xml:space="preserve"> To the best of my knowledge, the transaction requested</w:t>
            </w:r>
          </w:p>
        </w:tc>
        <w:tc>
          <w:tcPr>
            <w:tcW w:w="0" w:type="dxa"/>
            <w:vAlign w:val="bottom"/>
          </w:tcPr>
          <w:p>
            <w:pPr>
              <w:spacing w:after="0"/>
              <w:rPr>
                <w:sz w:val="1"/>
                <w:szCs w:val="1"/>
                <w:color w:val="auto"/>
              </w:rPr>
            </w:pPr>
          </w:p>
        </w:tc>
      </w:tr>
      <w:tr>
        <w:trPr>
          <w:trHeight w:val="67"/>
        </w:trPr>
        <w:tc>
          <w:tcPr>
            <w:tcW w:w="55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that was not exempt from Section 16(b) of the Exchange Act.</w:t>
            </w:r>
          </w:p>
        </w:tc>
        <w:tc>
          <w:tcPr>
            <w:tcW w:w="4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540" w:type="dxa"/>
            <w:vAlign w:val="bottom"/>
            <w:vMerge w:val="continue"/>
          </w:tcPr>
          <w:p>
            <w:pPr>
              <w:spacing w:after="0"/>
              <w:rPr>
                <w:sz w:val="14"/>
                <w:szCs w:val="14"/>
                <w:color w:val="auto"/>
              </w:rPr>
            </w:pPr>
          </w:p>
        </w:tc>
        <w:tc>
          <w:tcPr>
            <w:tcW w:w="48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99"/>
              </w:rPr>
              <w:t>above will meet all of the applicable conditions of Rule 144.</w:t>
            </w:r>
          </w:p>
        </w:tc>
        <w:tc>
          <w:tcPr>
            <w:tcW w:w="0" w:type="dxa"/>
            <w:vAlign w:val="bottom"/>
          </w:tcPr>
          <w:p>
            <w:pPr>
              <w:spacing w:after="0"/>
              <w:rPr>
                <w:sz w:val="1"/>
                <w:szCs w:val="1"/>
                <w:color w:val="auto"/>
              </w:rPr>
            </w:pPr>
          </w:p>
        </w:tc>
      </w:tr>
      <w:tr>
        <w:trPr>
          <w:trHeight w:val="68"/>
        </w:trPr>
        <w:tc>
          <w:tcPr>
            <w:tcW w:w="5540" w:type="dxa"/>
            <w:vAlign w:val="bottom"/>
          </w:tcPr>
          <w:p>
            <w:pPr>
              <w:spacing w:after="0"/>
              <w:rPr>
                <w:sz w:val="5"/>
                <w:szCs w:val="5"/>
                <w:color w:val="auto"/>
              </w:rPr>
            </w:pPr>
          </w:p>
        </w:tc>
        <w:tc>
          <w:tcPr>
            <w:tcW w:w="4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5540" w:type="dxa"/>
            <w:vAlign w:val="bottom"/>
          </w:tcPr>
          <w:p>
            <w:pPr>
              <w:spacing w:after="0" w:line="403" w:lineRule="exact"/>
              <w:rPr>
                <w:sz w:val="20"/>
                <w:szCs w:val="20"/>
                <w:color w:val="auto"/>
              </w:rPr>
            </w:pPr>
            <w:r>
              <w:rPr>
                <w:rFonts w:ascii="MS PGothic" w:cs="MS PGothic" w:eastAsia="MS PGothic" w:hAnsi="MS PGothic"/>
                <w:sz w:val="35"/>
                <w:szCs w:val="35"/>
                <w:color w:val="auto"/>
                <w:vertAlign w:val="superscript"/>
              </w:rPr>
              <w:t>☐</w:t>
            </w:r>
            <w:r>
              <w:rPr>
                <w:rFonts w:ascii="Times New Roman" w:cs="Times New Roman" w:eastAsia="Times New Roman" w:hAnsi="Times New Roman"/>
                <w:sz w:val="18"/>
                <w:szCs w:val="18"/>
                <w:color w:val="auto"/>
              </w:rPr>
              <w:t xml:space="preserve"> None of the above.</w:t>
            </w:r>
          </w:p>
        </w:tc>
        <w:tc>
          <w:tcPr>
            <w:tcW w:w="4880" w:type="dxa"/>
            <w:vAlign w:val="bottom"/>
          </w:tcPr>
          <w:p>
            <w:pPr>
              <w:ind w:left="260"/>
              <w:spacing w:after="0"/>
              <w:rPr>
                <w:sz w:val="20"/>
                <w:szCs w:val="20"/>
                <w:color w:val="auto"/>
              </w:rPr>
            </w:pPr>
            <w:r>
              <w:rPr>
                <w:rFonts w:ascii="Wingdings" w:cs="Wingdings" w:eastAsia="Wingdings" w:hAnsi="Wingdings"/>
                <w:sz w:val="35"/>
                <w:szCs w:val="35"/>
                <w:b w:val="1"/>
                <w:bCs w:val="1"/>
                <w:color w:val="auto"/>
                <w:vertAlign w:val="subscript"/>
              </w:rPr>
              <w:t></w:t>
            </w:r>
            <w:r>
              <w:rPr>
                <w:rFonts w:ascii="Times New Roman" w:cs="Times New Roman" w:eastAsia="Times New Roman" w:hAnsi="Times New Roman"/>
                <w:sz w:val="18"/>
                <w:szCs w:val="18"/>
                <w:color w:val="auto"/>
              </w:rPr>
              <w:t xml:space="preserve"> The transaction requested will be made pursuant to an</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p>
        </w:tc>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effective registration statement covering such transaction.</w:t>
            </w:r>
          </w:p>
        </w:tc>
        <w:tc>
          <w:tcPr>
            <w:tcW w:w="0" w:type="dxa"/>
            <w:vAlign w:val="bottom"/>
          </w:tcPr>
          <w:p>
            <w:pPr>
              <w:spacing w:after="0"/>
              <w:rPr>
                <w:sz w:val="1"/>
                <w:szCs w:val="1"/>
                <w:color w:val="auto"/>
              </w:rPr>
            </w:pPr>
          </w:p>
        </w:tc>
      </w:tr>
      <w:tr>
        <w:trPr>
          <w:trHeight w:val="440"/>
        </w:trPr>
        <w:tc>
          <w:tcPr>
            <w:tcW w:w="5540" w:type="dxa"/>
            <w:vAlign w:val="bottom"/>
          </w:tcPr>
          <w:p>
            <w:pPr>
              <w:spacing w:after="0"/>
              <w:rPr>
                <w:sz w:val="24"/>
                <w:szCs w:val="24"/>
                <w:color w:val="auto"/>
              </w:rPr>
            </w:pPr>
          </w:p>
        </w:tc>
        <w:tc>
          <w:tcPr>
            <w:tcW w:w="4880" w:type="dxa"/>
            <w:vAlign w:val="bottom"/>
          </w:tcPr>
          <w:p>
            <w:pPr>
              <w:ind w:left="260"/>
              <w:spacing w:after="0"/>
              <w:rPr>
                <w:sz w:val="20"/>
                <w:szCs w:val="20"/>
                <w:color w:val="auto"/>
              </w:rPr>
            </w:pPr>
            <w:r>
              <w:rPr>
                <w:rFonts w:ascii="Wingdings" w:cs="Wingdings" w:eastAsia="Wingdings" w:hAnsi="Wingdings"/>
                <w:sz w:val="35"/>
                <w:szCs w:val="35"/>
                <w:b w:val="1"/>
                <w:bCs w:val="1"/>
                <w:color w:val="auto"/>
                <w:vertAlign w:val="subscript"/>
              </w:rPr>
              <w:t></w:t>
            </w:r>
            <w:r>
              <w:rPr>
                <w:rFonts w:ascii="Times New Roman" w:cs="Times New Roman" w:eastAsia="Times New Roman" w:hAnsi="Times New Roman"/>
                <w:sz w:val="18"/>
                <w:szCs w:val="18"/>
                <w:color w:val="auto"/>
              </w:rPr>
              <w:t xml:space="preserve"> None of the above.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6" w:name="page147"/>
    <w:bookmarkEnd w:id="146"/>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45020" cy="20186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6">
                      <a:extLst>
                        <a:ext uri="{28A0092B-C50C-407E-A947-70E740481C1C}"/>
                      </a:extLst>
                    </a:blip>
                    <a:srcRect/>
                    <a:stretch>
                      <a:fillRect/>
                    </a:stretch>
                  </pic:blipFill>
                  <pic:spPr bwMode="auto">
                    <a:xfrm>
                      <a:off x="0" y="0"/>
                      <a:ext cx="7145020" cy="2018665"/>
                    </a:xfrm>
                    <a:prstGeom prst="rect">
                      <a:avLst/>
                    </a:prstGeom>
                    <a:noFill/>
                  </pic:spPr>
                </pic:pic>
              </a:graphicData>
            </a:graphic>
          </wp:anchor>
        </w:drawing>
      </w:r>
    </w:p>
    <w:p>
      <w:pPr>
        <w:spacing w:after="0" w:line="2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 hereby certify that I am not (1) in possession of any material nonpublic information concerning the Company, as defined in the Company’s Security Trading Policy and (2) purchasing any securities of the Company on margin in contravention of the Company’s Security Trading Policy. I understand that, if I trade while possessing such information or in violation of such trading restrictions, I may be subject to severe civil and/or criminal penalties and may be subject to discipline by the Company including termination of my employment.</w:t>
      </w:r>
    </w:p>
    <w:p>
      <w:pPr>
        <w:spacing w:after="0" w:line="200" w:lineRule="exact"/>
        <w:rPr>
          <w:sz w:val="20"/>
          <w:szCs w:val="20"/>
          <w:color w:val="auto"/>
        </w:rPr>
      </w:pPr>
    </w:p>
    <w:p>
      <w:pPr>
        <w:spacing w:after="0" w:line="209" w:lineRule="exact"/>
        <w:rPr>
          <w:sz w:val="20"/>
          <w:szCs w:val="20"/>
          <w:color w:val="auto"/>
        </w:rPr>
      </w:pPr>
    </w:p>
    <w:p>
      <w:pPr>
        <w:ind w:left="380"/>
        <w:spacing w:after="0"/>
        <w:tabs>
          <w:tab w:leader="none" w:pos="6100" w:val="left"/>
        </w:tabs>
        <w:rPr>
          <w:sz w:val="20"/>
          <w:szCs w:val="20"/>
          <w:color w:val="auto"/>
        </w:rPr>
      </w:pPr>
      <w:r>
        <w:rPr>
          <w:rFonts w:ascii="Times New Roman" w:cs="Times New Roman" w:eastAsia="Times New Roman" w:hAnsi="Times New Roman"/>
          <w:sz w:val="18"/>
          <w:szCs w:val="18"/>
          <w:color w:val="auto"/>
        </w:rPr>
        <w:t>Insider’s Signature</w:t>
      </w:r>
      <w:r>
        <w:rPr>
          <w:sz w:val="20"/>
          <w:szCs w:val="20"/>
          <w:color w:val="auto"/>
        </w:rPr>
        <w:tab/>
      </w:r>
      <w:r>
        <w:rPr>
          <w:rFonts w:ascii="Times New Roman" w:cs="Times New Roman" w:eastAsia="Times New Roman" w:hAnsi="Times New Roman"/>
          <w:sz w:val="18"/>
          <w:szCs w:val="18"/>
          <w:color w:val="auto"/>
        </w:rPr>
        <w:t>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APPROVAL</w:t>
      </w:r>
    </w:p>
    <w:p>
      <w:pPr>
        <w:spacing w:after="0" w:line="200" w:lineRule="exact"/>
        <w:rPr>
          <w:sz w:val="20"/>
          <w:szCs w:val="20"/>
          <w:color w:val="auto"/>
        </w:rPr>
      </w:pPr>
    </w:p>
    <w:p>
      <w:pPr>
        <w:spacing w:after="0" w:line="259" w:lineRule="exact"/>
        <w:rPr>
          <w:sz w:val="20"/>
          <w:szCs w:val="20"/>
          <w:color w:val="auto"/>
        </w:rPr>
      </w:pPr>
    </w:p>
    <w:p>
      <w:pPr>
        <w:ind w:left="380"/>
        <w:spacing w:after="0"/>
        <w:tabs>
          <w:tab w:leader="none" w:pos="6100" w:val="left"/>
        </w:tabs>
        <w:rPr>
          <w:sz w:val="20"/>
          <w:szCs w:val="20"/>
          <w:color w:val="auto"/>
        </w:rPr>
      </w:pPr>
      <w:r>
        <w:rPr>
          <w:rFonts w:ascii="Times New Roman" w:cs="Times New Roman" w:eastAsia="Times New Roman" w:hAnsi="Times New Roman"/>
          <w:sz w:val="18"/>
          <w:szCs w:val="18"/>
          <w:color w:val="auto"/>
        </w:rPr>
        <w:t>Signature of General Counsel (or designee)</w:t>
      </w:r>
      <w:r>
        <w:rPr>
          <w:sz w:val="20"/>
          <w:szCs w:val="20"/>
          <w:color w:val="auto"/>
        </w:rPr>
        <w:tab/>
      </w:r>
      <w:r>
        <w:rPr>
          <w:rFonts w:ascii="Times New Roman" w:cs="Times New Roman" w:eastAsia="Times New Roman" w:hAnsi="Times New Roman"/>
          <w:sz w:val="18"/>
          <w:szCs w:val="18"/>
          <w:color w:val="auto"/>
        </w:rPr>
        <w:t>Date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Multiple lots must be listed on separate forms or broken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27" w:right="459" w:bottom="1440" w:gutter="0" w:footer="0" w:header="0"/>
        </w:sectPr>
      </w:pPr>
    </w:p>
    <w:bookmarkStart w:id="147" w:name="page148"/>
    <w:bookmarkEnd w:id="147"/>
    <w:p>
      <w:pPr>
        <w:jc w:val="right"/>
        <w:spacing w:after="0"/>
        <w:rPr>
          <w:sz w:val="20"/>
          <w:szCs w:val="20"/>
          <w:color w:val="auto"/>
        </w:rPr>
      </w:pPr>
      <w:r>
        <w:rPr>
          <w:rFonts w:ascii="Arial" w:cs="Arial" w:eastAsia="Arial" w:hAnsi="Arial"/>
          <w:sz w:val="19"/>
          <w:szCs w:val="19"/>
          <w:b w:val="1"/>
          <w:bCs w:val="1"/>
          <w:color w:val="auto"/>
        </w:rPr>
        <w:t>Exhibit 21.1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Subsidiaries of Nektar Therapeutics</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885825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w:t>
      </w:r>
    </w:p>
    <w:p>
      <w:pPr>
        <w:spacing w:after="0" w:line="208" w:lineRule="exact"/>
        <w:rPr>
          <w:sz w:val="20"/>
          <w:szCs w:val="20"/>
          <w:color w:val="auto"/>
        </w:rPr>
      </w:pPr>
    </w:p>
    <w:p>
      <w:pPr>
        <w:ind w:left="980" w:hanging="223"/>
        <w:spacing w:after="0"/>
        <w:tabs>
          <w:tab w:leader="none" w:pos="9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333-145259) pertaining to the 401(k) Retirement Plan of Nektar Therapeutics,</w:t>
      </w:r>
    </w:p>
    <w:p>
      <w:pPr>
        <w:spacing w:after="0" w:line="26"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333-170371) pertaining to the Employee Stock Purchase Plan of Nektar Therapeutics,</w:t>
      </w:r>
    </w:p>
    <w:p>
      <w:pPr>
        <w:spacing w:after="0" w:line="18"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333-183193) pertaining to the 2012 Performance Incentive Plan of Nektar Therapeutics,</w:t>
      </w:r>
    </w:p>
    <w:p>
      <w:pPr>
        <w:spacing w:after="0" w:line="18"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333-197781) pertaining to the Employee Stock Purchase Plan of Nektar Therapeutics,</w:t>
      </w:r>
    </w:p>
    <w:p>
      <w:pPr>
        <w:spacing w:after="0" w:line="18"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333-206136) pertaining to the 2012 Performance Incentive Plan of Nektar Therapeutics,</w:t>
      </w:r>
    </w:p>
    <w:p>
      <w:pPr>
        <w:spacing w:after="0" w:line="18"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333-218777) pertaining to the 2017 Performance Incentive Plan of Nektar Therapeutics,</w:t>
      </w:r>
    </w:p>
    <w:p>
      <w:pPr>
        <w:spacing w:after="0" w:line="18"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333-226004) pertaining to the Amended and Restated 2017 Performance Incentive Plan of Nektar Therapeutics,</w:t>
      </w:r>
    </w:p>
    <w:p>
      <w:pPr>
        <w:spacing w:after="0" w:line="18" w:lineRule="exact"/>
        <w:rPr>
          <w:rFonts w:ascii="Times New Roman" w:cs="Times New Roman" w:eastAsia="Times New Roman" w:hAnsi="Times New Roman"/>
          <w:sz w:val="16"/>
          <w:szCs w:val="16"/>
          <w:color w:val="auto"/>
        </w:rPr>
      </w:pPr>
    </w:p>
    <w:p>
      <w:pPr>
        <w:ind w:left="760" w:right="200" w:hanging="3"/>
        <w:spacing w:after="0" w:line="264" w:lineRule="auto"/>
        <w:tabs>
          <w:tab w:leader="none" w:pos="98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333-242327) pertaining to the Amended and Restated 2017 Performance Incentive Plan and Amended and Restated Employee Stock Purchase Plan of Nektar Therapeutics,</w:t>
      </w:r>
    </w:p>
    <w:p>
      <w:pPr>
        <w:ind w:left="980" w:hanging="223"/>
        <w:spacing w:after="0"/>
        <w:tabs>
          <w:tab w:leader="none" w:pos="9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333-258900) pertaining to the Amended and Restated 2017 Performance Incentive Plan of Nektar Therapeutics,</w:t>
      </w:r>
    </w:p>
    <w:p>
      <w:pPr>
        <w:spacing w:after="0" w:line="18" w:lineRule="exact"/>
        <w:rPr>
          <w:rFonts w:ascii="Times New Roman" w:cs="Times New Roman" w:eastAsia="Times New Roman" w:hAnsi="Times New Roman"/>
          <w:sz w:val="16"/>
          <w:szCs w:val="16"/>
          <w:color w:val="auto"/>
        </w:rPr>
      </w:pPr>
    </w:p>
    <w:p>
      <w:pPr>
        <w:ind w:left="1060" w:hanging="303"/>
        <w:spacing w:after="0"/>
        <w:tabs>
          <w:tab w:leader="none" w:pos="10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333-266580) pertaining to the Amended and Restated 2017 Performance Incentive Plan of Nektar Therapeutics,</w:t>
      </w:r>
    </w:p>
    <w:p>
      <w:pPr>
        <w:spacing w:after="0" w:line="18" w:lineRule="exact"/>
        <w:rPr>
          <w:rFonts w:ascii="Times New Roman" w:cs="Times New Roman" w:eastAsia="Times New Roman" w:hAnsi="Times New Roman"/>
          <w:sz w:val="16"/>
          <w:szCs w:val="16"/>
          <w:color w:val="auto"/>
        </w:rPr>
      </w:pPr>
    </w:p>
    <w:p>
      <w:pPr>
        <w:ind w:left="1060" w:hanging="303"/>
        <w:spacing w:after="0"/>
        <w:tabs>
          <w:tab w:leader="none" w:pos="10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333-273962) pertaining to the Amended and Restated 2017 Performance Incentive Plan of Nektar Therapeutics; and</w:t>
      </w:r>
    </w:p>
    <w:p>
      <w:pPr>
        <w:spacing w:after="0" w:line="18" w:lineRule="exact"/>
        <w:rPr>
          <w:rFonts w:ascii="Times New Roman" w:cs="Times New Roman" w:eastAsia="Times New Roman" w:hAnsi="Times New Roman"/>
          <w:sz w:val="16"/>
          <w:szCs w:val="16"/>
          <w:color w:val="auto"/>
        </w:rPr>
      </w:pPr>
    </w:p>
    <w:p>
      <w:pPr>
        <w:ind w:left="1060" w:hanging="303"/>
        <w:spacing w:after="0"/>
        <w:tabs>
          <w:tab w:leader="none" w:pos="10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S-3 No. 333-279760) of Nektar Therapeutics;</w:t>
      </w:r>
    </w:p>
    <w:p>
      <w:pPr>
        <w:spacing w:after="0" w:line="200"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of our report dated March 14, 2025, with respect to the consolidated financial statements of Nektar Therapeutics included in this Annual Report (Form 10-K) of Nektar Therapeutics for the year ended December 31, 2024.</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Mateo,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0" w:right="379" w:bottom="1440" w:gutter="0" w:footer="0" w:header="0"/>
        </w:sectPr>
      </w:pPr>
    </w:p>
    <w:bookmarkStart w:id="149" w:name="page150"/>
    <w:bookmarkEnd w:id="149"/>
    <w:p>
      <w:pPr>
        <w:jc w:val="right"/>
        <w:spacing w:after="0"/>
        <w:rPr>
          <w:sz w:val="20"/>
          <w:szCs w:val="20"/>
          <w:color w:val="auto"/>
        </w:rPr>
      </w:pPr>
      <w:r>
        <w:rPr>
          <w:rFonts w:ascii="Arial" w:cs="Arial" w:eastAsia="Arial" w:hAnsi="Arial"/>
          <w:sz w:val="15"/>
          <w:szCs w:val="15"/>
          <w:b w:val="1"/>
          <w:bCs w:val="1"/>
          <w:color w:val="auto"/>
        </w:rPr>
        <w:t>Exhibit 31.1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I, Howard W. Robin, certify that:</w:t>
      </w:r>
    </w:p>
    <w:p>
      <w:pPr>
        <w:spacing w:after="0" w:line="165" w:lineRule="exact"/>
        <w:rPr>
          <w:sz w:val="20"/>
          <w:szCs w:val="20"/>
          <w:color w:val="auto"/>
        </w:rPr>
      </w:pPr>
    </w:p>
    <w:p>
      <w:pPr>
        <w:ind w:left="520" w:hanging="512"/>
        <w:spacing w:after="0"/>
        <w:tabs>
          <w:tab w:leader="none" w:pos="5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Nektar Therapeutics for the year ended December 31, 2024;</w:t>
      </w:r>
    </w:p>
    <w:p>
      <w:pPr>
        <w:spacing w:after="0" w:line="165" w:lineRule="exact"/>
        <w:rPr>
          <w:rFonts w:ascii="Arial" w:cs="Arial" w:eastAsia="Arial" w:hAnsi="Arial"/>
          <w:sz w:val="15"/>
          <w:szCs w:val="15"/>
          <w:color w:val="auto"/>
        </w:rPr>
      </w:pPr>
    </w:p>
    <w:p>
      <w:pPr>
        <w:ind w:left="520" w:right="40" w:hanging="512"/>
        <w:spacing w:after="0" w:line="264" w:lineRule="auto"/>
        <w:tabs>
          <w:tab w:leader="none" w:pos="5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5"/>
          <w:szCs w:val="15"/>
          <w:color w:val="auto"/>
        </w:rPr>
      </w:pPr>
    </w:p>
    <w:p>
      <w:pPr>
        <w:ind w:left="520" w:right="400" w:hanging="512"/>
        <w:spacing w:after="0" w:line="264" w:lineRule="auto"/>
        <w:tabs>
          <w:tab w:leader="none" w:pos="5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5"/>
          <w:szCs w:val="15"/>
          <w:color w:val="auto"/>
        </w:rPr>
      </w:pPr>
    </w:p>
    <w:p>
      <w:pPr>
        <w:ind w:left="520" w:right="160" w:hanging="512"/>
        <w:spacing w:after="0" w:line="244" w:lineRule="auto"/>
        <w:tabs>
          <w:tab w:leader="none" w:pos="5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5"/>
          <w:szCs w:val="15"/>
          <w:color w:val="auto"/>
        </w:rPr>
      </w:pPr>
    </w:p>
    <w:p>
      <w:pPr>
        <w:ind w:left="1020" w:right="200" w:hanging="503"/>
        <w:spacing w:after="0" w:line="244" w:lineRule="auto"/>
        <w:tabs>
          <w:tab w:leader="none" w:pos="10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5"/>
          <w:szCs w:val="15"/>
          <w:color w:val="auto"/>
        </w:rPr>
      </w:pPr>
    </w:p>
    <w:p>
      <w:pPr>
        <w:jc w:val="both"/>
        <w:ind w:left="1020" w:right="20" w:hanging="503"/>
        <w:spacing w:after="0" w:line="244" w:lineRule="auto"/>
        <w:tabs>
          <w:tab w:leader="none" w:pos="10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5"/>
          <w:szCs w:val="15"/>
          <w:color w:val="auto"/>
        </w:rPr>
      </w:pPr>
    </w:p>
    <w:p>
      <w:pPr>
        <w:ind w:left="1020" w:right="80" w:hanging="503"/>
        <w:spacing w:after="0" w:line="264" w:lineRule="auto"/>
        <w:tabs>
          <w:tab w:leader="none" w:pos="10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5"/>
          <w:szCs w:val="15"/>
          <w:color w:val="auto"/>
        </w:rPr>
      </w:pPr>
    </w:p>
    <w:p>
      <w:pPr>
        <w:jc w:val="both"/>
        <w:ind w:left="1020" w:hanging="503"/>
        <w:spacing w:after="0" w:line="244" w:lineRule="auto"/>
        <w:tabs>
          <w:tab w:leader="none" w:pos="10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5"/>
          <w:szCs w:val="15"/>
          <w:color w:val="auto"/>
        </w:rPr>
      </w:pPr>
    </w:p>
    <w:p>
      <w:pPr>
        <w:ind w:left="520" w:right="720" w:hanging="512"/>
        <w:spacing w:after="0" w:line="264" w:lineRule="auto"/>
        <w:tabs>
          <w:tab w:leader="none" w:pos="52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5"/>
          <w:szCs w:val="15"/>
          <w:color w:val="auto"/>
        </w:rPr>
      </w:pPr>
    </w:p>
    <w:p>
      <w:pPr>
        <w:ind w:left="1020" w:right="100" w:hanging="503"/>
        <w:spacing w:after="0" w:line="264" w:lineRule="auto"/>
        <w:tabs>
          <w:tab w:leader="none" w:pos="10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5"/>
          <w:szCs w:val="15"/>
          <w:color w:val="auto"/>
        </w:rPr>
      </w:pPr>
    </w:p>
    <w:p>
      <w:pPr>
        <w:ind w:left="1020" w:right="260" w:hanging="503"/>
        <w:spacing w:after="0" w:line="264" w:lineRule="auto"/>
        <w:tabs>
          <w:tab w:leader="none" w:pos="1020" w:val="left"/>
        </w:tabs>
        <w:numPr>
          <w:ilvl w:val="1"/>
          <w:numId w:val="9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Date: March 14, 2025</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 HOWARD W. ROBIN</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Howard W. Robin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5"/>
          <w:szCs w:val="15"/>
          <w:b w:val="1"/>
          <w:bCs w:val="1"/>
          <w:color w:val="auto"/>
        </w:rPr>
        <w:t>Exhibit 31.2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I, Sandra Gardiner, certify that:</w:t>
      </w:r>
    </w:p>
    <w:p>
      <w:pPr>
        <w:spacing w:after="0" w:line="165" w:lineRule="exact"/>
        <w:rPr>
          <w:sz w:val="20"/>
          <w:szCs w:val="20"/>
          <w:color w:val="auto"/>
        </w:rPr>
      </w:pPr>
    </w:p>
    <w:p>
      <w:pPr>
        <w:ind w:left="520" w:hanging="512"/>
        <w:spacing w:after="0"/>
        <w:tabs>
          <w:tab w:leader="none" w:pos="5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Nektar Therapeutics for the year ended December 31, 2024;</w:t>
      </w:r>
    </w:p>
    <w:p>
      <w:pPr>
        <w:spacing w:after="0" w:line="165" w:lineRule="exact"/>
        <w:rPr>
          <w:rFonts w:ascii="Arial" w:cs="Arial" w:eastAsia="Arial" w:hAnsi="Arial"/>
          <w:sz w:val="15"/>
          <w:szCs w:val="15"/>
          <w:color w:val="auto"/>
        </w:rPr>
      </w:pPr>
    </w:p>
    <w:p>
      <w:pPr>
        <w:ind w:left="520" w:right="40" w:hanging="512"/>
        <w:spacing w:after="0" w:line="264" w:lineRule="auto"/>
        <w:tabs>
          <w:tab w:leader="none" w:pos="5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5"/>
          <w:szCs w:val="15"/>
          <w:color w:val="auto"/>
        </w:rPr>
      </w:pPr>
    </w:p>
    <w:p>
      <w:pPr>
        <w:ind w:left="520" w:right="400" w:hanging="512"/>
        <w:spacing w:after="0" w:line="264" w:lineRule="auto"/>
        <w:tabs>
          <w:tab w:leader="none" w:pos="5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5"/>
          <w:szCs w:val="15"/>
          <w:color w:val="auto"/>
        </w:rPr>
      </w:pPr>
    </w:p>
    <w:p>
      <w:pPr>
        <w:ind w:left="520" w:right="160" w:hanging="512"/>
        <w:spacing w:after="0" w:line="244" w:lineRule="auto"/>
        <w:tabs>
          <w:tab w:leader="none" w:pos="5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5"/>
          <w:szCs w:val="15"/>
          <w:color w:val="auto"/>
        </w:rPr>
      </w:pPr>
    </w:p>
    <w:p>
      <w:pPr>
        <w:ind w:left="1020" w:right="200" w:hanging="503"/>
        <w:spacing w:after="0" w:line="244" w:lineRule="auto"/>
        <w:tabs>
          <w:tab w:leader="none" w:pos="10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5"/>
          <w:szCs w:val="15"/>
          <w:color w:val="auto"/>
        </w:rPr>
      </w:pPr>
    </w:p>
    <w:p>
      <w:pPr>
        <w:jc w:val="both"/>
        <w:ind w:left="1020" w:right="20" w:hanging="503"/>
        <w:spacing w:after="0" w:line="244" w:lineRule="auto"/>
        <w:tabs>
          <w:tab w:leader="none" w:pos="10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5"/>
          <w:szCs w:val="15"/>
          <w:color w:val="auto"/>
        </w:rPr>
      </w:pPr>
    </w:p>
    <w:p>
      <w:pPr>
        <w:ind w:left="1020" w:right="80" w:hanging="503"/>
        <w:spacing w:after="0" w:line="264" w:lineRule="auto"/>
        <w:tabs>
          <w:tab w:leader="none" w:pos="10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5"/>
          <w:szCs w:val="15"/>
          <w:color w:val="auto"/>
        </w:rPr>
      </w:pPr>
    </w:p>
    <w:p>
      <w:pPr>
        <w:jc w:val="both"/>
        <w:ind w:left="1020" w:hanging="503"/>
        <w:spacing w:after="0" w:line="244" w:lineRule="auto"/>
        <w:tabs>
          <w:tab w:leader="none" w:pos="10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5"/>
          <w:szCs w:val="15"/>
          <w:color w:val="auto"/>
        </w:rPr>
      </w:pPr>
    </w:p>
    <w:p>
      <w:pPr>
        <w:ind w:left="520" w:right="720" w:hanging="512"/>
        <w:spacing w:after="0" w:line="264" w:lineRule="auto"/>
        <w:tabs>
          <w:tab w:leader="none" w:pos="5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5"/>
          <w:szCs w:val="15"/>
          <w:color w:val="auto"/>
        </w:rPr>
      </w:pPr>
    </w:p>
    <w:p>
      <w:pPr>
        <w:ind w:left="1020" w:right="100" w:hanging="503"/>
        <w:spacing w:after="0" w:line="264" w:lineRule="auto"/>
        <w:tabs>
          <w:tab w:leader="none" w:pos="10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5"/>
          <w:szCs w:val="15"/>
          <w:color w:val="auto"/>
        </w:rPr>
      </w:pPr>
    </w:p>
    <w:p>
      <w:pPr>
        <w:ind w:left="1020" w:right="260" w:hanging="503"/>
        <w:spacing w:after="0" w:line="264" w:lineRule="auto"/>
        <w:tabs>
          <w:tab w:leader="none" w:pos="10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Date: March 14, 2025</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 Sandra Gardiner</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Sandra Gardiner</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5"/>
          <w:szCs w:val="15"/>
          <w:b w:val="1"/>
          <w:bCs w:val="1"/>
          <w:color w:val="auto"/>
        </w:rPr>
        <w:t>Exhibit 32.1</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1350 CERTIFICATIONS*</w:t>
      </w:r>
    </w:p>
    <w:p>
      <w:pPr>
        <w:spacing w:after="0" w:line="167" w:lineRule="exact"/>
        <w:rPr>
          <w:sz w:val="20"/>
          <w:szCs w:val="20"/>
          <w:color w:val="auto"/>
        </w:rPr>
      </w:pPr>
    </w:p>
    <w:p>
      <w:pPr>
        <w:ind w:right="220" w:firstLine="644"/>
        <w:spacing w:after="0" w:line="244" w:lineRule="auto"/>
        <w:rPr>
          <w:sz w:val="20"/>
          <w:szCs w:val="20"/>
          <w:color w:val="auto"/>
        </w:rPr>
      </w:pPr>
      <w:r>
        <w:rPr>
          <w:rFonts w:ascii="Arial" w:cs="Arial" w:eastAsia="Arial" w:hAnsi="Arial"/>
          <w:sz w:val="15"/>
          <w:szCs w:val="15"/>
          <w:color w:val="auto"/>
        </w:rPr>
        <w:t>Pursuant to the requirement set forth in Rule 13a-14(b) of the Securities Exchange Act of 1934, as amended (the “Exchange Act”), and Section 1350 of Chapter 63 of Title 18 of the United States Code (18 U.S.C. § 1350), Howard W. Robin, Chief Executive Officer, President and Director of Nektar Therapeutics (the “Company”), and Sandra Gardiner, Interim Chief Financial Officer of the Company, each hereby certifies that, to the best of his or her knowledge:</w:t>
      </w:r>
    </w:p>
    <w:p>
      <w:pPr>
        <w:spacing w:after="0" w:line="108" w:lineRule="exact"/>
        <w:rPr>
          <w:sz w:val="20"/>
          <w:szCs w:val="20"/>
          <w:color w:val="auto"/>
        </w:rPr>
      </w:pPr>
    </w:p>
    <w:p>
      <w:pPr>
        <w:ind w:left="1160" w:right="380" w:hanging="508"/>
        <w:spacing w:after="0" w:line="264" w:lineRule="auto"/>
        <w:tabs>
          <w:tab w:leader="none" w:pos="11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Company’s Annual Report on Form 10-K, for the year ended December 31, 2024, to which this Certification is attached as Exhibit 32.1 (the “Annual Report”), fully complies with the requirements of Section 13(a) or 15(d) of the Exchange Act; and</w:t>
      </w:r>
    </w:p>
    <w:p>
      <w:pPr>
        <w:spacing w:after="0" w:line="106" w:lineRule="exact"/>
        <w:rPr>
          <w:rFonts w:ascii="Arial" w:cs="Arial" w:eastAsia="Arial" w:hAnsi="Arial"/>
          <w:sz w:val="15"/>
          <w:szCs w:val="15"/>
          <w:color w:val="auto"/>
        </w:rPr>
      </w:pPr>
    </w:p>
    <w:p>
      <w:pPr>
        <w:ind w:left="1160" w:right="580" w:hanging="508"/>
        <w:spacing w:after="0" w:line="264" w:lineRule="auto"/>
        <w:tabs>
          <w:tab w:leader="none" w:pos="11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information contained in the Annual Report fairly presents, in all material respects, the financial condition and results of operations of the Company for the period covered by the Annual Report.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560" w:type="dxa"/>
            <w:vAlign w:val="bottom"/>
          </w:tcPr>
          <w:p>
            <w:pPr>
              <w:spacing w:after="0"/>
              <w:rPr>
                <w:sz w:val="20"/>
                <w:szCs w:val="20"/>
                <w:color w:val="auto"/>
              </w:rPr>
            </w:pPr>
            <w:r>
              <w:rPr>
                <w:rFonts w:ascii="Arial" w:cs="Arial" w:eastAsia="Arial" w:hAnsi="Arial"/>
                <w:sz w:val="15"/>
                <w:szCs w:val="15"/>
                <w:color w:val="auto"/>
              </w:rPr>
              <w:t>Dated: March 14, 2025</w:t>
            </w:r>
          </w:p>
        </w:tc>
        <w:tc>
          <w:tcPr>
            <w:tcW w:w="214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357"/>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/s/ H</w:t>
            </w:r>
            <w:r>
              <w:rPr>
                <w:rFonts w:ascii="Arial" w:cs="Arial" w:eastAsia="Arial" w:hAnsi="Arial"/>
                <w:sz w:val="11"/>
                <w:szCs w:val="11"/>
                <w:color w:val="auto"/>
              </w:rPr>
              <w:t>OWARD</w:t>
            </w:r>
            <w:r>
              <w:rPr>
                <w:rFonts w:ascii="Arial" w:cs="Arial" w:eastAsia="Arial" w:hAnsi="Arial"/>
                <w:sz w:val="15"/>
                <w:szCs w:val="15"/>
                <w:color w:val="auto"/>
              </w:rPr>
              <w:t xml:space="preserve"> W. R</w:t>
            </w:r>
            <w:r>
              <w:rPr>
                <w:rFonts w:ascii="Arial" w:cs="Arial" w:eastAsia="Arial" w:hAnsi="Arial"/>
                <w:sz w:val="11"/>
                <w:szCs w:val="11"/>
                <w:color w:val="auto"/>
              </w:rPr>
              <w:t>OBIN</w:t>
            </w:r>
          </w:p>
        </w:tc>
        <w:tc>
          <w:tcPr>
            <w:tcW w:w="2140" w:type="dxa"/>
            <w:vAlign w:val="bottom"/>
          </w:tcPr>
          <w:p>
            <w:pPr>
              <w:spacing w:after="0"/>
              <w:rPr>
                <w:sz w:val="24"/>
                <w:szCs w:val="24"/>
                <w:color w:val="auto"/>
              </w:rPr>
            </w:pP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Sandra Gardiner</w:t>
            </w:r>
          </w:p>
        </w:tc>
      </w:tr>
      <w:tr>
        <w:trPr>
          <w:trHeight w:val="177"/>
        </w:trPr>
        <w:tc>
          <w:tcPr>
            <w:tcW w:w="4560" w:type="dxa"/>
            <w:vAlign w:val="bottom"/>
          </w:tcPr>
          <w:p>
            <w:pPr>
              <w:ind w:left="40"/>
              <w:spacing w:after="0"/>
              <w:rPr>
                <w:sz w:val="20"/>
                <w:szCs w:val="20"/>
                <w:color w:val="auto"/>
              </w:rPr>
            </w:pPr>
            <w:r>
              <w:rPr>
                <w:rFonts w:ascii="Arial" w:cs="Arial" w:eastAsia="Arial" w:hAnsi="Arial"/>
                <w:sz w:val="15"/>
                <w:szCs w:val="15"/>
                <w:b w:val="1"/>
                <w:bCs w:val="1"/>
                <w:color w:val="auto"/>
              </w:rPr>
              <w:t>Howard W. Robin</w:t>
            </w:r>
          </w:p>
        </w:tc>
        <w:tc>
          <w:tcPr>
            <w:tcW w:w="2140" w:type="dxa"/>
            <w:vAlign w:val="bottom"/>
          </w:tcPr>
          <w:p>
            <w:pPr>
              <w:spacing w:after="0"/>
              <w:rPr>
                <w:sz w:val="15"/>
                <w:szCs w:val="15"/>
                <w:color w:val="auto"/>
              </w:rPr>
            </w:pPr>
          </w:p>
        </w:tc>
        <w:tc>
          <w:tcPr>
            <w:tcW w:w="4540" w:type="dxa"/>
            <w:vAlign w:val="bottom"/>
          </w:tcPr>
          <w:p>
            <w:pPr>
              <w:ind w:left="20"/>
              <w:spacing w:after="0"/>
              <w:rPr>
                <w:sz w:val="20"/>
                <w:szCs w:val="20"/>
                <w:color w:val="auto"/>
              </w:rPr>
            </w:pPr>
            <w:r>
              <w:rPr>
                <w:rFonts w:ascii="Arial" w:cs="Arial" w:eastAsia="Arial" w:hAnsi="Arial"/>
                <w:sz w:val="15"/>
                <w:szCs w:val="15"/>
                <w:b w:val="1"/>
                <w:bCs w:val="1"/>
                <w:color w:val="auto"/>
              </w:rPr>
              <w:t>Sandra Gardiner</w:t>
            </w:r>
          </w:p>
        </w:tc>
      </w:tr>
      <w:tr>
        <w:trPr>
          <w:trHeight w:val="210"/>
        </w:trPr>
        <w:tc>
          <w:tcPr>
            <w:tcW w:w="4560" w:type="dxa"/>
            <w:vAlign w:val="bottom"/>
          </w:tcPr>
          <w:p>
            <w:pPr>
              <w:ind w:left="40"/>
              <w:spacing w:after="0"/>
              <w:rPr>
                <w:sz w:val="20"/>
                <w:szCs w:val="20"/>
                <w:color w:val="auto"/>
              </w:rPr>
            </w:pPr>
            <w:r>
              <w:rPr>
                <w:rFonts w:ascii="Arial" w:cs="Arial" w:eastAsia="Arial" w:hAnsi="Arial"/>
                <w:sz w:val="15"/>
                <w:szCs w:val="15"/>
                <w:b w:val="1"/>
                <w:bCs w:val="1"/>
                <w:color w:val="auto"/>
              </w:rPr>
              <w:t>Chief Executive Officer, President and Director</w:t>
            </w:r>
          </w:p>
        </w:tc>
        <w:tc>
          <w:tcPr>
            <w:tcW w:w="214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5"/>
                <w:szCs w:val="15"/>
                <w:b w:val="1"/>
                <w:bCs w:val="1"/>
                <w:color w:val="auto"/>
              </w:rPr>
              <w:t>Interim Chief Financial Officer</w:t>
            </w:r>
          </w:p>
        </w:tc>
      </w:tr>
    </w:tbl>
    <w:p>
      <w:pPr>
        <w:spacing w:after="0" w:line="377" w:lineRule="exact"/>
        <w:rPr>
          <w:sz w:val="20"/>
          <w:szCs w:val="20"/>
          <w:color w:val="auto"/>
        </w:rPr>
      </w:pPr>
    </w:p>
    <w:p>
      <w:pPr>
        <w:ind w:left="520" w:right="40" w:hanging="512"/>
        <w:spacing w:after="0" w:line="259" w:lineRule="auto"/>
        <w:tabs>
          <w:tab w:leader="none" w:pos="520" w:val="left"/>
        </w:tabs>
        <w:numPr>
          <w:ilvl w:val="0"/>
          <w:numId w:val="98"/>
        </w:numPr>
        <w:rPr>
          <w:rFonts w:ascii="Times New Roman" w:cs="Times New Roman" w:eastAsia="Times New Roman" w:hAnsi="Times New Roman"/>
          <w:sz w:val="13"/>
          <w:szCs w:val="13"/>
          <w:color w:val="auto"/>
        </w:rPr>
      </w:pPr>
      <w:r>
        <w:rPr>
          <w:rFonts w:ascii="Arial" w:cs="Arial" w:eastAsia="Arial" w:hAnsi="Arial"/>
          <w:sz w:val="13"/>
          <w:szCs w:val="13"/>
          <w:color w:val="auto"/>
        </w:rPr>
        <w:t>This certification accompanies the Annual Report on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0"/>
          <w:szCs w:val="20"/>
          <w:color w:val="auto"/>
        </w:rPr>
        <w:t>Exhibit 97</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NEKTAR THERAPEUTICS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as of June 8, 2023</w:t>
      </w:r>
    </w:p>
    <w:p>
      <w:pPr>
        <w:spacing w:after="0" w:line="2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Nektar Therapeutics,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described below.</w:t>
      </w:r>
    </w:p>
    <w:p>
      <w:pPr>
        <w:spacing w:after="0" w:line="154" w:lineRule="exact"/>
        <w:rPr>
          <w:sz w:val="20"/>
          <w:szCs w:val="20"/>
          <w:color w:val="auto"/>
        </w:rPr>
      </w:pPr>
    </w:p>
    <w:p>
      <w:pPr>
        <w:ind w:left="440" w:hanging="432"/>
        <w:spacing w:after="0"/>
        <w:tabs>
          <w:tab w:leader="none" w:pos="44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ind w:right="520"/>
        <w:spacing w:after="0" w:line="238" w:lineRule="auto"/>
        <w:rPr>
          <w:sz w:val="20"/>
          <w:szCs w:val="20"/>
          <w:color w:val="auto"/>
        </w:rPr>
      </w:pPr>
      <w:r>
        <w:rPr>
          <w:rFonts w:ascii="Times New Roman" w:cs="Times New Roman" w:eastAsia="Times New Roman" w:hAnsi="Times New Roman"/>
          <w:sz w:val="22"/>
          <w:szCs w:val="22"/>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Nasdaq Stock Market. Please refer to Section 3 below for definitions of capitalized terms used and not otherwise defined herein.</w:t>
      </w:r>
    </w:p>
    <w:p>
      <w:pPr>
        <w:spacing w:after="0" w:line="173" w:lineRule="exact"/>
        <w:rPr>
          <w:sz w:val="20"/>
          <w:szCs w:val="20"/>
          <w:color w:val="auto"/>
        </w:rPr>
      </w:pPr>
    </w:p>
    <w:p>
      <w:pPr>
        <w:ind w:left="440" w:hanging="432"/>
        <w:spacing w:after="0"/>
        <w:tabs>
          <w:tab w:leader="none" w:pos="44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10"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w:t>
      </w:r>
    </w:p>
    <w:p>
      <w:pPr>
        <w:spacing w:after="0" w:line="169" w:lineRule="exact"/>
        <w:rPr>
          <w:sz w:val="20"/>
          <w:szCs w:val="20"/>
          <w:color w:val="auto"/>
        </w:rPr>
      </w:pPr>
    </w:p>
    <w:p>
      <w:pPr>
        <w:ind w:left="440" w:hanging="432"/>
        <w:spacing w:after="0"/>
        <w:tabs>
          <w:tab w:leader="none" w:pos="44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1140" w:right="20" w:hanging="383"/>
        <w:spacing w:after="0" w:line="238" w:lineRule="auto"/>
        <w:tabs>
          <w:tab w:leader="none" w:pos="114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Recovery Period</w:t>
      </w:r>
      <w:r>
        <w:rPr>
          <w:rFonts w:ascii="Times New Roman" w:cs="Times New Roman" w:eastAsia="Times New Roman" w:hAnsi="Times New Roman"/>
          <w:sz w:val="22"/>
          <w:szCs w:val="22"/>
          <w:color w:val="auto"/>
        </w:rPr>
        <w:t>” 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44" w:lineRule="auto"/>
        <w:tabs>
          <w:tab w:leader="none" w:pos="114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1140" w:right="780" w:hanging="383"/>
        <w:spacing w:after="0" w:line="258" w:lineRule="auto"/>
        <w:tabs>
          <w:tab w:leader="none" w:pos="114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Organization and Compensation Committee of the Board or, in the absence of such committee, a majority of independent directors serving on the Board.</w:t>
      </w:r>
    </w:p>
    <w:p>
      <w:pPr>
        <w:spacing w:after="0" w:line="158" w:lineRule="exact"/>
        <w:rPr>
          <w:rFonts w:ascii="Times New Roman" w:cs="Times New Roman" w:eastAsia="Times New Roman" w:hAnsi="Times New Roman"/>
          <w:sz w:val="22"/>
          <w:szCs w:val="22"/>
          <w:color w:val="auto"/>
        </w:rPr>
      </w:pPr>
    </w:p>
    <w:p>
      <w:pPr>
        <w:ind w:left="1140" w:right="20" w:hanging="383"/>
        <w:spacing w:after="0" w:line="244" w:lineRule="auto"/>
        <w:tabs>
          <w:tab w:leader="none" w:pos="114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xml:space="preserve"> means any Executive Officer. A person’s status as a Covered Person with respect to Erroneously Awarded Compensation shall be determined as of the time of receipt of such Erroneously Awarded Compensation regardless of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ind w:left="383"/>
        <w:spacing w:after="0" w:line="236" w:lineRule="auto"/>
        <w:rPr>
          <w:sz w:val="20"/>
          <w:szCs w:val="20"/>
          <w:color w:val="auto"/>
        </w:rPr>
      </w:pPr>
      <w:r>
        <w:rPr>
          <w:rFonts w:ascii="Times New Roman" w:cs="Times New Roman" w:eastAsia="Times New Roman" w:hAnsi="Times New Roman"/>
          <w:sz w:val="22"/>
          <w:szCs w:val="22"/>
          <w:color w:val="auto"/>
        </w:rPr>
        <w:t>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81" w:lineRule="exact"/>
        <w:rPr>
          <w:sz w:val="20"/>
          <w:szCs w:val="20"/>
          <w:color w:val="auto"/>
        </w:rPr>
      </w:pPr>
    </w:p>
    <w:p>
      <w:pPr>
        <w:ind w:left="383" w:hanging="383"/>
        <w:spacing w:after="0"/>
        <w:tabs>
          <w:tab w:leader="none" w:pos="38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June 8, 2023.</w:t>
      </w:r>
    </w:p>
    <w:p>
      <w:pPr>
        <w:spacing w:after="0" w:line="206" w:lineRule="exact"/>
        <w:rPr>
          <w:rFonts w:ascii="Times New Roman" w:cs="Times New Roman" w:eastAsia="Times New Roman" w:hAnsi="Times New Roman"/>
          <w:sz w:val="22"/>
          <w:szCs w:val="22"/>
          <w:color w:val="auto"/>
        </w:rPr>
      </w:pPr>
    </w:p>
    <w:p>
      <w:pPr>
        <w:ind w:left="383" w:right="40" w:hanging="383"/>
        <w:spacing w:after="0" w:line="244" w:lineRule="auto"/>
        <w:tabs>
          <w:tab w:leader="none" w:pos="38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received by a Covered Person prior to the Effective Date shall be subject to the Company’s Policy Regarding the Recoupment of Certain Performance-Based Compensation Payments, effective as of February 8, 2012.</w:t>
      </w:r>
    </w:p>
    <w:p>
      <w:pPr>
        <w:spacing w:after="0" w:line="183" w:lineRule="exact"/>
        <w:rPr>
          <w:rFonts w:ascii="Times New Roman" w:cs="Times New Roman" w:eastAsia="Times New Roman" w:hAnsi="Times New Roman"/>
          <w:sz w:val="21"/>
          <w:szCs w:val="21"/>
          <w:color w:val="auto"/>
        </w:rPr>
      </w:pPr>
    </w:p>
    <w:p>
      <w:pPr>
        <w:ind w:left="383" w:hanging="383"/>
        <w:spacing w:after="0"/>
        <w:tabs>
          <w:tab w:leader="none" w:pos="38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Nasdaq Stock Market LLC.</w:t>
      </w:r>
    </w:p>
    <w:p>
      <w:pPr>
        <w:spacing w:after="0" w:line="206" w:lineRule="exact"/>
        <w:rPr>
          <w:rFonts w:ascii="Times New Roman" w:cs="Times New Roman" w:eastAsia="Times New Roman" w:hAnsi="Times New Roman"/>
          <w:sz w:val="22"/>
          <w:szCs w:val="22"/>
          <w:color w:val="auto"/>
        </w:rPr>
      </w:pPr>
    </w:p>
    <w:p>
      <w:pPr>
        <w:ind w:left="383" w:right="40" w:hanging="383"/>
        <w:spacing w:after="0" w:line="234" w:lineRule="auto"/>
        <w:tabs>
          <w:tab w:leader="none" w:pos="38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399"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744220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54" w:name="page155"/>
    <w:bookmarkEnd w:id="154"/>
    <w:p>
      <w:pPr>
        <w:ind w:left="1140" w:right="180" w:hanging="383"/>
        <w:spacing w:after="0" w:line="239" w:lineRule="auto"/>
        <w:tabs>
          <w:tab w:leader="none" w:pos="114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Measures</w:t>
      </w:r>
      <w:r>
        <w:rPr>
          <w:rFonts w:ascii="Times New Roman" w:cs="Times New Roman" w:eastAsia="Times New Roman" w:hAnsi="Times New Roman"/>
          <w:sz w:val="22"/>
          <w:szCs w:val="22"/>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80" w:lineRule="exact"/>
        <w:rPr>
          <w:rFonts w:ascii="Times New Roman" w:cs="Times New Roman" w:eastAsia="Times New Roman" w:hAnsi="Times New Roman"/>
          <w:sz w:val="22"/>
          <w:szCs w:val="22"/>
          <w:color w:val="auto"/>
        </w:rPr>
      </w:pPr>
    </w:p>
    <w:p>
      <w:pPr>
        <w:ind w:left="1140" w:right="100" w:hanging="383"/>
        <w:spacing w:after="0" w:line="239" w:lineRule="auto"/>
        <w:tabs>
          <w:tab w:leader="none" w:pos="114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provided, directly or indirectly, by the Company or any of its subsidiaries that is granted, earned, or vested based, in whole or in part, upon the attainment of a Financial Reporting Measure. Incentive-Based Compensation is deemed received, earned or vested when the Financial Reporting Measure is attained, not when the actual payment, grant or vesting occurs.</w:t>
      </w:r>
    </w:p>
    <w:p>
      <w:pPr>
        <w:spacing w:after="0" w:line="180" w:lineRule="exact"/>
        <w:rPr>
          <w:rFonts w:ascii="Times New Roman" w:cs="Times New Roman" w:eastAsia="Times New Roman" w:hAnsi="Times New Roman"/>
          <w:sz w:val="22"/>
          <w:szCs w:val="22"/>
          <w:color w:val="auto"/>
        </w:rPr>
      </w:pPr>
    </w:p>
    <w:p>
      <w:pPr>
        <w:ind w:left="1140" w:hanging="383"/>
        <w:spacing w:after="0" w:line="238" w:lineRule="auto"/>
        <w:tabs>
          <w:tab w:leader="none" w:pos="114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Material Financial Restatement</w:t>
      </w:r>
      <w:r>
        <w:rPr>
          <w:rFonts w:ascii="Times New Roman" w:cs="Times New Roman" w:eastAsia="Times New Roman" w:hAnsi="Times New Roman"/>
          <w:sz w:val="22"/>
          <w:szCs w:val="22"/>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39" w:lineRule="auto"/>
        <w:tabs>
          <w:tab w:leader="none" w:pos="114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17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1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7" w:lineRule="exact"/>
        <w:rPr>
          <w:sz w:val="20"/>
          <w:szCs w:val="20"/>
          <w:color w:val="auto"/>
        </w:rPr>
      </w:pPr>
    </w:p>
    <w:p>
      <w:pPr>
        <w:ind w:left="440" w:hanging="432"/>
        <w:spacing w:after="0"/>
        <w:tabs>
          <w:tab w:leader="none" w:pos="44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10"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69" w:lineRule="exact"/>
        <w:rPr>
          <w:sz w:val="20"/>
          <w:szCs w:val="20"/>
          <w:color w:val="auto"/>
        </w:rPr>
      </w:pPr>
    </w:p>
    <w:p>
      <w:pPr>
        <w:ind w:left="440" w:hanging="432"/>
        <w:spacing w:after="0"/>
        <w:tabs>
          <w:tab w:leader="none" w:pos="44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55" w:name="page156"/>
    <w:bookmarkEnd w:id="155"/>
    <w:p>
      <w:pPr>
        <w:ind w:right="60"/>
        <w:spacing w:after="0" w:line="258"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8" w:lineRule="exact"/>
        <w:rPr>
          <w:sz w:val="20"/>
          <w:szCs w:val="20"/>
          <w:color w:val="auto"/>
        </w:rPr>
      </w:pPr>
    </w:p>
    <w:p>
      <w:pPr>
        <w:ind w:left="1500" w:hanging="369"/>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06" w:lineRule="exact"/>
        <w:rPr>
          <w:rFonts w:ascii="Times New Roman" w:cs="Times New Roman" w:eastAsia="Times New Roman" w:hAnsi="Times New Roman"/>
          <w:sz w:val="22"/>
          <w:szCs w:val="22"/>
          <w:color w:val="auto"/>
        </w:rPr>
      </w:pPr>
    </w:p>
    <w:p>
      <w:pPr>
        <w:ind w:left="1500" w:right="220" w:hanging="369"/>
        <w:spacing w:after="0" w:line="258" w:lineRule="auto"/>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setting-off against planned future grants of equity-based awards; and/or</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ind w:left="440" w:hanging="432"/>
        <w:spacing w:after="0"/>
        <w:tabs>
          <w:tab w:leader="none" w:pos="44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10"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spacing w:after="0" w:line="179" w:lineRule="exact"/>
        <w:rPr>
          <w:sz w:val="20"/>
          <w:szCs w:val="20"/>
          <w:color w:val="auto"/>
        </w:rPr>
      </w:pPr>
    </w:p>
    <w:p>
      <w:pPr>
        <w:ind w:left="440" w:hanging="432"/>
        <w:spacing w:after="0"/>
        <w:tabs>
          <w:tab w:leader="none" w:pos="44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21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6" w:name="page157"/>
    <w:bookmarkEnd w:id="156"/>
    <w:p>
      <w:pPr>
        <w:spacing w:after="0" w:line="239" w:lineRule="auto"/>
        <w:rPr>
          <w:sz w:val="20"/>
          <w:szCs w:val="20"/>
          <w:color w:val="auto"/>
        </w:rPr>
      </w:pPr>
      <w:r>
        <w:rPr>
          <w:rFonts w:ascii="Times New Roman" w:cs="Times New Roman" w:eastAsia="Times New Roman" w:hAnsi="Times New Roman"/>
          <w:sz w:val="22"/>
          <w:szCs w:val="22"/>
          <w:color w:val="auto"/>
        </w:rPr>
        <w:t>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76" w:lineRule="exact"/>
        <w:rPr>
          <w:sz w:val="20"/>
          <w:szCs w:val="20"/>
          <w:color w:val="auto"/>
        </w:rPr>
      </w:pPr>
    </w:p>
    <w:p>
      <w:pPr>
        <w:ind w:left="440" w:hanging="432"/>
        <w:spacing w:after="0"/>
        <w:tabs>
          <w:tab w:leader="none" w:pos="44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Repayments not Subject to Indemnification</w:t>
      </w:r>
    </w:p>
    <w:p>
      <w:pPr>
        <w:spacing w:after="0" w:line="21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spacing w:after="0" w:line="3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08" w:right="619" w:bottom="1440" w:gutter="0" w:footer="0" w:header="0"/>
        </w:sectPr>
      </w:pPr>
    </w:p>
    <w:bookmarkStart w:id="157" w:name="page158"/>
    <w:bookmarkEnd w:id="157"/>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99</w:t>
      </w:r>
    </w:p>
    <w:p>
      <w:pPr>
        <w:spacing w:after="0" w:line="1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Statements</w:t>
      </w:r>
    </w:p>
    <w:p>
      <w:pPr>
        <w:spacing w:after="0" w:line="243" w:lineRule="exact"/>
        <w:rPr>
          <w:sz w:val="20"/>
          <w:szCs w:val="20"/>
          <w:color w:val="auto"/>
        </w:rPr>
      </w:pPr>
    </w:p>
    <w:p>
      <w:pPr>
        <w:ind w:right="100" w:firstLine="446"/>
        <w:spacing w:after="0" w:line="254" w:lineRule="auto"/>
        <w:rPr>
          <w:sz w:val="20"/>
          <w:szCs w:val="20"/>
          <w:color w:val="auto"/>
        </w:rPr>
      </w:pPr>
      <w:r>
        <w:rPr>
          <w:rFonts w:ascii="Times New Roman" w:cs="Times New Roman" w:eastAsia="Times New Roman" w:hAnsi="Times New Roman"/>
          <w:sz w:val="18"/>
          <w:szCs w:val="18"/>
          <w:color w:val="auto"/>
        </w:rPr>
        <w:t>On December, 2, 2024, Nektar Therapeutics (Nektar, we) completed the sale (the Transaction) of our manufacturing facility located in Huntsville, Alabama (the Facility) and certain other manufacturing assets related thereto, including the assignment of our existing manufacturing and supply obligations, to Gannet BioChem, an affiliate of Ampersand Management LLC d/b/a Ampersand Capital Partners (Ampersand), via an Asset Purchase Agreement (the APA), for consideration of $64.7 million in cash, net of transaction costs, and an approximate 20% equity ownership at the time of close in Gannet BioChem, which is accounted for under the equity method of accounting. Concurrently with the closing of the Transaction, we entered into certain ancillary agreements with Gannet BioChem, including supply agreements for rezpegaldesleukin and NKTR-255, and certain services agreements. See Note 12 to our Consolidated Financial Statements filed in the accompanying annual report on Form 10-K for the year ended December 31, 2024 (the 2024 Consolidated Financial Statements) for additional information.</w:t>
      </w:r>
    </w:p>
    <w:p>
      <w:pPr>
        <w:spacing w:after="0" w:line="192" w:lineRule="exact"/>
        <w:rPr>
          <w:sz w:val="20"/>
          <w:szCs w:val="20"/>
          <w:color w:val="auto"/>
        </w:rPr>
      </w:pPr>
    </w:p>
    <w:p>
      <w:pPr>
        <w:ind w:right="320" w:firstLine="446"/>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have been derived from our historical 2024 Consolidated Financial Statements, and give effect to the Transaction. The unaudited pro forma condensed consolidated statement of operations reflects Nektar’s results as if the sale of the Facility had occurred as of January 1, 2024. A pro forma balance sheet is not presented as the Transaction was fully reflected in our balance sheet as of December 31, 2024.</w:t>
      </w:r>
    </w:p>
    <w:p>
      <w:pPr>
        <w:spacing w:after="0" w:line="180"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consolidated statement of operations is not intended to be a complete presentation of Nektar’s results of operations had the sale of the Facility occurred for the period indicated. In addition, the unaudited pro forma condensed consolidated statement of operations is provided for illustrative and informational purposes only and are not necessarily indicative of our future results of operations or financial condition had the Transaction been completed on the date assumed. The unaudited pro forma condensed consolidated statement of operations should be read together with our historical consolidated financial statements and accompanying notes, including the 2024 Consolidated Financial Statements.</w:t>
      </w:r>
    </w:p>
    <w:p>
      <w:pPr>
        <w:spacing w:after="0" w:line="197" w:lineRule="exact"/>
        <w:rPr>
          <w:sz w:val="20"/>
          <w:szCs w:val="20"/>
          <w:color w:val="auto"/>
        </w:rPr>
      </w:pPr>
    </w:p>
    <w:p>
      <w:pPr>
        <w:ind w:right="840" w:firstLine="446"/>
        <w:spacing w:after="0" w:line="266" w:lineRule="auto"/>
        <w:rPr>
          <w:sz w:val="20"/>
          <w:szCs w:val="20"/>
          <w:color w:val="auto"/>
        </w:rPr>
      </w:pPr>
      <w:r>
        <w:rPr>
          <w:rFonts w:ascii="Times New Roman" w:cs="Times New Roman" w:eastAsia="Times New Roman" w:hAnsi="Times New Roman"/>
          <w:sz w:val="18"/>
          <w:szCs w:val="18"/>
          <w:color w:val="auto"/>
        </w:rPr>
        <w:t>The “As Reported” column in the unaudited pro forma condensed consolidated statement of operations reflects our historical condensed consolidated statement of operations for the year ended December 31, 2024, which includes the recognition of a one-time non-recurring gain of $40.4 million as a result of the Transaction.</w:t>
      </w:r>
    </w:p>
    <w:p>
      <w:pPr>
        <w:spacing w:after="0" w:line="189" w:lineRule="exact"/>
        <w:rPr>
          <w:sz w:val="20"/>
          <w:szCs w:val="20"/>
          <w:color w:val="auto"/>
        </w:rPr>
      </w:pPr>
    </w:p>
    <w:p>
      <w:pPr>
        <w:ind w:right="100" w:firstLine="446"/>
        <w:spacing w:after="0" w:line="256" w:lineRule="auto"/>
        <w:rPr>
          <w:sz w:val="20"/>
          <w:szCs w:val="20"/>
          <w:color w:val="auto"/>
        </w:rPr>
      </w:pPr>
      <w:r>
        <w:rPr>
          <w:rFonts w:ascii="Times New Roman" w:cs="Times New Roman" w:eastAsia="Times New Roman" w:hAnsi="Times New Roman"/>
          <w:sz w:val="18"/>
          <w:szCs w:val="18"/>
          <w:color w:val="auto"/>
        </w:rPr>
        <w:t>The “Pro Forma Adjustments” column in the unaudited pro forma condensed consolidated statement of operations reflects the elimination of the activity of the Facility before the sale on December 2, 2024, the effects of the supply agreement and services agreements referenced above, and the accounting for the equity method investment as if the Transaction occurred on January 1, 2024. In accounting for Gannet BioChem’s results as an equity method investment, we used the hypothetical liquidation at book value method due to Ampersand’s liquidation preferences. Refer to Note (d) below for additional information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As a result of the our valuation allowance on our deferred tax assets, we estimated no pro forma tax adjustments reflected on the related income statement activity.</w:t>
      </w:r>
    </w:p>
    <w:p>
      <w:pPr>
        <w:spacing w:after="0" w:line="187" w:lineRule="exact"/>
        <w:rPr>
          <w:sz w:val="20"/>
          <w:szCs w:val="20"/>
          <w:color w:val="auto"/>
        </w:rPr>
      </w:pPr>
    </w:p>
    <w:p>
      <w:pPr>
        <w:ind w:right="340" w:firstLine="446"/>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consolidated financial statements have been prepared in accordance with Article 11 of the Securities and Exchange Commission’s Regulation S-X. The unaudited pro forma condensed consolidated financial statements do not include adjustments to reflect any potential synergies that may be achievable, or dis-synergy costs that may occur, in connection with the sale of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693420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1440" w:right="379" w:bottom="1440" w:gutter="0" w:footer="0" w:header="0"/>
        </w:sectPr>
      </w:pPr>
    </w:p>
    <w:bookmarkStart w:id="158" w:name="page159"/>
    <w:bookmarkEnd w:id="158"/>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33,563</w:t>
            </w:r>
          </w:p>
        </w:tc>
        <w:tc>
          <w:tcPr>
            <w:tcW w:w="1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(33,563 )</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 collaboration and other revenue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(297 )</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(33,860 )</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(30,686 )</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2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(3,323 )</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(705 )</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impairment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the Huntsville manufacturing facility</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(40,390 )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(40,390 )</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203,625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(34,714 )</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(105,198 )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(104,344 )</w:t>
            </w:r>
          </w:p>
        </w:tc>
        <w:tc>
          <w:tcPr>
            <w:tcW w:w="0" w:type="dxa"/>
            <w:vAlign w:val="bottom"/>
          </w:tcPr>
          <w:p>
            <w:pPr>
              <w:spacing w:after="0"/>
              <w:rPr>
                <w:sz w:val="1"/>
                <w:szCs w:val="1"/>
                <w:color w:val="auto"/>
              </w:rPr>
            </w:pPr>
          </w:p>
        </w:tc>
      </w:tr>
      <w:tr>
        <w:trPr>
          <w:trHeight w:val="210"/>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interest expense on liabilities related to the sales of future royalties</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(28,112 )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(28,112 )</w:t>
            </w: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7"/>
                <w:szCs w:val="17"/>
                <w:color w:val="auto"/>
              </w:rPr>
            </w:pP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(390 )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(7,572 )</w:t>
            </w:r>
          </w:p>
        </w:tc>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(7,962 )</w:t>
            </w:r>
          </w:p>
        </w:tc>
        <w:tc>
          <w:tcPr>
            <w:tcW w:w="0" w:type="dxa"/>
            <w:vAlign w:val="bottom"/>
          </w:tcPr>
          <w:p>
            <w:pPr>
              <w:spacing w:after="0"/>
              <w:rPr>
                <w:sz w:val="1"/>
                <w:szCs w:val="1"/>
                <w:color w:val="auto"/>
              </w:rPr>
            </w:pPr>
          </w:p>
        </w:tc>
      </w:tr>
      <w:tr>
        <w:trPr>
          <w:trHeight w:val="221"/>
        </w:trPr>
        <w:tc>
          <w:tcPr>
            <w:tcW w:w="6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(14,002 )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(7,572 )</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(21,574 )</w:t>
            </w:r>
          </w:p>
        </w:tc>
        <w:tc>
          <w:tcPr>
            <w:tcW w:w="0" w:type="dxa"/>
            <w:vAlign w:val="bottom"/>
          </w:tcPr>
          <w:p>
            <w:pPr>
              <w:spacing w:after="0"/>
              <w:rPr>
                <w:sz w:val="1"/>
                <w:szCs w:val="1"/>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(119,200 )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(6,718 )</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(125,918 )</w:t>
            </w: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(239 )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0"/>
        </w:trPr>
        <w:tc>
          <w:tcPr>
            <w:tcW w:w="6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(118,961 )</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(6,718 )</w:t>
            </w:r>
          </w:p>
        </w:tc>
        <w:tc>
          <w:tcPr>
            <w:tcW w:w="4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(125,679 )</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(0.58 )</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(0.61 )</w:t>
            </w:r>
          </w:p>
        </w:tc>
        <w:tc>
          <w:tcPr>
            <w:tcW w:w="0" w:type="dxa"/>
            <w:vAlign w:val="bottom"/>
          </w:tcPr>
          <w:p>
            <w:pPr>
              <w:spacing w:after="0"/>
              <w:rPr>
                <w:sz w:val="1"/>
                <w:szCs w:val="1"/>
                <w:color w:val="auto"/>
              </w:rPr>
            </w:pPr>
          </w:p>
        </w:tc>
      </w:tr>
      <w:tr>
        <w:trPr>
          <w:trHeight w:val="178"/>
        </w:trPr>
        <w:tc>
          <w:tcPr>
            <w:tcW w:w="628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 average shares outstanding used in computing basic and diluted net loss</w:t>
            </w: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205,661</w:t>
            </w: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4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205,661</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per share</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-3256915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-3256915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-3256915</wp:posOffset>
            </wp:positionV>
            <wp:extent cx="774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-2005330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-2005330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-1028065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-1028065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-745490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-745490</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-745490</wp:posOffset>
            </wp:positionV>
            <wp:extent cx="774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-299720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-281940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wp:posOffset>
            </wp:positionV>
            <wp:extent cx="774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pro forma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Financial Statements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consolidated statement of operations are described below:</w:t>
      </w:r>
    </w:p>
    <w:p>
      <w:pPr>
        <w:spacing w:after="0" w:line="117" w:lineRule="exact"/>
        <w:rPr>
          <w:sz w:val="20"/>
          <w:szCs w:val="20"/>
          <w:color w:val="auto"/>
        </w:rPr>
      </w:pPr>
    </w:p>
    <w:p>
      <w:pPr>
        <w:ind w:left="1020" w:right="500" w:hanging="503"/>
        <w:spacing w:after="0" w:line="282"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relate to the removal of product sales, other revenue and cost of goods sold for contracts with customers assigned to Gannet BioChem for the period prior to the sale of the Facility on December 2, 2024.</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relate to the removal of compensation and benefit expense for employees terminated in connection with the Transaction, costs of manufacturing our proprietary reagents, and depreciation and other expenses of the Facility recorded in research and development expense or general and administrative expense, for the period prior to the sale of the Facility on December 2, 2024.</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relate to the estimated costs that we would have incurred from Gannet BioChem under the service and supply agreements for such employees and reagent supply for the year ended December 31, 2024.</w:t>
      </w:r>
    </w:p>
    <w:p>
      <w:pPr>
        <w:spacing w:after="0" w:line="2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reconciles the net adjustments to research and development and general administrative expense for (b) and (c).</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FFFFFF"/>
        </w:rPr>
        <w:t>x</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Amounts due to</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Removal of historical</w:t>
            </w:r>
          </w:p>
        </w:tc>
        <w:tc>
          <w:tcPr>
            <w:tcW w:w="10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due to Gannet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Gannet BioChem</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860" w:type="dxa"/>
            <w:vAlign w:val="bottom"/>
          </w:tcPr>
          <w:p>
            <w:pPr>
              <w:spacing w:after="0"/>
              <w:rPr>
                <w:sz w:val="17"/>
                <w:szCs w:val="17"/>
                <w:color w:val="auto"/>
              </w:rPr>
            </w:pPr>
          </w:p>
        </w:tc>
        <w:tc>
          <w:tcPr>
            <w:tcW w:w="22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amounts recorded related</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BioChem under Services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under Supply</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to the Facility</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19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(5,800 )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(3,323 )</w:t>
            </w:r>
          </w:p>
        </w:tc>
      </w:tr>
      <w:tr>
        <w:trPr>
          <w:trHeight w:val="20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7"/>
                <w:szCs w:val="17"/>
                <w:color w:val="auto"/>
              </w:rPr>
            </w:pP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(705 )</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(705 )</w:t>
            </w:r>
          </w:p>
        </w:tc>
      </w:tr>
      <w:tr>
        <w:trPr>
          <w:trHeight w:val="20"/>
        </w:trPr>
        <w:tc>
          <w:tcPr>
            <w:tcW w:w="2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(6,505 )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(4,028 )</w:t>
            </w: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-24765</wp:posOffset>
            </wp:positionV>
            <wp:extent cx="768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-7620</wp:posOffset>
            </wp:positionV>
            <wp:extent cx="768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768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768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right="160" w:hanging="503"/>
        <w:spacing w:after="0" w:line="28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reflect estimated charges to Gannet BioChem for certain administrative services provided during the year ended December 31, 2024, under the transition services agreement, which we present as other income in our consolidated statement of operations.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recorded our share of Gannet BioChem’s losses under the hypothetical liquidation at book value (HLBV) basis for purposes of this condensed consolidated pro forma statement of operations. We are continuing to evaluate our accounting policy for purposes of recording these amounts in our consolidated financial statements, which we report on a lag basis, and therefore, we expect to report our initial share of Gannet BioChem’s gain and losses for the month ended December 31, 2024, in our quarterly report on Form 10-Q for the period ended March 31, 2025.</w:t>
      </w:r>
    </w:p>
    <w:p>
      <w:pPr>
        <w:spacing w:after="0" w:line="75" w:lineRule="exact"/>
        <w:rPr>
          <w:rFonts w:ascii="Times New Roman" w:cs="Times New Roman" w:eastAsia="Times New Roman" w:hAnsi="Times New Roman"/>
          <w:sz w:val="18"/>
          <w:szCs w:val="18"/>
          <w:color w:val="auto"/>
        </w:rPr>
      </w:pPr>
    </w:p>
    <w:p>
      <w:pPr>
        <w:ind w:left="102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HLBV method is a balance sheet approach that calculates the change in the hypothetical amount we and Ampersand would be entitled to receive if Gannet BioChem were liquidated at book value at the end of each period, adjusted for any contributions made and distributions received during the period. As discussed in Note 12 to the accompanying Consolidated Financial Statements, Ampersand is entitled to a cumulative preferred dividend and return of capital before any distributions are made to us.</w:t>
      </w:r>
    </w:p>
    <w:p>
      <w:pPr>
        <w:spacing w:after="0" w:line="71" w:lineRule="exact"/>
        <w:rPr>
          <w:rFonts w:ascii="Times New Roman" w:cs="Times New Roman" w:eastAsia="Times New Roman" w:hAnsi="Times New Roman"/>
          <w:sz w:val="18"/>
          <w:szCs w:val="18"/>
          <w:color w:val="auto"/>
        </w:rPr>
      </w:pPr>
    </w:p>
    <w:p>
      <w:pPr>
        <w:ind w:left="1020" w:right="3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HLBV method, our share of earnings and losses for each period are calculated based on the difference between the amount we would receive in liquidation at the beginning and end of each period presented, adjusted for any distributions or contributions and basis differences between the initial fair value of the investment in Gannet BioChem and our claim on the net assets of Gannet BioChem. Our initial fair value of Gannet BioChem was estimated to be approximately $12.2 million as further described in Note 12 to the 2024 Consolidated Financial Statements.</w:t>
      </w:r>
    </w:p>
    <w:p>
      <w:pPr>
        <w:spacing w:after="0" w:line="75" w:lineRule="exact"/>
        <w:rPr>
          <w:rFonts w:ascii="Times New Roman" w:cs="Times New Roman" w:eastAsia="Times New Roman" w:hAnsi="Times New Roman"/>
          <w:sz w:val="18"/>
          <w:szCs w:val="18"/>
          <w:color w:val="auto"/>
        </w:rPr>
      </w:pPr>
    </w:p>
    <w:p>
      <w:pPr>
        <w:ind w:left="1020"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condensed consolidated pro forma statement of operations, we assumed no distributions or contributions were made from or to Gannet BioChem during the year ended December 31, 2024, other than the initial contributions by Ampersand and us, and we estimated the changes in our claims on Gannet BioChem’s net assets based on the adjustments reflected in (a) through (d) and the estimated effects of the Ampersand’s liquidation preference. Accordingly, the changes in Gannet BioChem’s net assets do not reflect the effects of basis differences relate to Gannet BioChem’s accounting for the Transaction or resulting depreciation and amortization changes, differences in accounting policies, differences in amounts of stock-based compensation expense between our historical plan and a plan, if any, in Gannet BioChem’s stock, and other costs and expenses that Gannet BioChem may incur on a standalone basis because such effects are not yet known or are subject to additional analysis to be completed by Gannet BioChem.</w:t>
      </w:r>
    </w:p>
    <w:p>
      <w:pPr>
        <w:spacing w:after="0" w:line="8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below table reconciles the net adjustment to other income (expense), net for (d) and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6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FFFFFF"/>
        </w:rPr>
        <w:t>x</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Amounts due from Gannet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BioChem under Services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Share of Gannet BioChem's</w:t>
            </w: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199"/>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(7,690 )</w:t>
            </w:r>
          </w:p>
        </w:tc>
        <w:tc>
          <w:tcPr>
            <w:tcW w:w="52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(7,572 )</w:t>
            </w:r>
          </w:p>
        </w:tc>
      </w:tr>
      <w:tr>
        <w:trPr>
          <w:trHeight w:val="20"/>
        </w:trPr>
        <w:tc>
          <w:tcPr>
            <w:tcW w:w="35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(7,690 )</w:t>
            </w: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(7,572 )</w:t>
            </w:r>
          </w:p>
        </w:tc>
      </w:tr>
      <w:tr>
        <w:trPr>
          <w:trHeight w:val="20"/>
        </w:trPr>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-162560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-162560</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below table reconciles the changes in Nektar’s share of Gannet BioChem’s net assets for the year ended December 31, 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FFFFFF"/>
              </w:rPr>
              <w:t>x</w:t>
            </w:r>
          </w:p>
        </w:tc>
      </w:tr>
      <w:tr>
        <w:trPr>
          <w:trHeight w:val="203"/>
        </w:trPr>
        <w:tc>
          <w:tcPr>
            <w:tcW w:w="9240" w:type="dxa"/>
            <w:vAlign w:val="bottom"/>
          </w:tcPr>
          <w:p>
            <w:pPr>
              <w:spacing w:after="0"/>
              <w:rPr>
                <w:sz w:val="17"/>
                <w:szCs w:val="17"/>
                <w:color w:val="auto"/>
              </w:rPr>
            </w:pPr>
          </w:p>
        </w:tc>
        <w:tc>
          <w:tcPr>
            <w:tcW w:w="2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5"/>
        </w:trPr>
        <w:tc>
          <w:tcPr>
            <w:tcW w:w="9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19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Claim on net assets of Gannet BioChem - beginning of year</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12,218</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Claim on net assets of Gannet BioChem - end of year</w:t>
            </w: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00" w:type="dxa"/>
            <w:vAlign w:val="bottom"/>
          </w:tcPr>
          <w:p>
            <w:pPr>
              <w:spacing w:after="0"/>
              <w:rPr>
                <w:sz w:val="17"/>
                <w:szCs w:val="17"/>
                <w:color w:val="auto"/>
              </w:rPr>
            </w:pPr>
          </w:p>
        </w:tc>
      </w:tr>
      <w:tr>
        <w:trPr>
          <w:trHeight w:val="23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Change in claim on net assets of Gannet BioChem</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(7,690 )</w:t>
            </w:r>
          </w:p>
        </w:tc>
      </w:tr>
      <w:tr>
        <w:trPr>
          <w:trHeight w:val="568"/>
        </w:trPr>
        <w:tc>
          <w:tcPr>
            <w:tcW w:w="9240" w:type="dxa"/>
            <w:vAlign w:val="bottom"/>
            <w:tcBorders>
              <w:top w:val="single" w:sz="8" w:color="CFF0FC"/>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lvl w:ilvl="1">
      <w:lvlJc w:val="left"/>
      <w:lvlText w:val="o"/>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1)"/>
      <w:numFmt w:val="decimal"/>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1)"/>
      <w:numFmt w:val="lowerRoman"/>
      <w:start w:val="4"/>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1."/>
      <w:numFmt w:val="decimal"/>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1)"/>
      <w:numFmt w:val="decimal"/>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emdash "/>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1)"/>
      <w:numFmt w:val="decimal"/>
      <w:start w:val="1"/>
    </w:lvl>
  </w:abstractNum>
  <w:abstractNum w:abstractNumId="38">
    <w:nsid w:val="51D9C564"/>
    <w:multiLevelType w:val="hybridMultilevel"/>
    <w:lvl w:ilvl="0">
      <w:lvlJc w:val="left"/>
      <w:lvlText w:val="%1)"/>
      <w:numFmt w:val="lowerLetter"/>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1)"/>
      <w:numFmt w:val="lowerLetter"/>
      <w:start w:val="1"/>
    </w:lvl>
  </w:abstractNum>
  <w:abstractNum w:abstractNumId="41">
    <w:nsid w:val="11447B73"/>
    <w:multiLevelType w:val="hybridMultilevel"/>
    <w:lvl w:ilvl="0">
      <w:lvlJc w:val="left"/>
      <w:lvlText w:val="(%1)"/>
      <w:numFmt w:val="decimal"/>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1)"/>
      <w:numFmt w:val="decimal"/>
      <w:start w:val="1"/>
    </w:lvl>
  </w:abstractNum>
  <w:abstractNum w:abstractNumId="49">
    <w:nsid w:val="60B6DF70"/>
    <w:multiLevelType w:val="hybridMultilevel"/>
    <w:lvl w:ilvl="0">
      <w:lvlJc w:val="left"/>
      <w:lvlText w:val="(%1)"/>
      <w:numFmt w:val="decimal"/>
      <w:start w:val="1"/>
    </w:lvl>
  </w:abstractNum>
  <w:abstractNum w:abstractNumId="50">
    <w:nsid w:val="6A5EE64"/>
    <w:multiLevelType w:val="hybridMultilevel"/>
    <w:lvl w:ilvl="0">
      <w:lvlJc w:val="left"/>
      <w:lvlText w:val="(%1)"/>
      <w:numFmt w:val="decimal"/>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1)"/>
      <w:numFmt w:val="decimal"/>
      <w:start w:val="1"/>
    </w:lvl>
  </w:abstractNum>
  <w:abstractNum w:abstractNumId="56">
    <w:nsid w:val="7FB7E0AA"/>
    <w:multiLevelType w:val="hybridMultilevel"/>
    <w:lvl w:ilvl="0">
      <w:lvlJc w:val="left"/>
      <w:lvlText w:val="(%1)"/>
      <w:numFmt w:val="decimal"/>
      <w:start w:val="5"/>
    </w:lvl>
  </w:abstractNum>
  <w:abstractNum w:abstractNumId="57">
    <w:nsid w:val="6EB5BD4"/>
    <w:multiLevelType w:val="hybridMultilevel"/>
    <w:lvl w:ilvl="0">
      <w:lvlJc w:val="left"/>
      <w:lvlText w:val="(%1)"/>
      <w:numFmt w:val="decimal"/>
      <w:start w:val="1"/>
    </w:lvl>
  </w:abstractNum>
  <w:abstractNum w:abstractNumId="58">
    <w:nsid w:val="6F6DD9AC"/>
    <w:multiLevelType w:val="hybridMultilevel"/>
    <w:lvl w:ilvl="0">
      <w:lvlJc w:val="left"/>
      <w:lvlText w:val="(%1)"/>
      <w:numFmt w:val="decimal"/>
      <w:start w:val="3"/>
    </w:lvl>
  </w:abstractNum>
  <w:abstractNum w:abstractNumId="59">
    <w:nsid w:val="94211F2"/>
    <w:multiLevelType w:val="hybridMultilevel"/>
    <w:lvl w:ilvl="0">
      <w:lvlJc w:val="left"/>
      <w:lvlText w:val="(%1)"/>
      <w:numFmt w:val="decimal"/>
      <w:start w:val="1"/>
    </w:lvl>
  </w:abstractNum>
  <w:abstractNum w:abstractNumId="60">
    <w:nsid w:val="885E1B"/>
    <w:multiLevelType w:val="hybridMultilevel"/>
    <w:lvl w:ilvl="0">
      <w:lvlJc w:val="left"/>
      <w:lvlText w:val="(%1)"/>
      <w:numFmt w:val="decimal"/>
      <w:start w:val="1"/>
    </w:lvl>
  </w:abstractNum>
  <w:abstractNum w:abstractNumId="61">
    <w:nsid w:val="76272110"/>
    <w:multiLevelType w:val="hybridMultilevel"/>
    <w:lvl w:ilvl="0">
      <w:lvlJc w:val="left"/>
      <w:lvlText w:val="(%1)"/>
      <w:numFmt w:val="decimal"/>
      <w:start w:val="1"/>
    </w:lvl>
  </w:abstractNum>
  <w:abstractNum w:abstractNumId="62">
    <w:nsid w:val="4C04A8AF"/>
    <w:multiLevelType w:val="hybridMultilevel"/>
    <w:lvl w:ilvl="0">
      <w:lvlJc w:val="left"/>
      <w:lvlText w:val="(%1)"/>
      <w:numFmt w:val="decimal"/>
      <w:start w:val="24"/>
    </w:lvl>
  </w:abstractNum>
  <w:abstractNum w:abstractNumId="63">
    <w:nsid w:val="1716703B"/>
    <w:multiLevelType w:val="hybridMultilevel"/>
    <w:lvl w:ilvl="0">
      <w:lvlJc w:val="left"/>
      <w:lvlText w:val="(%1)"/>
      <w:numFmt w:val="decimal"/>
      <w:start w:val="1"/>
    </w:lvl>
  </w:abstractNum>
  <w:abstractNum w:abstractNumId="64">
    <w:nsid w:val="14E17E33"/>
    <w:multiLevelType w:val="hybridMultilevel"/>
    <w:lvl w:ilvl="0">
      <w:lvlJc w:val="left"/>
      <w:lvlText w:val="(%1)"/>
      <w:numFmt w:val="decimal"/>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lvl w:ilvl="1">
      <w:lvlJc w:val="left"/>
      <w:lvlText w:val="(%2)"/>
      <w:numFmt w:val="decimal"/>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1)"/>
      <w:numFmt w:val="lowerLetter"/>
      <w:start w:val="1"/>
    </w:lvl>
  </w:abstractNum>
  <w:abstractNum w:abstractNumId="69">
    <w:nsid w:val="46B7D447"/>
    <w:multiLevelType w:val="hybridMultilevel"/>
    <w:lvl w:ilvl="0">
      <w:lvlJc w:val="left"/>
      <w:lvlText w:val="(%1)"/>
      <w:numFmt w:val="decimal"/>
      <w:start w:val="1"/>
    </w:lvl>
  </w:abstractNum>
  <w:abstractNum w:abstractNumId="70">
    <w:nsid w:val="4A2AC315"/>
    <w:multiLevelType w:val="hybridMultilevel"/>
    <w:lvl w:ilvl="0">
      <w:lvlJc w:val="left"/>
      <w:lvlText w:val="(%1)"/>
      <w:numFmt w:val="decimal"/>
      <w:start w:val="2"/>
    </w:lvl>
  </w:abstractNum>
  <w:abstractNum w:abstractNumId="71">
    <w:nsid w:val="39EE015C"/>
    <w:multiLevelType w:val="hybridMultilevel"/>
    <w:lvl w:ilvl="0">
      <w:lvlJc w:val="left"/>
      <w:lvlText w:val="(%1)"/>
      <w:numFmt w:val="decimal"/>
      <w:start w:val="3"/>
    </w:lvl>
  </w:abstractNum>
  <w:abstractNum w:abstractNumId="72">
    <w:nsid w:val="57FC4FBB"/>
    <w:multiLevelType w:val="hybridMultilevel"/>
    <w:lvl w:ilvl="0">
      <w:lvlJc w:val="left"/>
      <w:lvlText w:val="%1"/>
      <w:numFmt w:val="decimal"/>
      <w:start w:val="97"/>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1)"/>
      <w:numFmt w:val="decimal"/>
      <w:start w:val="1"/>
    </w:lvl>
  </w:abstractNum>
  <w:abstractNum w:abstractNumId="75">
    <w:nsid w:val="60EF0119"/>
    <w:multiLevelType w:val="hybridMultilevel"/>
    <w:lvl w:ilvl="0">
      <w:lvlJc w:val="left"/>
      <w:lvlText w:val="(%1)"/>
      <w:numFmt w:val="decimal"/>
      <w:start w:val="14"/>
    </w:lvl>
  </w:abstractNum>
  <w:abstractNum w:abstractNumId="76">
    <w:nsid w:val="26F324BA"/>
    <w:multiLevelType w:val="hybridMultilevel"/>
    <w:lvl w:ilvl="0">
      <w:lvlJc w:val="left"/>
      <w:lvlText w:val="%1."/>
      <w:numFmt w:val="decimal"/>
      <w:start w:val="1"/>
    </w:lvl>
    <w:lvl w:ilvl="1">
      <w:lvlJc w:val="left"/>
      <w:lvlText w:val="•"/>
      <w:numFmt w:val="bullet"/>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1."/>
      <w:numFmt w:val="decimal"/>
      <w:start w:val="2"/>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1."/>
      <w:numFmt w:val="decimal"/>
      <w:start w:val="3"/>
    </w:lvl>
    <w:lvl w:ilvl="1">
      <w:lvlJc w:val="left"/>
      <w:lvlText w:val="%2."/>
      <w:numFmt w:val="lowerLetter"/>
      <w:start w:val="1"/>
    </w:lvl>
  </w:abstractNum>
  <w:abstractNum w:abstractNumId="81">
    <w:nsid w:val="50801EE1"/>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1."/>
      <w:numFmt w:val="lowerLetter"/>
      <w:start w:val="2"/>
    </w:lvl>
    <w:lvl w:ilvl="1">
      <w:lvlJc w:val="left"/>
      <w:lvlText w:val="•"/>
      <w:numFmt w:val="bullet"/>
      <w:start w:val="1"/>
    </w:lvl>
  </w:abstractNum>
  <w:abstractNum w:abstractNumId="84">
    <w:nsid w:val="6AA78F7F"/>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85">
    <w:nsid w:val="7672BD23"/>
    <w:multiLevelType w:val="hybridMultilevel"/>
    <w:lvl w:ilvl="0">
      <w:lvlJc w:val="left"/>
      <w:lvlText w:val="%1."/>
      <w:numFmt w:val="lowerLetter"/>
      <w:start w:val="2"/>
    </w:lvl>
  </w:abstractNum>
  <w:abstractNum w:abstractNumId="86">
    <w:nsid w:val="6FC75AF8"/>
    <w:multiLevelType w:val="hybridMultilevel"/>
    <w:lvl w:ilvl="0">
      <w:lvlJc w:val="left"/>
      <w:lvlText w:val="%1."/>
      <w:numFmt w:val="lowerLetter"/>
      <w:start w:val="3"/>
    </w:lvl>
  </w:abstractNum>
  <w:abstractNum w:abstractNumId="87">
    <w:nsid w:val="6A5F7029"/>
    <w:multiLevelType w:val="hybridMultilevel"/>
    <w:lvl w:ilvl="0">
      <w:lvlJc w:val="left"/>
      <w:lvlText w:val="%1."/>
      <w:numFmt w:val="decimal"/>
      <w:start w:val="8"/>
    </w:lvl>
  </w:abstractNum>
  <w:abstractNum w:abstractNumId="88">
    <w:nsid w:val="7D5E18F8"/>
    <w:multiLevelType w:val="hybridMultilevel"/>
    <w:lvl w:ilvl="0">
      <w:lvlJc w:val="left"/>
      <w:lvlText w:val="%1."/>
      <w:numFmt w:val="decimal"/>
      <w:start w:val="14"/>
    </w:lvl>
  </w:abstractNum>
  <w:abstractNum w:abstractNumId="89">
    <w:nsid w:val="5F3534A4"/>
    <w:multiLevelType w:val="hybridMultilevel"/>
    <w:lvl w:ilvl="0">
      <w:lvlJc w:val="left"/>
      <w:lvlText w:val="%1."/>
      <w:numFmt w:val="decimal"/>
      <w:start w:val="18"/>
    </w:lvl>
  </w:abstractNum>
  <w:abstractNum w:abstractNumId="90">
    <w:nsid w:val="73A1821B"/>
    <w:multiLevelType w:val="hybridMultilevel"/>
    <w:lvl w:ilvl="0">
      <w:lvlJc w:val="left"/>
      <w:lvlText w:val="%1."/>
      <w:numFmt w:val="decimal"/>
      <w:start w:val="22"/>
    </w:lvl>
  </w:abstractNum>
  <w:abstractNum w:abstractNumId="91">
    <w:nsid w:val="7DE67713"/>
    <w:multiLevelType w:val="hybridMultilevel"/>
    <w:lvl w:ilvl="0">
      <w:lvlJc w:val="left"/>
      <w:lvlText w:val="%1."/>
      <w:numFmt w:val="lowerLetter"/>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1)"/>
      <w:numFmt w:val="decimal"/>
      <w:start w:val="1"/>
    </w:lvl>
  </w:abstractNum>
  <w:abstractNum w:abstractNumId="94">
    <w:nsid w:val="14FCE74E"/>
    <w:multiLevelType w:val="hybridMultilevel"/>
    <w:lvl w:ilvl="0">
      <w:lvlJc w:val="left"/>
      <w:lvlText w:val="%1."/>
      <w:numFmt w:val="decimal"/>
      <w:start w:val="1"/>
    </w:lvl>
    <w:lvl w:ilvl="1">
      <w:lvlJc w:val="left"/>
      <w:lvlText w:val="%2)"/>
      <w:numFmt w:val="lowerLetter"/>
      <w:start w:val="1"/>
    </w:lvl>
  </w:abstractNum>
  <w:abstractNum w:abstractNumId="95">
    <w:nsid w:val="6A3DD3E8"/>
    <w:multiLevelType w:val="hybridMultilevel"/>
    <w:lvl w:ilvl="0">
      <w:lvlJc w:val="left"/>
      <w:lvlText w:val="%1."/>
      <w:numFmt w:val="decimal"/>
      <w:start w:val="1"/>
    </w:lvl>
    <w:lvl w:ilvl="1">
      <w:lvlJc w:val="left"/>
      <w:lvlText w:val="%2)"/>
      <w:numFmt w:val="lowerLetter"/>
      <w:start w:val="1"/>
    </w:lvl>
  </w:abstractNum>
  <w:abstractNum w:abstractNumId="96">
    <w:nsid w:val="71C91298"/>
    <w:multiLevelType w:val="hybridMultilevel"/>
    <w:lvl w:ilvl="0">
      <w:lvlJc w:val="left"/>
      <w:lvlText w:val="%1."/>
      <w:numFmt w:val="decimal"/>
      <w:start w:val="1"/>
    </w:lvl>
  </w:abstractNum>
  <w:abstractNum w:abstractNumId="97">
    <w:nsid w:val="9DAF632"/>
    <w:multiLevelType w:val="hybridMultilevel"/>
    <w:lvl w:ilvl="0">
      <w:lvlJc w:val="left"/>
      <w:lvlText w:val="*"/>
      <w:numFmt w:val="bullet"/>
      <w:start w:val="1"/>
    </w:lvl>
  </w:abstractNum>
  <w:abstractNum w:abstractNumId="98">
    <w:nsid w:val="53299938"/>
    <w:multiLevelType w:val="hybridMultilevel"/>
    <w:lvl w:ilvl="0">
      <w:lvlJc w:val="left"/>
      <w:lvlText w:val="%1."/>
      <w:numFmt w:val="decimal"/>
      <w:start w:val="1"/>
    </w:lvl>
  </w:abstractNum>
  <w:abstractNum w:abstractNumId="99">
    <w:nsid w:val="1FBFE8E0"/>
    <w:multiLevelType w:val="hybridMultilevel"/>
    <w:lvl w:ilvl="0">
      <w:lvlJc w:val="left"/>
      <w:lvlText w:val="%1."/>
      <w:numFmt w:val="decimal"/>
      <w:start w:val="2"/>
    </w:lvl>
  </w:abstractNum>
  <w:abstractNum w:abstractNumId="100">
    <w:nsid w:val="5092CA79"/>
    <w:multiLevelType w:val="hybridMultilevel"/>
    <w:lvl w:ilvl="0">
      <w:lvlJc w:val="left"/>
      <w:lvlText w:val="%1."/>
      <w:numFmt w:val="decimal"/>
      <w:start w:val="3"/>
    </w:lvl>
    <w:lvl w:ilvl="1">
      <w:lvlJc w:val="left"/>
      <w:lvlText w:val="%2."/>
      <w:numFmt w:val="lowerLetter"/>
      <w:start w:val="1"/>
    </w:lvl>
  </w:abstractNum>
  <w:abstractNum w:abstractNumId="101">
    <w:nsid w:val="1D545C4D"/>
    <w:multiLevelType w:val="hybridMultilevel"/>
    <w:lvl w:ilvl="0">
      <w:lvlJc w:val="left"/>
      <w:lvlText w:val="%1."/>
      <w:numFmt w:val="lowerLetter"/>
      <w:start w:val="6"/>
    </w:lvl>
  </w:abstractNum>
  <w:abstractNum w:abstractNumId="102">
    <w:nsid w:val="59ADEA3D"/>
    <w:multiLevelType w:val="hybridMultilevel"/>
    <w:lvl w:ilvl="0">
      <w:lvlJc w:val="left"/>
      <w:lvlText w:val="%1"/>
      <w:numFmt w:val="decimal"/>
      <w:start w:val="1"/>
    </w:lvl>
    <w:lvl w:ilvl="1">
      <w:lvlJc w:val="left"/>
      <w:lvlText w:val="%2."/>
      <w:numFmt w:val="lowerLetter"/>
      <w:start w:val="10"/>
    </w:lvl>
  </w:abstractNum>
  <w:abstractNum w:abstractNumId="103">
    <w:nsid w:val="288F1A34"/>
    <w:multiLevelType w:val="hybridMultilevel"/>
    <w:lvl w:ilvl="0">
      <w:lvlJc w:val="left"/>
      <w:lvlText w:val="%1."/>
      <w:numFmt w:val="decimal"/>
      <w:start w:val="4"/>
    </w:lvl>
    <w:lvl w:ilvl="1">
      <w:lvlJc w:val="left"/>
      <w:lvlText w:val="%2"/>
      <w:numFmt w:val="lowerLetter"/>
      <w:start w:val="1"/>
    </w:lvl>
  </w:abstractNum>
  <w:abstractNum w:abstractNumId="104">
    <w:nsid w:val="2A155DBC"/>
    <w:multiLevelType w:val="hybridMultilevel"/>
    <w:lvl w:ilvl="0">
      <w:lvlJc w:val="left"/>
      <w:lvlText w:val="%1."/>
      <w:numFmt w:val="decimal"/>
      <w:start w:val="5"/>
    </w:lvl>
  </w:abstractNum>
  <w:abstractNum w:abstractNumId="105">
    <w:nsid w:val="1D9F6E5F"/>
    <w:multiLevelType w:val="hybridMultilevel"/>
    <w:lvl w:ilvl="0">
      <w:lvlJc w:val="left"/>
      <w:lvlText w:val="%1."/>
      <w:numFmt w:val="decimal"/>
      <w:start w:val="6"/>
    </w:lvl>
  </w:abstractNum>
  <w:abstractNum w:abstractNumId="106">
    <w:nsid w:val="97E1B4E"/>
    <w:multiLevelType w:val="hybridMultilevel"/>
    <w:lvl w:ilvl="0">
      <w:lvlJc w:val="left"/>
      <w:lvlText w:val="%1."/>
      <w:numFmt w:val="lowerLetter"/>
      <w:start w:val="1"/>
    </w:lvl>
  </w:abstractNum>
  <w:abstractNum w:abstractNumId="107">
    <w:nsid w:val="51088277"/>
    <w:multiLevelType w:val="hybridMultilevel"/>
    <w:lvl w:ilvl="0">
      <w:lvlJc w:val="left"/>
      <w:lvlText w:val="%1."/>
      <w:numFmt w:val="decimal"/>
      <w:start w:val="7"/>
    </w:lvl>
  </w:abstractNum>
  <w:abstractNum w:abstractNumId="108">
    <w:nsid w:val="1CA0C5FA"/>
    <w:multiLevelType w:val="hybridMultilevel"/>
    <w:lvl w:ilvl="0">
      <w:lvlJc w:val="left"/>
      <w:lvlText w:val="%1."/>
      <w:numFmt w:val="decimal"/>
      <w:start w:val="8"/>
    </w:lvl>
  </w:abstractNum>
  <w:abstractNum w:abstractNumId="109">
    <w:nsid w:val="53584BCB"/>
    <w:multiLevelType w:val="hybridMultilevel"/>
    <w:lvl w:ilvl="0">
      <w:lvlJc w:val="left"/>
      <w:lvlText w:val="%1."/>
      <w:numFmt w:val="decimal"/>
      <w:start w:val="9"/>
    </w:lvl>
  </w:abstractNum>
  <w:abstractNum w:abstractNumId="110">
    <w:nsid w:val="415E286C"/>
    <w:multiLevelType w:val="hybridMultilevel"/>
    <w:lvl w:ilvl="0">
      <w:lvlJc w:val="left"/>
      <w:lvlText w:val="(%1)"/>
      <w:numFmt w:val="lowerLetter"/>
      <w:start w:val="1"/>
    </w:lvl>
  </w:abstractNum>
  <w:abstractNum w:abstractNumId="111">
    <w:nsid w:val="7C58FD05"/>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400"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6" Type="http://schemas.openxmlformats.org/officeDocument/2006/relationships/image" Target="media/image383.png"/><Relationship Id="rId408" Type="http://schemas.openxmlformats.org/officeDocument/2006/relationships/image" Target="media/image384.png"/><Relationship Id="rId410" Type="http://schemas.openxmlformats.org/officeDocument/2006/relationships/image" Target="media/image385.png"/><Relationship Id="rId412" Type="http://schemas.openxmlformats.org/officeDocument/2006/relationships/image" Target="media/image386.png"/><Relationship Id="rId414" Type="http://schemas.openxmlformats.org/officeDocument/2006/relationships/image" Target="media/image387.png"/><Relationship Id="rId416" Type="http://schemas.openxmlformats.org/officeDocument/2006/relationships/image" Target="media/image388.png"/><Relationship Id="rId418"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3" Type="http://schemas.openxmlformats.org/officeDocument/2006/relationships/image" Target="media/image392.png"/><Relationship Id="rId424" Type="http://schemas.openxmlformats.org/officeDocument/2006/relationships/image" Target="media/image393.png"/><Relationship Id="rId426"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7" Type="http://schemas.openxmlformats.org/officeDocument/2006/relationships/image" Target="media/image402.png"/><Relationship Id="rId438" Type="http://schemas.openxmlformats.org/officeDocument/2006/relationships/image" Target="media/image403.png"/><Relationship Id="rId440" Type="http://schemas.openxmlformats.org/officeDocument/2006/relationships/image" Target="media/image404.png"/><Relationship Id="rId441" Type="http://schemas.openxmlformats.org/officeDocument/2006/relationships/image" Target="media/image405.png"/><Relationship Id="rId443" Type="http://schemas.openxmlformats.org/officeDocument/2006/relationships/image" Target="media/image406.png"/><Relationship Id="rId444" Type="http://schemas.openxmlformats.org/officeDocument/2006/relationships/image" Target="media/image407.png"/><Relationship Id="rId446" Type="http://schemas.openxmlformats.org/officeDocument/2006/relationships/image" Target="media/image408.png"/><Relationship Id="rId448" Type="http://schemas.openxmlformats.org/officeDocument/2006/relationships/image" Target="media/image409.png"/><Relationship Id="rId449" Type="http://schemas.openxmlformats.org/officeDocument/2006/relationships/image" Target="media/image410.png"/><Relationship Id="rId468" Type="http://schemas.openxmlformats.org/officeDocument/2006/relationships/image" Target="media/image411.png"/><Relationship Id="rId469" Type="http://schemas.openxmlformats.org/officeDocument/2006/relationships/image" Target="media/image412.png"/><Relationship Id="rId470" Type="http://schemas.openxmlformats.org/officeDocument/2006/relationships/image" Target="media/image413.png"/><Relationship Id="rId471" Type="http://schemas.openxmlformats.org/officeDocument/2006/relationships/image" Target="media/image414.png"/><Relationship Id="rId472" Type="http://schemas.openxmlformats.org/officeDocument/2006/relationships/image" Target="media/image415.png"/><Relationship Id="rId473" Type="http://schemas.openxmlformats.org/officeDocument/2006/relationships/image" Target="media/image416.png"/><Relationship Id="rId474" Type="http://schemas.openxmlformats.org/officeDocument/2006/relationships/image" Target="media/image417.png"/><Relationship Id="rId475" Type="http://schemas.openxmlformats.org/officeDocument/2006/relationships/image" Target="media/image418.png"/><Relationship Id="rId476" Type="http://schemas.openxmlformats.org/officeDocument/2006/relationships/image" Target="media/image419.png"/><Relationship Id="rId477" Type="http://schemas.openxmlformats.org/officeDocument/2006/relationships/image" Target="media/image420.png"/><Relationship Id="rId478" Type="http://schemas.openxmlformats.org/officeDocument/2006/relationships/image" Target="media/image421.png"/><Relationship Id="rId479" Type="http://schemas.openxmlformats.org/officeDocument/2006/relationships/image" Target="media/image422.png"/><Relationship Id="rId480" Type="http://schemas.openxmlformats.org/officeDocument/2006/relationships/image" Target="media/image423.png"/><Relationship Id="rId481" Type="http://schemas.openxmlformats.org/officeDocument/2006/relationships/image" Target="media/image424.png"/><Relationship Id="rId482" Type="http://schemas.openxmlformats.org/officeDocument/2006/relationships/image" Target="media/image425.png"/><Relationship Id="rId483" Type="http://schemas.openxmlformats.org/officeDocument/2006/relationships/image" Target="media/image426.png"/><Relationship Id="rId484" Type="http://schemas.openxmlformats.org/officeDocument/2006/relationships/image" Target="media/image427.png"/><Relationship Id="rId485" Type="http://schemas.openxmlformats.org/officeDocument/2006/relationships/image" Target="media/image428.png"/><Relationship Id="rId486" Type="http://schemas.openxmlformats.org/officeDocument/2006/relationships/image" Target="media/image429.png"/><Relationship Id="rId487" Type="http://schemas.openxmlformats.org/officeDocument/2006/relationships/image" Target="media/image430.png"/><Relationship Id="rId488" Type="http://schemas.openxmlformats.org/officeDocument/2006/relationships/image" Target="media/image431.png"/><Relationship Id="rId489" Type="http://schemas.openxmlformats.org/officeDocument/2006/relationships/image" Target="media/image432.png"/><Relationship Id="rId490" Type="http://schemas.openxmlformats.org/officeDocument/2006/relationships/image" Target="media/image433.png"/><Relationship Id="rId491" Type="http://schemas.openxmlformats.org/officeDocument/2006/relationships/image" Target="media/image434.png"/><Relationship Id="rId492" Type="http://schemas.openxmlformats.org/officeDocument/2006/relationships/image" Target="media/image435.png"/><Relationship Id="rId493" Type="http://schemas.openxmlformats.org/officeDocument/2006/relationships/image" Target="media/image436.png"/><Relationship Id="rId494" Type="http://schemas.openxmlformats.org/officeDocument/2006/relationships/image" Target="media/image437.png"/><Relationship Id="rId495" Type="http://schemas.openxmlformats.org/officeDocument/2006/relationships/image" Target="media/image438.png"/><Relationship Id="rId496" Type="http://schemas.openxmlformats.org/officeDocument/2006/relationships/image" Target="media/image439.png"/><Relationship Id="rId497" Type="http://schemas.openxmlformats.org/officeDocument/2006/relationships/image" Target="media/image440.png"/><Relationship Id="rId498" Type="http://schemas.openxmlformats.org/officeDocument/2006/relationships/image" Target="media/image441.png"/><Relationship Id="rId499" Type="http://schemas.openxmlformats.org/officeDocument/2006/relationships/image" Target="media/image442.png"/><Relationship Id="rId500" Type="http://schemas.openxmlformats.org/officeDocument/2006/relationships/image" Target="media/image443.png"/><Relationship Id="rId501" Type="http://schemas.openxmlformats.org/officeDocument/2006/relationships/image" Target="media/image444.png"/><Relationship Id="rId502" Type="http://schemas.openxmlformats.org/officeDocument/2006/relationships/image" Target="media/image445.png"/><Relationship Id="rId503" Type="http://schemas.openxmlformats.org/officeDocument/2006/relationships/image" Target="media/image446.png"/><Relationship Id="rId504" Type="http://schemas.openxmlformats.org/officeDocument/2006/relationships/image" Target="media/image447.png"/><Relationship Id="rId505" Type="http://schemas.openxmlformats.org/officeDocument/2006/relationships/image" Target="media/image448.png"/><Relationship Id="rId506" Type="http://schemas.openxmlformats.org/officeDocument/2006/relationships/image" Target="media/image449.png"/><Relationship Id="rId507" Type="http://schemas.openxmlformats.org/officeDocument/2006/relationships/image" Target="media/image450.png"/><Relationship Id="rId508" Type="http://schemas.openxmlformats.org/officeDocument/2006/relationships/image" Target="media/image451.png"/><Relationship Id="rId509" Type="http://schemas.openxmlformats.org/officeDocument/2006/relationships/image" Target="media/image452.png"/><Relationship Id="rId510" Type="http://schemas.openxmlformats.org/officeDocument/2006/relationships/image" Target="media/image453.png"/><Relationship Id="rId511" Type="http://schemas.openxmlformats.org/officeDocument/2006/relationships/image" Target="media/image454.png"/><Relationship Id="rId512" Type="http://schemas.openxmlformats.org/officeDocument/2006/relationships/image" Target="media/image455.png"/><Relationship Id="rId513" Type="http://schemas.openxmlformats.org/officeDocument/2006/relationships/image" Target="media/image456.png"/><Relationship Id="rId514" Type="http://schemas.openxmlformats.org/officeDocument/2006/relationships/image" Target="media/image457.png"/><Relationship Id="rId515" Type="http://schemas.openxmlformats.org/officeDocument/2006/relationships/image" Target="media/image458.png"/><Relationship Id="rId516" Type="http://schemas.openxmlformats.org/officeDocument/2006/relationships/image" Target="media/image459.png"/><Relationship Id="rId517" Type="http://schemas.openxmlformats.org/officeDocument/2006/relationships/image" Target="media/image460.png"/><Relationship Id="rId518" Type="http://schemas.openxmlformats.org/officeDocument/2006/relationships/image" Target="media/image461.png"/><Relationship Id="rId519" Type="http://schemas.openxmlformats.org/officeDocument/2006/relationships/image" Target="media/image462.png"/><Relationship Id="rId520" Type="http://schemas.openxmlformats.org/officeDocument/2006/relationships/image" Target="media/image463.png"/><Relationship Id="rId521" Type="http://schemas.openxmlformats.org/officeDocument/2006/relationships/image" Target="media/image464.png"/><Relationship Id="rId522" Type="http://schemas.openxmlformats.org/officeDocument/2006/relationships/image" Target="media/image465.png"/><Relationship Id="rId523" Type="http://schemas.openxmlformats.org/officeDocument/2006/relationships/image" Target="media/image466.png"/><Relationship Id="rId524" Type="http://schemas.openxmlformats.org/officeDocument/2006/relationships/image" Target="media/image467.png"/><Relationship Id="rId525" Type="http://schemas.openxmlformats.org/officeDocument/2006/relationships/image" Target="media/image468.png"/><Relationship Id="rId526" Type="http://schemas.openxmlformats.org/officeDocument/2006/relationships/image" Target="media/image469.png"/><Relationship Id="rId527" Type="http://schemas.openxmlformats.org/officeDocument/2006/relationships/image" Target="media/image470.png"/><Relationship Id="rId528" Type="http://schemas.openxmlformats.org/officeDocument/2006/relationships/image" Target="media/image471.png"/><Relationship Id="rId529" Type="http://schemas.openxmlformats.org/officeDocument/2006/relationships/image" Target="media/image472.png"/><Relationship Id="rId530" Type="http://schemas.openxmlformats.org/officeDocument/2006/relationships/image" Target="media/image473.png"/><Relationship Id="rId531" Type="http://schemas.openxmlformats.org/officeDocument/2006/relationships/image" Target="media/image474.png"/><Relationship Id="rId532" Type="http://schemas.openxmlformats.org/officeDocument/2006/relationships/image" Target="media/image475.png"/><Relationship Id="rId533" Type="http://schemas.openxmlformats.org/officeDocument/2006/relationships/image" Target="media/image476.png"/><Relationship Id="rId534" Type="http://schemas.openxmlformats.org/officeDocument/2006/relationships/image" Target="media/image477.png"/><Relationship Id="rId535" Type="http://schemas.openxmlformats.org/officeDocument/2006/relationships/image" Target="media/image478.png"/><Relationship Id="rId536" Type="http://schemas.openxmlformats.org/officeDocument/2006/relationships/image" Target="media/image479.png"/><Relationship Id="rId537" Type="http://schemas.openxmlformats.org/officeDocument/2006/relationships/image" Target="media/image480.png"/><Relationship Id="rId538" Type="http://schemas.openxmlformats.org/officeDocument/2006/relationships/image" Target="media/image481.png"/><Relationship Id="rId539" Type="http://schemas.openxmlformats.org/officeDocument/2006/relationships/image" Target="media/image482.png"/><Relationship Id="rId540" Type="http://schemas.openxmlformats.org/officeDocument/2006/relationships/image" Target="media/image483.png"/><Relationship Id="rId541" Type="http://schemas.openxmlformats.org/officeDocument/2006/relationships/image" Target="media/image484.png"/><Relationship Id="rId382" Type="http://schemas.openxmlformats.org/officeDocument/2006/relationships/hyperlink" Target="https://www.sec.gov/Archives/edgar/data/906709/0001047469-98-031070.txt" TargetMode="External"/><Relationship Id="rId383" Type="http://schemas.openxmlformats.org/officeDocument/2006/relationships/hyperlink" Target="https://www.sec.gov/Archives/edgar/data/906709/000091205700037283/ex-3_3.txt" TargetMode="External"/><Relationship Id="rId384" Type="http://schemas.openxmlformats.org/officeDocument/2006/relationships/hyperlink" Target="https://www.sec.gov/Archives/edgar/data/906709/000104746903002325/a2101294zex-3_1.htm" TargetMode="External"/><Relationship Id="rId385" Type="http://schemas.openxmlformats.org/officeDocument/2006/relationships/hyperlink" Target="https://www.sec.gov/Archives/edgar/data/906709/000114420410011093/v176023_ex3-6.htm" TargetMode="External"/><Relationship Id="rId386" Type="http://schemas.openxmlformats.org/officeDocument/2006/relationships/hyperlink" Target="https://www.sec.gov/Archives/edgar/data/906709/000121390022080498/ea170222ex3-1_nektartherap.htm" TargetMode="External"/><Relationship Id="rId387" Type="http://schemas.openxmlformats.org/officeDocument/2006/relationships/hyperlink" Target="https://www.sec.gov/Archives/edgar/data/906709/000121390020043821/ea132008ex3-1_nektartherap.htm" TargetMode="External"/><Relationship Id="rId388" Type="http://schemas.openxmlformats.org/officeDocument/2006/relationships/hyperlink" Target="https://www.sec.gov/Archives/edgar/data/906709/000104746903002325/a2101294zex-4_1.htm" TargetMode="External"/><Relationship Id="rId389" Type="http://schemas.openxmlformats.org/officeDocument/2006/relationships/hyperlink" Target="https://www.sec.gov/Archives/edgar/data/906709/000161577415002842/s101972_ex10-2.htm" TargetMode="External"/><Relationship Id="rId390" Type="http://schemas.openxmlformats.org/officeDocument/2006/relationships/hyperlink" Target="https://www.sec.gov/Archives/edgar/data/906709/000090670920000004/nktr20191231ex44.htm" TargetMode="External"/><Relationship Id="rId391" Type="http://schemas.openxmlformats.org/officeDocument/2006/relationships/hyperlink" Target="https://www.sec.gov/Archives/edgar/data/906709/000119312512089389/d262604dex107.htm" TargetMode="External"/><Relationship Id="rId392" Type="http://schemas.openxmlformats.org/officeDocument/2006/relationships/hyperlink" Target="https://www.sec.gov/Archives/edgar/data/906709/000119312512089389/d262604dex108.htm" TargetMode="External"/><Relationship Id="rId393" Type="http://schemas.openxmlformats.org/officeDocument/2006/relationships/hyperlink" Target="https://www.sec.gov/Archives/edgar/data/906709/000161577415001516/s101346_ex10-1.htm" TargetMode="External"/><Relationship Id="rId396" Type="http://schemas.openxmlformats.org/officeDocument/2006/relationships/hyperlink" Target="https://www.sec.gov/Archives/edgar/data/906709/000161577415003667/s102370_ex10-1.htm" TargetMode="External"/><Relationship Id="rId399" Type="http://schemas.openxmlformats.org/officeDocument/2006/relationships/hyperlink" Target="https://www.sec.gov/Archives/edgar/data/906709/000095017024094231/nktr-ex10_16.htm" TargetMode="External"/><Relationship Id="rId401" Type="http://schemas.openxmlformats.org/officeDocument/2006/relationships/hyperlink" Target="https://www.sec.gov/Archives/edgar/data/906709/000156459019005639/nktr-ex109_7.htm" TargetMode="External"/><Relationship Id="rId405" Type="http://schemas.openxmlformats.org/officeDocument/2006/relationships/hyperlink" Target="https://www.sec.gov/Archives/edgar/data/906709/000090670920000014/nktr-2020x06x30xexx102.htm" TargetMode="External"/><Relationship Id="rId407" Type="http://schemas.openxmlformats.org/officeDocument/2006/relationships/hyperlink" Target="https://www.sec.gov/Archives/edgar/data/0000906709/000090670920000009/nktr2020-03x31ex101.htm" TargetMode="External"/><Relationship Id="rId409" Type="http://schemas.openxmlformats.org/officeDocument/2006/relationships/hyperlink" Target="https://www.sec.gov/Archives/edgar/data/906709/000110465904022735/a04-8706_1ex10d4.htm" TargetMode="External"/><Relationship Id="rId411" Type="http://schemas.openxmlformats.org/officeDocument/2006/relationships/hyperlink" Target="https://www.sec.gov/Archives/edgar/data/906709/000119312507240872/dex104.htm" TargetMode="External"/><Relationship Id="rId413" Type="http://schemas.openxmlformats.org/officeDocument/2006/relationships/hyperlink" Target="https://www.sec.gov/Archives/edgar/data/906709/000136231009003350/c82049exv10w26.htm" TargetMode="External"/><Relationship Id="rId415" Type="http://schemas.openxmlformats.org/officeDocument/2006/relationships/hyperlink" Target="https://www.sec.gov/Archives/edgar/data/906709/000136231009003350/c82049exv10w27.htm" TargetMode="External"/><Relationship Id="rId417" Type="http://schemas.openxmlformats.org/officeDocument/2006/relationships/hyperlink" Target="https://www.sec.gov/Archives/edgar/data/906709/000095012311020657/f57959exv10w22.htm" TargetMode="External"/><Relationship Id="rId419" Type="http://schemas.openxmlformats.org/officeDocument/2006/relationships/hyperlink" Target="https://www.sec.gov/Archives/edgar/data/906709/000090670920000004/nktr20191231ex1017.htm" TargetMode="External"/><Relationship Id="rId422" Type="http://schemas.openxmlformats.org/officeDocument/2006/relationships/hyperlink" Target="https://www.sec.gov/Archives/edgar/data/906709/000090670919000010/nktr2019-09x30xexx101.htm" TargetMode="External"/><Relationship Id="rId425" Type="http://schemas.openxmlformats.org/officeDocument/2006/relationships/hyperlink" Target="https://www.sec.gov/Archives/edgar/data/906709/000090670920000004/nktr20191231ex1019.htm" TargetMode="External"/><Relationship Id="rId427" Type="http://schemas.openxmlformats.org/officeDocument/2006/relationships/hyperlink" Target="https://www.sec.gov/Archives/edgar/data/906709/000119312507240872/dex108.htm" TargetMode="External"/><Relationship Id="rId430" Type="http://schemas.openxmlformats.org/officeDocument/2006/relationships/hyperlink" Target="https://www.sec.gov/Archives/edgar/data/906709/000119312506167850/dex102.htm" TargetMode="External"/><Relationship Id="rId436" Type="http://schemas.openxmlformats.org/officeDocument/2006/relationships/hyperlink" Target="https://www.sec.gov/Archives/edgar/data/906709/000136231009003350/c82049exv10w34.htm" TargetMode="External"/><Relationship Id="rId439" Type="http://schemas.openxmlformats.org/officeDocument/2006/relationships/hyperlink" Target="https://www.sec.gov/Archives/edgar/data/906709/000136231009003350/c82049exv10w35.htm" TargetMode="External"/><Relationship Id="rId442" Type="http://schemas.openxmlformats.org/officeDocument/2006/relationships/hyperlink" Target="https://www.sec.gov/Archives/edgar/data/906709/000095012311020657/f57959exv10w31.htm" TargetMode="External"/><Relationship Id="rId445" Type="http://schemas.openxmlformats.org/officeDocument/2006/relationships/hyperlink" Target="https://www.sec.gov/Archives/edgar/data/906709/000114420409056637/v164533_ex10-1.htm" TargetMode="External"/><Relationship Id="rId447" Type="http://schemas.openxmlformats.org/officeDocument/2006/relationships/hyperlink" Target="https://www.sec.gov/Archives/edgar/data/906709/000156459016022647/nktr-ex101_193.htm" TargetMode="External"/><Relationship Id="rId450" Type="http://schemas.openxmlformats.org/officeDocument/2006/relationships/hyperlink" Target="https://www.sec.gov/Archives/edgar/data/906709/000156459017022445/nktr-ex101_179.htm" TargetMode="External"/><Relationship Id="rId451" Type="http://schemas.openxmlformats.org/officeDocument/2006/relationships/hyperlink" Target="https://www.sec.gov/Archives/edgar/data/906709/000161577415002842/s101972_ex10-1.htm" TargetMode="External"/><Relationship Id="rId452" Type="http://schemas.openxmlformats.org/officeDocument/2006/relationships/hyperlink" Target="https://www.sec.gov/Archives/edgar/data/906709/000161577415002842/s101972_ex10-3.htm" TargetMode="External"/><Relationship Id="rId453" Type="http://schemas.openxmlformats.org/officeDocument/2006/relationships/hyperlink" Target="https://www.sec.gov/Archives/edgar/data/906709/000119312512209441/d311622dex101.htm" TargetMode="External"/><Relationship Id="rId454" Type="http://schemas.openxmlformats.org/officeDocument/2006/relationships/hyperlink" Target="https://www.sec.gov/Archives/edgar/data/906709/000119312513433110/d594595dex101.htm" TargetMode="External"/><Relationship Id="rId455" Type="http://schemas.openxmlformats.org/officeDocument/2006/relationships/hyperlink" Target="https://www.sec.gov/Archives/edgar/data/906709/000156459018012975/nktr-ex41_103.htm" TargetMode="External"/><Relationship Id="rId456" Type="http://schemas.openxmlformats.org/officeDocument/2006/relationships/hyperlink" Target="https://www.sec.gov/Archives/edgar/data/906709/000156459018012975/nktr-ex101_104.htm" TargetMode="External"/><Relationship Id="rId457" Type="http://schemas.openxmlformats.org/officeDocument/2006/relationships/hyperlink" Target="https://www.sec.gov/Archives/edgar/data/0000906709/000090670921000005/nktr20201231-exx1035.htm" TargetMode="External"/><Relationship Id="rId458" Type="http://schemas.openxmlformats.org/officeDocument/2006/relationships/hyperlink" Target="https://www.sec.gov/Archives/edgar/data/906709/000090670920000004/nktr20191213ex1035.htm" TargetMode="External"/><Relationship Id="rId459" Type="http://schemas.openxmlformats.org/officeDocument/2006/relationships/hyperlink" Target="https://www.sec.gov/Archives/edgar/data/906709/000119312518044320/d499642dex101.htm" TargetMode="External"/><Relationship Id="rId460" Type="http://schemas.openxmlformats.org/officeDocument/2006/relationships/hyperlink" Target="https://www.sec.gov/Archives/edgar/data/906709/000156459018020709/nktr-ex101_86.htm" TargetMode="External"/><Relationship Id="rId461" Type="http://schemas.openxmlformats.org/officeDocument/2006/relationships/hyperlink" Target="https://www.sec.gov/Archives/edgar/data/906709/000090670921000005/nktr20201231-exx1039.htm" TargetMode="External"/><Relationship Id="rId462" Type="http://schemas.openxmlformats.org/officeDocument/2006/relationships/hyperlink" Target="https://www.sec.gov/Archives/edgar/data/906709/000090670922000005/nktr20211231-exx1040.htm" TargetMode="External"/><Relationship Id="rId463" Type="http://schemas.openxmlformats.org/officeDocument/2006/relationships/hyperlink" Target="https://www.sec.gov/Archives/edgar/data/906709/000090670922000014/nktr2022-06x30xexx102north.htm" TargetMode="External"/><Relationship Id="rId464" Type="http://schemas.openxmlformats.org/officeDocument/2006/relationships/hyperlink" Target="https://www.sec.gov/Archives/edgar/data/906709/000090670923000008/nktr2023-03x31xexx1011.htm" TargetMode="External"/><Relationship Id="rId465" Type="http://schemas.openxmlformats.org/officeDocument/2006/relationships/hyperlink" Target="https://www.sec.gov/Archives/edgar/data/906709/000090670923000012/thomsenemploymentseparatio.htm" TargetMode="External"/><Relationship Id="rId466" Type="http://schemas.openxmlformats.org/officeDocument/2006/relationships/hyperlink" Target="https://www.sec.gov/Archives/edgar/data/906709/000095017023060475/nktr-ex10_6.htm" TargetMode="External"/><Relationship Id="rId467" Type="http://schemas.openxmlformats.org/officeDocument/2006/relationships/hyperlink" Target="https://www.sec.gov/ix?doc=/Archives/edgar/data/906709/000095017024057312/nktr-2024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2025-03-14T15:16:45Z</dcterms:created>
  <dcterms:modified xsi:type="dcterms:W3CDTF">2025-03-14T15:16:45Z</dcterms:modified>
</cp:coreProperties>
</file>