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224790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3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213360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3"/>
          <w:szCs w:val="43"/>
          <w:b w:val="1"/>
          <w:bCs w:val="1"/>
          <w:color w:val="auto"/>
        </w:rPr>
        <w:t>NEKTAR THERAPEUTICS</w:t>
      </w:r>
    </w:p>
    <w:p>
      <w:pPr>
        <w:spacing w:after="0" w:line="5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49"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0-24006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94-3134940</w:t>
      </w:r>
    </w:p>
    <w:p>
      <w:pPr>
        <w:spacing w:after="0" w:line="37" w:lineRule="exact"/>
        <w:rPr>
          <w:sz w:val="24"/>
          <w:szCs w:val="24"/>
          <w:color w:val="auto"/>
        </w:rPr>
      </w:pPr>
    </w:p>
    <w:p>
      <w:pPr>
        <w:sectPr>
          <w:pgSz w:w="11900" w:h="16838" w:orient="portrait"/>
          <w:cols w:equalWidth="0" w:num="3">
            <w:col w:w="4820" w:space="720"/>
            <w:col w:w="2920" w:space="720"/>
            <w:col w:w="1840"/>
          </w:cols>
          <w:pgMar w:left="240" w:top="349"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0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68" w:lineRule="exact"/>
        <w:rPr>
          <w:sz w:val="24"/>
          <w:szCs w:val="24"/>
          <w:color w:val="auto"/>
        </w:rPr>
      </w:pPr>
    </w:p>
    <w:p>
      <w:pPr>
        <w:sectPr>
          <w:pgSz w:w="11900" w:h="16838" w:orient="portrait"/>
          <w:cols w:equalWidth="0" w:num="3">
            <w:col w:w="4340" w:space="720"/>
            <w:col w:w="3280" w:space="720"/>
            <w:col w:w="1960"/>
          </w:cols>
          <w:pgMar w:left="240" w:top="349" w:right="639" w:bottom="1440" w:gutter="0" w:footer="0" w:header="0"/>
          <w:type w:val="continuous"/>
        </w:sect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150 Industrial Road</w:t>
      </w:r>
    </w:p>
    <w:p>
      <w:pPr>
        <w:spacing w:after="0" w:line="2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San Carlos, California 94070</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35"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(650) 631-3100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227965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49" w:right="639" w:bottom="1440" w:gutter="0" w:footer="0" w:header="0"/>
          <w:type w:val="continuous"/>
        </w:sectPr>
      </w:pPr>
    </w:p>
    <w:p>
      <w:pPr>
        <w:spacing w:after="0" w:line="200" w:lineRule="exact"/>
        <w:rPr>
          <w:sz w:val="24"/>
          <w:szCs w:val="24"/>
          <w:color w:val="auto"/>
        </w:rPr>
      </w:pPr>
    </w:p>
    <w:p>
      <w:pPr>
        <w:spacing w:after="0" w:line="320"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49"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92" w:lineRule="exact"/>
        <w:rPr>
          <w:sz w:val="20"/>
          <w:szCs w:val="20"/>
          <w:color w:val="auto"/>
        </w:rPr>
      </w:pPr>
    </w:p>
    <w:p>
      <w:pPr>
        <w:ind w:left="900" w:hanging="446"/>
        <w:spacing w:after="0" w:line="258"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17, 2006, the Board of Directors of Nektar Therapeutics (the “Company”) adopted an amendment to the Company’s 2000 Equity Incentive Plan (the “Plan”) to increase the aggregate number of shares of common stock authorized for issuance under the Plan by 7,000,000 (the “Amendment”). The effectiveness of the Amendment was subject to stockholder approval. On June 1, 2006 the stockholders approved the Amendment and it became effective on that date.</w:t>
      </w:r>
    </w:p>
    <w:p>
      <w:pPr>
        <w:spacing w:after="0" w:line="55" w:lineRule="exact"/>
        <w:rPr>
          <w:rFonts w:ascii="Times New Roman" w:cs="Times New Roman" w:eastAsia="Times New Roman" w:hAnsi="Times New Roman"/>
          <w:sz w:val="18"/>
          <w:szCs w:val="18"/>
          <w:color w:val="auto"/>
        </w:rPr>
      </w:pPr>
    </w:p>
    <w:p>
      <w:pPr>
        <w:ind w:left="900" w:right="100" w:hanging="446"/>
        <w:spacing w:after="0" w:line="255"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 2006, the Board of Directors approved a compensation package for the second half of 2006 for Robert B. Chess, the Company’s Acting President and Chief Executive Officer and Chairman of the Board. Mr. Chess will receive an additional $280,000 in base compensation for his service as Acting President and Chief Executive Officer for the second half of 2006 (prorated for the number of months Mr. Chess serves in that role). Mr. Chess will also be eligible for bonus of up to $140,000 for the second half of 2006. In addition, on June 30, 2006, Mr. Chess will be granted the following stock awards under the Plan: (i) an option to purchase 50,000 shares of common stock at an exercise price equal to the closing price of Nektar’s common stock on the grant date; and (ii) a restricted stock unit award of 25,000 shares of common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68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6"/>
          <w:szCs w:val="16"/>
          <w:color w:val="auto"/>
        </w:rPr>
        <w:t>Nektar Therapeutics 2000 Equity Incentive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-130175</wp:posOffset>
            </wp:positionV>
            <wp:extent cx="6732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 w:name="page3"/>
    <w:bookmarkEnd w:id="2"/>
    <w:p>
      <w:pPr>
        <w:ind w:left="5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6860"/>
        <w:spacing w:after="0"/>
        <w:tabs>
          <w:tab w:leader="none" w:pos="8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Nevan C. Elam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color w:val="auto"/>
        </w:rPr>
        <w:t>Nevan C. Elam</w:t>
      </w:r>
    </w:p>
    <w:p>
      <w:pPr>
        <w:spacing w:after="0" w:line="21"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i w:val="1"/>
          <w:iCs w:val="1"/>
          <w:color w:val="auto"/>
        </w:rPr>
        <w:t>Senior Vice President Corporate</w:t>
      </w:r>
    </w:p>
    <w:p>
      <w:pPr>
        <w:spacing w:after="0" w:line="9"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i w:val="1"/>
          <w:iCs w:val="1"/>
          <w:color w:val="auto"/>
        </w:rPr>
        <w:t>Operations and General Counsel</w:t>
      </w:r>
    </w:p>
    <w:p>
      <w:pPr>
        <w:spacing w:after="0" w:line="2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June 7, 2006</w:t>
      </w:r>
    </w:p>
    <w:p>
      <w:pPr>
        <w:sectPr>
          <w:pgSz w:w="11900" w:h="16838" w:orient="portrait"/>
          <w:cols w:equalWidth="0" w:num="1">
            <w:col w:w="10860"/>
          </w:cols>
          <w:pgMar w:left="240" w:top="272" w:right="7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10.1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(formerly known as Inhale Therapeutic Systems, Inc.)</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2000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February 10, 1994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Shareholders February 18, 1994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March 27, 1996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 Board April 24, 1998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Shareholders June 23, 1998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 Board April 19, 2000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Shareholders June 6, 2000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for 2-for-1 Stock Split on August 22, 2000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 Board April 23, 2004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Shareholders June 17, 2004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 Board March 17, 2006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 Board May 23, 2006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Shareholders June 1, 2006</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Date: February 9, 2010</w:t>
      </w:r>
    </w:p>
    <w:p>
      <w:pPr>
        <w:spacing w:after="0" w:line="171"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URPOSES</w:t>
      </w:r>
      <w:r>
        <w:rPr>
          <w:rFonts w:ascii="Times New Roman" w:cs="Times New Roman" w:eastAsia="Times New Roman" w:hAnsi="Times New Roman"/>
          <w:sz w:val="18"/>
          <w:szCs w:val="18"/>
          <w:b w:val="1"/>
          <w:bCs w:val="1"/>
          <w:color w:val="auto"/>
        </w:rPr>
        <w:t>.</w:t>
      </w:r>
    </w:p>
    <w:p>
      <w:pPr>
        <w:spacing w:after="0" w:line="90" w:lineRule="exact"/>
        <w:rPr>
          <w:rFonts w:ascii="Times New Roman" w:cs="Times New Roman" w:eastAsia="Times New Roman" w:hAnsi="Times New Roman"/>
          <w:sz w:val="18"/>
          <w:szCs w:val="18"/>
          <w:b w:val="1"/>
          <w:bCs w:val="1"/>
          <w:color w:val="auto"/>
        </w:rPr>
      </w:pPr>
    </w:p>
    <w:p>
      <w:pPr>
        <w:ind w:right="200" w:firstLine="464"/>
        <w:spacing w:after="0" w:line="264" w:lineRule="auto"/>
        <w:tabs>
          <w:tab w:leader="none" w:pos="705"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 and Restatement. </w:t>
      </w:r>
      <w:r>
        <w:rPr>
          <w:rFonts w:ascii="Times New Roman" w:cs="Times New Roman" w:eastAsia="Times New Roman" w:hAnsi="Times New Roman"/>
          <w:sz w:val="18"/>
          <w:szCs w:val="18"/>
          <w:color w:val="auto"/>
        </w:rPr>
        <w:t>The 1994 Equity Incentive Plan initially was adopted on February 10, 1994 and amended and restated on April 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1998 (the “1994 Plan”). The 1994 Plan was amended and restated in its entirety, effective upon adoption by the Board, and renamed the “2000 Equity Incentive Plan.” The terms of the Plan shall apply to all Stock Awards granted pursuant to the Initial Plan.</w:t>
      </w:r>
    </w:p>
    <w:p>
      <w:pPr>
        <w:spacing w:after="0" w:line="127" w:lineRule="exact"/>
        <w:rPr>
          <w:rFonts w:ascii="Times New Roman" w:cs="Times New Roman" w:eastAsia="Times New Roman" w:hAnsi="Times New Roman"/>
          <w:sz w:val="18"/>
          <w:szCs w:val="18"/>
          <w:b w:val="1"/>
          <w:bCs w:val="1"/>
          <w:color w:val="auto"/>
        </w:rPr>
      </w:pPr>
    </w:p>
    <w:p>
      <w:pPr>
        <w:ind w:left="720" w:hanging="256"/>
        <w:spacing w:after="0"/>
        <w:tabs>
          <w:tab w:leader="none" w:pos="720" w:val="left"/>
        </w:tabs>
        <w:numPr>
          <w:ilvl w:val="1"/>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Eligible Stock Award Recipients</w:t>
      </w:r>
      <w:r>
        <w:rPr>
          <w:rFonts w:ascii="Times New Roman" w:cs="Times New Roman" w:eastAsia="Times New Roman" w:hAnsi="Times New Roman"/>
          <w:sz w:val="16"/>
          <w:szCs w:val="16"/>
          <w:color w:val="auto"/>
        </w:rPr>
        <w:t>. The persons eligible to receive Stock Awards are the Employees, Directors and Consultants of the Company and its</w:t>
      </w:r>
    </w:p>
    <w:p>
      <w:pPr>
        <w:spacing w:after="0" w:line="46"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Affiliates.</w:t>
      </w:r>
    </w:p>
    <w:p>
      <w:pPr>
        <w:spacing w:after="0" w:line="156" w:lineRule="exact"/>
        <w:rPr>
          <w:rFonts w:ascii="Times New Roman" w:cs="Times New Roman" w:eastAsia="Times New Roman" w:hAnsi="Times New Roman"/>
          <w:sz w:val="16"/>
          <w:szCs w:val="16"/>
          <w:b w:val="1"/>
          <w:bCs w:val="1"/>
          <w:color w:val="auto"/>
        </w:rPr>
      </w:pPr>
    </w:p>
    <w:p>
      <w:pPr>
        <w:ind w:right="200" w:firstLine="464"/>
        <w:spacing w:after="0" w:line="264" w:lineRule="auto"/>
        <w:tabs>
          <w:tab w:leader="none" w:pos="695"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 Stock Awards</w:t>
      </w:r>
      <w:r>
        <w:rPr>
          <w:rFonts w:ascii="Times New Roman" w:cs="Times New Roman" w:eastAsia="Times New Roman" w:hAnsi="Times New Roman"/>
          <w:sz w:val="18"/>
          <w:szCs w:val="18"/>
          <w:color w:val="auto"/>
        </w:rPr>
        <w:t>. The purpose of the Plan is to provide a means by which eligible recipients of Stock Awards may be given an opportunity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from increases in value of the Common Stock through the granting of the following Stock Awards: (i) Incentive Stock Options, (ii) Nonstatutory Stock Options, (iii) stock bonuses and (iv) rights to acquire restricted stock.</w:t>
      </w:r>
    </w:p>
    <w:p>
      <w:pPr>
        <w:spacing w:after="0" w:line="127" w:lineRule="exact"/>
        <w:rPr>
          <w:rFonts w:ascii="Times New Roman" w:cs="Times New Roman" w:eastAsia="Times New Roman" w:hAnsi="Times New Roman"/>
          <w:sz w:val="18"/>
          <w:szCs w:val="18"/>
          <w:b w:val="1"/>
          <w:bCs w:val="1"/>
          <w:color w:val="auto"/>
        </w:rPr>
      </w:pPr>
    </w:p>
    <w:p>
      <w:pPr>
        <w:jc w:val="both"/>
        <w:ind w:right="100" w:firstLine="464"/>
        <w:spacing w:after="0" w:line="264" w:lineRule="auto"/>
        <w:tabs>
          <w:tab w:leader="none" w:pos="715"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Purpose</w:t>
      </w:r>
      <w:r>
        <w:rPr>
          <w:rFonts w:ascii="Times New Roman" w:cs="Times New Roman" w:eastAsia="Times New Roman" w:hAnsi="Times New Roman"/>
          <w:sz w:val="18"/>
          <w:szCs w:val="18"/>
          <w:color w:val="auto"/>
        </w:rPr>
        <w:t>. The Company, by means of the Plan, seeks to retain the services of the group of persons eligible to receive Stock Awards, to secure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retain the services of new members of this group and to provide incentives for such persons to exert maximum efforts for the success of the Company and its Affiliates.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4" w:name="page5"/>
    <w:bookmarkEnd w:id="4"/>
    <w:p>
      <w:pPr>
        <w:ind w:left="172" w:hanging="172"/>
        <w:spacing w:after="0"/>
        <w:tabs>
          <w:tab w:leader="none" w:pos="17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88" w:lineRule="exact"/>
        <w:rPr>
          <w:rFonts w:ascii="Times New Roman" w:cs="Times New Roman" w:eastAsia="Times New Roman" w:hAnsi="Times New Roman"/>
          <w:sz w:val="18"/>
          <w:szCs w:val="18"/>
          <w:b w:val="1"/>
          <w:bCs w:val="1"/>
          <w:color w:val="auto"/>
        </w:rPr>
      </w:pPr>
    </w:p>
    <w:p>
      <w:pPr>
        <w:ind w:left="-8" w:right="300" w:firstLine="464"/>
        <w:spacing w:after="0" w:line="280" w:lineRule="auto"/>
        <w:tabs>
          <w:tab w:leader="none" w:pos="697"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parent corporation or subsidiary corporation of the Company, whether now or hereafter existing, as those terms are defined in Sections 424(e) and (f), respectively, of the Code.</w:t>
      </w:r>
    </w:p>
    <w:p>
      <w:pPr>
        <w:spacing w:after="0" w:line="111" w:lineRule="exact"/>
        <w:rPr>
          <w:rFonts w:ascii="Times New Roman" w:cs="Times New Roman" w:eastAsia="Times New Roman" w:hAnsi="Times New Roman"/>
          <w:sz w:val="18"/>
          <w:szCs w:val="18"/>
          <w:b w:val="1"/>
          <w:bCs w:val="1"/>
          <w:color w:val="auto"/>
        </w:rPr>
      </w:pPr>
    </w:p>
    <w:p>
      <w:pPr>
        <w:ind w:left="712" w:hanging="256"/>
        <w:spacing w:after="0"/>
        <w:tabs>
          <w:tab w:leader="none" w:pos="712"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171" w:lineRule="exact"/>
        <w:rPr>
          <w:rFonts w:ascii="Times New Roman" w:cs="Times New Roman" w:eastAsia="Times New Roman" w:hAnsi="Times New Roman"/>
          <w:sz w:val="18"/>
          <w:szCs w:val="18"/>
          <w:b w:val="1"/>
          <w:bCs w:val="1"/>
          <w:color w:val="auto"/>
        </w:rPr>
      </w:pPr>
    </w:p>
    <w:p>
      <w:pPr>
        <w:ind w:left="692" w:hanging="236"/>
        <w:spacing w:after="0"/>
        <w:tabs>
          <w:tab w:leader="none" w:pos="692"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71" w:lineRule="exact"/>
        <w:rPr>
          <w:rFonts w:ascii="Times New Roman" w:cs="Times New Roman" w:eastAsia="Times New Roman" w:hAnsi="Times New Roman"/>
          <w:sz w:val="18"/>
          <w:szCs w:val="18"/>
          <w:b w:val="1"/>
          <w:bCs w:val="1"/>
          <w:color w:val="auto"/>
        </w:rPr>
      </w:pPr>
    </w:p>
    <w:p>
      <w:pPr>
        <w:ind w:left="712" w:hanging="256"/>
        <w:spacing w:after="0"/>
        <w:tabs>
          <w:tab w:leader="none" w:pos="712"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appointed by the Board in accordance with subsection 3(c).</w:t>
      </w:r>
    </w:p>
    <w:p>
      <w:pPr>
        <w:spacing w:after="0" w:line="171" w:lineRule="exact"/>
        <w:rPr>
          <w:rFonts w:ascii="Times New Roman" w:cs="Times New Roman" w:eastAsia="Times New Roman" w:hAnsi="Times New Roman"/>
          <w:sz w:val="18"/>
          <w:szCs w:val="18"/>
          <w:b w:val="1"/>
          <w:bCs w:val="1"/>
          <w:color w:val="auto"/>
        </w:rPr>
      </w:pPr>
    </w:p>
    <w:p>
      <w:pPr>
        <w:ind w:left="692" w:hanging="236"/>
        <w:spacing w:after="0"/>
        <w:tabs>
          <w:tab w:leader="none" w:pos="692"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171" w:lineRule="exact"/>
        <w:rPr>
          <w:rFonts w:ascii="Times New Roman" w:cs="Times New Roman" w:eastAsia="Times New Roman" w:hAnsi="Times New Roman"/>
          <w:sz w:val="18"/>
          <w:szCs w:val="18"/>
          <w:b w:val="1"/>
          <w:bCs w:val="1"/>
          <w:color w:val="auto"/>
        </w:rPr>
      </w:pPr>
    </w:p>
    <w:p>
      <w:pPr>
        <w:ind w:left="672" w:hanging="216"/>
        <w:spacing w:after="0"/>
        <w:tabs>
          <w:tab w:leader="none" w:pos="672"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Nektar Therapeutics, a Delaware corporation.</w:t>
      </w:r>
    </w:p>
    <w:p>
      <w:pPr>
        <w:spacing w:after="0" w:line="171" w:lineRule="exact"/>
        <w:rPr>
          <w:rFonts w:ascii="Times New Roman" w:cs="Times New Roman" w:eastAsia="Times New Roman" w:hAnsi="Times New Roman"/>
          <w:sz w:val="18"/>
          <w:szCs w:val="18"/>
          <w:b w:val="1"/>
          <w:bCs w:val="1"/>
          <w:color w:val="auto"/>
        </w:rPr>
      </w:pPr>
    </w:p>
    <w:p>
      <w:pPr>
        <w:jc w:val="both"/>
        <w:ind w:left="-8" w:firstLine="464"/>
        <w:spacing w:after="0" w:line="260" w:lineRule="auto"/>
        <w:tabs>
          <w:tab w:leader="none" w:pos="697"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(1) engaged by the Company or an Affiliate to render consulting or advisory services and who is compensated for such services or (2) who is a member of the Board of Directors of an Affiliate. However, the term “Consultant” shall not include either Directors of the Company who are not compensated by the Company for their services as Directors or Directors of the Company who are merely paid a director’s fee by the Company for their services as Directors.</w:t>
      </w:r>
    </w:p>
    <w:p>
      <w:pPr>
        <w:spacing w:after="0" w:line="129" w:lineRule="exact"/>
        <w:rPr>
          <w:rFonts w:ascii="Times New Roman" w:cs="Times New Roman" w:eastAsia="Times New Roman" w:hAnsi="Times New Roman"/>
          <w:sz w:val="18"/>
          <w:szCs w:val="18"/>
          <w:b w:val="1"/>
          <w:bCs w:val="1"/>
          <w:color w:val="auto"/>
        </w:rPr>
      </w:pPr>
    </w:p>
    <w:p>
      <w:pPr>
        <w:ind w:left="-8" w:right="40" w:firstLine="464"/>
        <w:spacing w:after="0" w:line="255" w:lineRule="auto"/>
        <w:tabs>
          <w:tab w:leader="none" w:pos="707"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Continuous Service. For example, a change in status from an Employee of the Company to a Consultant of an Affiliate or a Director of the Company will not constitute an interruption of Continuous Service. The Board or the chief executive officer of the Company, in that party’s sole discretion, may determine whether Continuous Service shall be considered interrupted in the case of any leave of absence approved by that party, including sick leave, military leave or any other personal leave.</w:t>
      </w:r>
    </w:p>
    <w:p>
      <w:pPr>
        <w:spacing w:after="0" w:line="135" w:lineRule="exact"/>
        <w:rPr>
          <w:rFonts w:ascii="Times New Roman" w:cs="Times New Roman" w:eastAsia="Times New Roman" w:hAnsi="Times New Roman"/>
          <w:sz w:val="18"/>
          <w:szCs w:val="18"/>
          <w:b w:val="1"/>
          <w:bCs w:val="1"/>
          <w:color w:val="auto"/>
        </w:rPr>
      </w:pPr>
    </w:p>
    <w:p>
      <w:pPr>
        <w:ind w:left="-8" w:right="960" w:firstLine="464"/>
        <w:spacing w:after="0" w:line="345" w:lineRule="auto"/>
        <w:tabs>
          <w:tab w:leader="none" w:pos="658" w:val="left"/>
        </w:tabs>
        <w:numPr>
          <w:ilvl w:val="1"/>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Covered Employee</w:t>
      </w:r>
      <w:r>
        <w:rPr>
          <w:rFonts w:ascii="Times New Roman" w:cs="Times New Roman" w:eastAsia="Times New Roman" w:hAnsi="Times New Roman"/>
          <w:sz w:val="16"/>
          <w:szCs w:val="16"/>
          <w:color w:val="auto"/>
        </w:rPr>
        <w:t>” means the chief executive officer and the four (4) other highest compensated officers of the Company for whom total compensation is required to be reported to stockholders under the Exchange Act, as determined for purposes of Section 162(m) of the Code.</w:t>
      </w:r>
    </w:p>
    <w:p>
      <w:pPr>
        <w:spacing w:after="0" w:line="65" w:lineRule="exact"/>
        <w:rPr>
          <w:rFonts w:ascii="Times New Roman" w:cs="Times New Roman" w:eastAsia="Times New Roman" w:hAnsi="Times New Roman"/>
          <w:sz w:val="16"/>
          <w:szCs w:val="16"/>
          <w:b w:val="1"/>
          <w:bCs w:val="1"/>
          <w:color w:val="auto"/>
        </w:rPr>
      </w:pPr>
    </w:p>
    <w:p>
      <w:pPr>
        <w:ind w:left="672" w:hanging="216"/>
        <w:spacing w:after="0"/>
        <w:tabs>
          <w:tab w:leader="none" w:pos="672"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 of Directors of the Company.</w:t>
      </w:r>
    </w:p>
    <w:p>
      <w:pPr>
        <w:spacing w:after="0" w:line="171" w:lineRule="exact"/>
        <w:rPr>
          <w:rFonts w:ascii="Times New Roman" w:cs="Times New Roman" w:eastAsia="Times New Roman" w:hAnsi="Times New Roman"/>
          <w:sz w:val="18"/>
          <w:szCs w:val="18"/>
          <w:b w:val="1"/>
          <w:bCs w:val="1"/>
          <w:color w:val="auto"/>
        </w:rPr>
      </w:pPr>
    </w:p>
    <w:p>
      <w:pPr>
        <w:ind w:left="712" w:hanging="256"/>
        <w:spacing w:after="0"/>
        <w:tabs>
          <w:tab w:leader="none" w:pos="712"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the permanent and total disability of a person within the meaning of Section 22(e)(3) of the Code.</w:t>
      </w:r>
    </w:p>
    <w:p>
      <w:pPr>
        <w:spacing w:after="0" w:line="171" w:lineRule="exact"/>
        <w:rPr>
          <w:rFonts w:ascii="Times New Roman" w:cs="Times New Roman" w:eastAsia="Times New Roman" w:hAnsi="Times New Roman"/>
          <w:sz w:val="18"/>
          <w:szCs w:val="18"/>
          <w:b w:val="1"/>
          <w:bCs w:val="1"/>
          <w:color w:val="auto"/>
        </w:rPr>
      </w:pPr>
    </w:p>
    <w:p>
      <w:pPr>
        <w:ind w:left="-8" w:right="120" w:firstLine="464"/>
        <w:spacing w:after="0" w:line="280" w:lineRule="auto"/>
        <w:tabs>
          <w:tab w:leader="none" w:pos="658"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Mere service as a Director or payment of a director’s fee by the Company or an Affiliate shall not be sufficient to constitute “employment” by the Company or an Affiliate.</w:t>
      </w:r>
    </w:p>
    <w:p>
      <w:pPr>
        <w:spacing w:after="0" w:line="10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92"/>
          </w:cols>
          <w:pgMar w:left="248" w:top="272" w:right="259" w:bottom="1440" w:gutter="0" w:footer="0" w:header="0"/>
        </w:sectPr>
      </w:pPr>
    </w:p>
    <w:bookmarkStart w:id="5" w:name="page6"/>
    <w:bookmarkEnd w:id="5"/>
    <w:p>
      <w:pPr>
        <w:ind w:left="760" w:hanging="316"/>
        <w:spacing w:after="0"/>
        <w:tabs>
          <w:tab w:leader="none" w:pos="7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71" w:lineRule="exact"/>
        <w:rPr>
          <w:rFonts w:ascii="Times New Roman" w:cs="Times New Roman" w:eastAsia="Times New Roman" w:hAnsi="Times New Roman"/>
          <w:sz w:val="18"/>
          <w:szCs w:val="18"/>
          <w:b w:val="1"/>
          <w:bCs w:val="1"/>
          <w:color w:val="auto"/>
        </w:rPr>
      </w:pPr>
    </w:p>
    <w:p>
      <w:pPr>
        <w:ind w:left="700" w:hanging="256"/>
        <w:spacing w:after="0"/>
        <w:tabs>
          <w:tab w:leader="none" w:pos="7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94" w:lineRule="exact"/>
        <w:rPr>
          <w:rFonts w:ascii="Times New Roman" w:cs="Times New Roman" w:eastAsia="Times New Roman" w:hAnsi="Times New Roman"/>
          <w:sz w:val="18"/>
          <w:szCs w:val="18"/>
          <w:b w:val="1"/>
          <w:bCs w:val="1"/>
          <w:color w:val="auto"/>
        </w:rPr>
      </w:pPr>
    </w:p>
    <w:p>
      <w:pPr>
        <w:ind w:left="-20" w:firstLine="921"/>
        <w:spacing w:after="0" w:line="258" w:lineRule="auto"/>
        <w:tabs>
          <w:tab w:leader="none" w:pos="110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the Nasdaq National Market System or the Nasdaq SmallCap Market, the Fair Market Value of a share of Common Stock shall be the closing sales price for such stock (or the closing bid, if no sales were reported) as quoted on such exchange or market (or the exchange or market with the greatest volume of trading in the Common Stock) on the day of determination, as reported in The Wall Street Journal or such other source as the Board deems reliable.</w:t>
      </w:r>
    </w:p>
    <w:p>
      <w:pPr>
        <w:spacing w:after="0" w:line="136" w:lineRule="exact"/>
        <w:rPr>
          <w:rFonts w:ascii="Times New Roman" w:cs="Times New Roman" w:eastAsia="Times New Roman" w:hAnsi="Times New Roman"/>
          <w:sz w:val="18"/>
          <w:szCs w:val="18"/>
          <w:b w:val="1"/>
          <w:bCs w:val="1"/>
          <w:color w:val="auto"/>
        </w:rPr>
      </w:pPr>
    </w:p>
    <w:p>
      <w:pPr>
        <w:ind w:left="1160" w:hanging="259"/>
        <w:spacing w:after="0"/>
        <w:tabs>
          <w:tab w:leader="none" w:pos="116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the Fair Market Value shall be determined in good faith by the Board.</w:t>
      </w:r>
    </w:p>
    <w:p>
      <w:pPr>
        <w:spacing w:after="0" w:line="167" w:lineRule="exact"/>
        <w:rPr>
          <w:rFonts w:ascii="Times New Roman" w:cs="Times New Roman" w:eastAsia="Times New Roman" w:hAnsi="Times New Roman"/>
          <w:sz w:val="18"/>
          <w:szCs w:val="18"/>
          <w:b w:val="1"/>
          <w:bCs w:val="1"/>
          <w:color w:val="auto"/>
        </w:rPr>
      </w:pPr>
    </w:p>
    <w:p>
      <w:pPr>
        <w:ind w:left="-20" w:right="380" w:firstLine="464"/>
        <w:spacing w:after="0" w:line="280" w:lineRule="auto"/>
        <w:tabs>
          <w:tab w:leader="none" w:pos="68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intended to qualify as an incentive stock option within the meaning of Section 422 of the Code and the regulations promulgated thereunder.</w:t>
      </w:r>
    </w:p>
    <w:p>
      <w:pPr>
        <w:spacing w:after="0" w:line="111" w:lineRule="exact"/>
        <w:rPr>
          <w:rFonts w:ascii="Times New Roman" w:cs="Times New Roman" w:eastAsia="Times New Roman" w:hAnsi="Times New Roman"/>
          <w:sz w:val="18"/>
          <w:szCs w:val="18"/>
          <w:b w:val="1"/>
          <w:bCs w:val="1"/>
          <w:color w:val="auto"/>
        </w:rPr>
      </w:pPr>
    </w:p>
    <w:p>
      <w:pPr>
        <w:ind w:left="-20" w:right="120" w:firstLine="464"/>
        <w:spacing w:after="0" w:line="256" w:lineRule="auto"/>
        <w:tabs>
          <w:tab w:leader="none" w:pos="69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of the Company who either (i) is not a current Employee or Officer of the Company or its parent or a subsidiary, does not receive compensation (directly or indirectly) from the Company or its parent or a subsidiary for services rendered as a consultant or in any capacity other than as a Director (except for an amount as to which disclosure would not be required under Item 404(a) of Regulation S-K promulgated pursuant to the Securities Act (“Regulation S-K”)), does not possess an interest in any other transaction as to which disclosure would be required under Item 404(a) of Regulation S-K and is not engaged in a business relationship as to which disclosure would be required under Item 404(b) of Regulation S-K; or (ii) is otherwise considered a “non-employee director” for purposes of Rule 16b-3.</w:t>
      </w:r>
    </w:p>
    <w:p>
      <w:pPr>
        <w:spacing w:after="0" w:line="133" w:lineRule="exact"/>
        <w:rPr>
          <w:rFonts w:ascii="Times New Roman" w:cs="Times New Roman" w:eastAsia="Times New Roman" w:hAnsi="Times New Roman"/>
          <w:sz w:val="18"/>
          <w:szCs w:val="18"/>
          <w:b w:val="1"/>
          <w:bCs w:val="1"/>
          <w:color w:val="auto"/>
        </w:rPr>
      </w:pPr>
    </w:p>
    <w:p>
      <w:pPr>
        <w:ind w:left="700" w:hanging="256"/>
        <w:spacing w:after="0"/>
        <w:tabs>
          <w:tab w:leader="none" w:pos="7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 Option not intended to qualify as an Incentive Stock Option.</w:t>
      </w:r>
    </w:p>
    <w:p>
      <w:pPr>
        <w:spacing w:after="0" w:line="171" w:lineRule="exact"/>
        <w:rPr>
          <w:rFonts w:ascii="Times New Roman" w:cs="Times New Roman" w:eastAsia="Times New Roman" w:hAnsi="Times New Roman"/>
          <w:sz w:val="18"/>
          <w:szCs w:val="18"/>
          <w:b w:val="1"/>
          <w:bCs w:val="1"/>
          <w:color w:val="auto"/>
        </w:rPr>
      </w:pPr>
    </w:p>
    <w:p>
      <w:pPr>
        <w:ind w:left="-20" w:right="580" w:firstLine="464"/>
        <w:spacing w:after="0" w:line="280" w:lineRule="auto"/>
        <w:tabs>
          <w:tab w:leader="none" w:pos="67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11" w:lineRule="exact"/>
        <w:rPr>
          <w:rFonts w:ascii="Times New Roman" w:cs="Times New Roman" w:eastAsia="Times New Roman" w:hAnsi="Times New Roman"/>
          <w:sz w:val="18"/>
          <w:szCs w:val="18"/>
          <w:b w:val="1"/>
          <w:bCs w:val="1"/>
          <w:color w:val="auto"/>
        </w:rPr>
      </w:pPr>
    </w:p>
    <w:p>
      <w:pPr>
        <w:ind w:left="680" w:hanging="236"/>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granted pursuant to the Plan.</w:t>
      </w:r>
    </w:p>
    <w:p>
      <w:pPr>
        <w:spacing w:after="0" w:line="171" w:lineRule="exact"/>
        <w:rPr>
          <w:rFonts w:ascii="Times New Roman" w:cs="Times New Roman" w:eastAsia="Times New Roman" w:hAnsi="Times New Roman"/>
          <w:sz w:val="18"/>
          <w:szCs w:val="18"/>
          <w:b w:val="1"/>
          <w:bCs w:val="1"/>
          <w:color w:val="auto"/>
        </w:rPr>
      </w:pPr>
    </w:p>
    <w:p>
      <w:pPr>
        <w:ind w:left="-20" w:right="460" w:firstLine="464"/>
        <w:spacing w:after="0" w:line="280" w:lineRule="auto"/>
        <w:tabs>
          <w:tab w:leader="none" w:pos="656"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an Optionholder evidencing the terms and conditions of an individual Option grant. Each Option Agreement shall be subject to the terms and conditions of the Plan.</w:t>
      </w:r>
    </w:p>
    <w:p>
      <w:pPr>
        <w:spacing w:after="0" w:line="111" w:lineRule="exact"/>
        <w:rPr>
          <w:rFonts w:ascii="Times New Roman" w:cs="Times New Roman" w:eastAsia="Times New Roman" w:hAnsi="Times New Roman"/>
          <w:sz w:val="18"/>
          <w:szCs w:val="18"/>
          <w:b w:val="1"/>
          <w:bCs w:val="1"/>
          <w:color w:val="auto"/>
        </w:rPr>
      </w:pPr>
    </w:p>
    <w:p>
      <w:pPr>
        <w:ind w:left="-20" w:right="320" w:firstLine="464"/>
        <w:spacing w:after="0" w:line="280" w:lineRule="auto"/>
        <w:tabs>
          <w:tab w:leader="none" w:pos="69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 “Optionee”</w:t>
      </w:r>
      <w:r>
        <w:rPr>
          <w:rFonts w:ascii="Times New Roman" w:cs="Times New Roman" w:eastAsia="Times New Roman" w:hAnsi="Times New Roman"/>
          <w:sz w:val="18"/>
          <w:szCs w:val="18"/>
          <w:color w:val="auto"/>
        </w:rPr>
        <w:t xml:space="preserve"> means a person to whom an Option is granted pursuant to the Plan or, if applicable, such other person who holds an outstanding Option.</w:t>
      </w:r>
    </w:p>
    <w:p>
      <w:pPr>
        <w:spacing w:after="0" w:line="111" w:lineRule="exact"/>
        <w:rPr>
          <w:rFonts w:ascii="Times New Roman" w:cs="Times New Roman" w:eastAsia="Times New Roman" w:hAnsi="Times New Roman"/>
          <w:sz w:val="18"/>
          <w:szCs w:val="18"/>
          <w:b w:val="1"/>
          <w:bCs w:val="1"/>
          <w:color w:val="auto"/>
        </w:rPr>
      </w:pPr>
    </w:p>
    <w:p>
      <w:pPr>
        <w:ind w:left="-20" w:right="20" w:firstLine="464"/>
        <w:spacing w:after="0" w:line="265" w:lineRule="auto"/>
        <w:tabs>
          <w:tab w:leader="none" w:pos="68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Outside Director</w:t>
      </w:r>
      <w:r>
        <w:rPr>
          <w:rFonts w:ascii="Times New Roman" w:cs="Times New Roman" w:eastAsia="Times New Roman" w:hAnsi="Times New Roman"/>
          <w:sz w:val="18"/>
          <w:szCs w:val="18"/>
          <w:color w:val="auto"/>
        </w:rPr>
        <w:t>” means a Director of the Company who either (i) is not a current employee of the Company or an “affiliated corporation” (within the meaning of Treasury Regulations promulgated under Section 162(m) of the Code), is not a former employee of the Company or an “affiliated corporation” receiving compensation for prior services (other than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60" w:top="270" w:right="259" w:bottom="1440" w:gutter="0" w:footer="0" w:header="0"/>
        </w:sectPr>
      </w:pPr>
    </w:p>
    <w:bookmarkStart w:id="6" w:name="page7"/>
    <w:bookmarkEnd w:id="6"/>
    <w:p>
      <w:pPr>
        <w:ind w:right="2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benefits under a tax qualified pension plan), was not an officer of the Company or an “affiliated corporation” at any time and is not currently receiving direct or indirect remuneration from the Company or an “affiliated corporation” for services in any capacity other than as a Director or (ii) is otherwise considered an “outside director” for purposes of Section 162(m) of the Code.</w:t>
      </w:r>
    </w:p>
    <w:p>
      <w:pPr>
        <w:spacing w:after="0" w:line="128" w:lineRule="exact"/>
        <w:rPr>
          <w:sz w:val="20"/>
          <w:szCs w:val="20"/>
          <w:color w:val="auto"/>
        </w:rPr>
      </w:pPr>
    </w:p>
    <w:p>
      <w:pPr>
        <w:ind w:right="360" w:firstLine="464"/>
        <w:spacing w:after="0" w:line="280" w:lineRule="auto"/>
        <w:tabs>
          <w:tab w:leader="none" w:pos="74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to whom a Stock Award is granted pursuant to the Plan or, if applicable, such other person who holds an outstanding Stock Award.</w:t>
      </w:r>
    </w:p>
    <w:p>
      <w:pPr>
        <w:spacing w:after="0" w:line="111" w:lineRule="exact"/>
        <w:rPr>
          <w:rFonts w:ascii="Times New Roman" w:cs="Times New Roman" w:eastAsia="Times New Roman" w:hAnsi="Times New Roman"/>
          <w:sz w:val="18"/>
          <w:szCs w:val="18"/>
          <w:b w:val="1"/>
          <w:bCs w:val="1"/>
          <w:color w:val="auto"/>
        </w:rPr>
      </w:pPr>
    </w:p>
    <w:p>
      <w:pPr>
        <w:ind w:left="720" w:hanging="256"/>
        <w:spacing w:after="0"/>
        <w:tabs>
          <w:tab w:leader="none" w:pos="7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Nektar Therapeutics 2000 Equity Incentive Plan.</w:t>
      </w:r>
    </w:p>
    <w:p>
      <w:pPr>
        <w:spacing w:after="0" w:line="171" w:lineRule="exact"/>
        <w:rPr>
          <w:rFonts w:ascii="Times New Roman" w:cs="Times New Roman" w:eastAsia="Times New Roman" w:hAnsi="Times New Roman"/>
          <w:sz w:val="18"/>
          <w:szCs w:val="18"/>
          <w:b w:val="1"/>
          <w:bCs w:val="1"/>
          <w:color w:val="auto"/>
        </w:rPr>
      </w:pPr>
    </w:p>
    <w:p>
      <w:pPr>
        <w:ind w:left="720" w:hanging="256"/>
        <w:spacing w:after="0"/>
        <w:tabs>
          <w:tab w:leader="none" w:pos="7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171" w:lineRule="exact"/>
        <w:rPr>
          <w:rFonts w:ascii="Times New Roman" w:cs="Times New Roman" w:eastAsia="Times New Roman" w:hAnsi="Times New Roman"/>
          <w:sz w:val="18"/>
          <w:szCs w:val="18"/>
          <w:b w:val="1"/>
          <w:bCs w:val="1"/>
          <w:color w:val="auto"/>
        </w:rPr>
      </w:pPr>
    </w:p>
    <w:p>
      <w:pPr>
        <w:ind w:left="700" w:hanging="236"/>
        <w:spacing w:after="0"/>
        <w:tabs>
          <w:tab w:leader="none" w:pos="7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71" w:lineRule="exact"/>
        <w:rPr>
          <w:sz w:val="20"/>
          <w:szCs w:val="20"/>
          <w:color w:val="auto"/>
        </w:rPr>
      </w:pPr>
    </w:p>
    <w:p>
      <w:pPr>
        <w:ind w:left="800" w:hanging="336"/>
        <w:spacing w:after="0"/>
        <w:tabs>
          <w:tab w:leader="none" w:pos="80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w:t>
      </w:r>
      <w:r>
        <w:rPr>
          <w:rFonts w:ascii="Times New Roman" w:cs="Times New Roman" w:eastAsia="Times New Roman" w:hAnsi="Times New Roman"/>
          <w:sz w:val="18"/>
          <w:szCs w:val="18"/>
          <w:color w:val="auto"/>
        </w:rPr>
        <w:t>” means any right granted under the Plan, including an Option, a stock bonus and a right to acquire restricted stock.</w:t>
      </w:r>
    </w:p>
    <w:p>
      <w:pPr>
        <w:spacing w:after="0" w:line="171" w:lineRule="exact"/>
        <w:rPr>
          <w:rFonts w:ascii="Times New Roman" w:cs="Times New Roman" w:eastAsia="Times New Roman" w:hAnsi="Times New Roman"/>
          <w:sz w:val="18"/>
          <w:szCs w:val="18"/>
          <w:b w:val="1"/>
          <w:bCs w:val="1"/>
          <w:color w:val="auto"/>
        </w:rPr>
      </w:pPr>
    </w:p>
    <w:p>
      <w:pPr>
        <w:ind w:firstLine="464"/>
        <w:spacing w:after="0" w:line="280" w:lineRule="auto"/>
        <w:tabs>
          <w:tab w:leader="none" w:pos="812"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 Agreement</w:t>
      </w:r>
      <w:r>
        <w:rPr>
          <w:rFonts w:ascii="Times New Roman" w:cs="Times New Roman" w:eastAsia="Times New Roman" w:hAnsi="Times New Roman"/>
          <w:sz w:val="18"/>
          <w:szCs w:val="18"/>
          <w:color w:val="auto"/>
        </w:rPr>
        <w:t>” means a written agreement between the Company and a holder of a Stock Award evidencing the terms and conditions of an individual Stock Award grant. Each Stock Award Agreement shall be subject to the terms and conditions of the Plan.</w:t>
      </w:r>
    </w:p>
    <w:p>
      <w:pPr>
        <w:spacing w:after="0" w:line="111" w:lineRule="exact"/>
        <w:rPr>
          <w:rFonts w:ascii="Times New Roman" w:cs="Times New Roman" w:eastAsia="Times New Roman" w:hAnsi="Times New Roman"/>
          <w:sz w:val="18"/>
          <w:szCs w:val="18"/>
          <w:b w:val="1"/>
          <w:bCs w:val="1"/>
          <w:color w:val="auto"/>
        </w:rPr>
      </w:pPr>
    </w:p>
    <w:p>
      <w:pPr>
        <w:ind w:right="240" w:firstLine="464"/>
        <w:spacing w:after="0" w:line="280" w:lineRule="auto"/>
        <w:tabs>
          <w:tab w:leader="none" w:pos="773"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ten percent (10%) of the total combined voting power of all classes of stock of the Company or of any of its Affiliates.</w:t>
      </w:r>
    </w:p>
    <w:p>
      <w:pPr>
        <w:spacing w:after="0" w:line="194"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90" w:lineRule="exact"/>
        <w:rPr>
          <w:rFonts w:ascii="Times New Roman" w:cs="Times New Roman" w:eastAsia="Times New Roman" w:hAnsi="Times New Roman"/>
          <w:sz w:val="18"/>
          <w:szCs w:val="18"/>
          <w:b w:val="1"/>
          <w:bCs w:val="1"/>
          <w:color w:val="auto"/>
        </w:rPr>
      </w:pPr>
    </w:p>
    <w:p>
      <w:pPr>
        <w:ind w:right="440" w:firstLine="464"/>
        <w:spacing w:after="0" w:line="277" w:lineRule="auto"/>
        <w:tabs>
          <w:tab w:leader="none" w:pos="695"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by Board</w:t>
      </w:r>
      <w:r>
        <w:rPr>
          <w:rFonts w:ascii="Times New Roman" w:cs="Times New Roman" w:eastAsia="Times New Roman" w:hAnsi="Times New Roman"/>
          <w:sz w:val="18"/>
          <w:szCs w:val="18"/>
          <w:color w:val="auto"/>
        </w:rPr>
        <w:t>. The Board will administer the Plan unless and until the Board delegates administration to a Committee,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3(c).</w:t>
      </w:r>
    </w:p>
    <w:p>
      <w:pPr>
        <w:spacing w:after="0" w:line="116" w:lineRule="exact"/>
        <w:rPr>
          <w:rFonts w:ascii="Times New Roman" w:cs="Times New Roman" w:eastAsia="Times New Roman" w:hAnsi="Times New Roman"/>
          <w:sz w:val="18"/>
          <w:szCs w:val="18"/>
          <w:b w:val="1"/>
          <w:bCs w:val="1"/>
          <w:color w:val="auto"/>
        </w:rPr>
      </w:pPr>
    </w:p>
    <w:p>
      <w:pPr>
        <w:ind w:left="720" w:hanging="256"/>
        <w:spacing w:after="0"/>
        <w:tabs>
          <w:tab w:leader="none" w:pos="7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of Board</w:t>
      </w:r>
      <w:r>
        <w:rPr>
          <w:rFonts w:ascii="Times New Roman" w:cs="Times New Roman" w:eastAsia="Times New Roman" w:hAnsi="Times New Roman"/>
          <w:sz w:val="18"/>
          <w:szCs w:val="18"/>
          <w:color w:val="auto"/>
        </w:rPr>
        <w:t>. The Board shall have the power, subject to, and within the limitations of, the express provisions of the Plan:</w:t>
      </w:r>
    </w:p>
    <w:p>
      <w:pPr>
        <w:spacing w:after="0" w:line="92" w:lineRule="exact"/>
        <w:rPr>
          <w:rFonts w:ascii="Times New Roman" w:cs="Times New Roman" w:eastAsia="Times New Roman" w:hAnsi="Times New Roman"/>
          <w:sz w:val="18"/>
          <w:szCs w:val="18"/>
          <w:b w:val="1"/>
          <w:bCs w:val="1"/>
          <w:color w:val="auto"/>
        </w:rPr>
      </w:pPr>
    </w:p>
    <w:p>
      <w:pPr>
        <w:ind w:right="140" w:firstLine="921"/>
        <w:spacing w:after="0" w:line="258" w:lineRule="auto"/>
        <w:tabs>
          <w:tab w:leader="none" w:pos="1122"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which of the persons eligible under the Plan shall be granted Stock Awards; when and how each Stock Award shall be granted; what type or combination of types of Stock Award shall be granted; the provisions of each Stock Award granted (which need not be identical), including the time or times when a person shall be permitted to receive stock pursuant to a Stock Award; and the number of shares with respect to which a Stock Award shall be granted to each such person.</w:t>
      </w:r>
    </w:p>
    <w:p>
      <w:pPr>
        <w:spacing w:after="0" w:line="136" w:lineRule="exact"/>
        <w:rPr>
          <w:rFonts w:ascii="Times New Roman" w:cs="Times New Roman" w:eastAsia="Times New Roman" w:hAnsi="Times New Roman"/>
          <w:sz w:val="18"/>
          <w:szCs w:val="18"/>
          <w:b w:val="1"/>
          <w:bCs w:val="1"/>
          <w:color w:val="auto"/>
        </w:rPr>
      </w:pPr>
    </w:p>
    <w:p>
      <w:pPr>
        <w:ind w:right="320" w:firstLine="921"/>
        <w:spacing w:after="0" w:line="262" w:lineRule="auto"/>
        <w:tabs>
          <w:tab w:leader="none" w:pos="1171"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Stock Awards granted under it, and to establish, amend and revoke rules and regulations for its administration. The Board, in the exercise of this power, may correct any defect, omission or inconsistency in the Plan or in any Stock Award Agreement, in a manner and to the extent it shall deem necessary or expedient to make the Plan fully effective.</w:t>
      </w:r>
    </w:p>
    <w:p>
      <w:pPr>
        <w:spacing w:after="0" w:line="132" w:lineRule="exact"/>
        <w:rPr>
          <w:rFonts w:ascii="Times New Roman" w:cs="Times New Roman" w:eastAsia="Times New Roman" w:hAnsi="Times New Roman"/>
          <w:sz w:val="18"/>
          <w:szCs w:val="18"/>
          <w:b w:val="1"/>
          <w:bCs w:val="1"/>
          <w:color w:val="auto"/>
        </w:rPr>
      </w:pPr>
    </w:p>
    <w:p>
      <w:pPr>
        <w:ind w:left="1220" w:hanging="299"/>
        <w:spacing w:after="0"/>
        <w:tabs>
          <w:tab w:leader="none" w:pos="1220"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or a Stock Award as provided in Section 12.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ind w:left="-8" w:right="460" w:firstLine="921"/>
        <w:spacing w:after="0" w:line="275" w:lineRule="auto"/>
        <w:tabs>
          <w:tab w:leader="none" w:pos="1202" w:val="left"/>
        </w:tabs>
        <w:numPr>
          <w:ilvl w:val="2"/>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Generally, to exercise such powers and to perform such acts as the Board deems necessary or expedient to promote the best interests of the Company which are not in conflict with the provisions of the Plan.</w:t>
      </w:r>
    </w:p>
    <w:p>
      <w:pPr>
        <w:spacing w:after="0" w:line="198" w:lineRule="exact"/>
        <w:rPr>
          <w:rFonts w:ascii="Times New Roman" w:cs="Times New Roman" w:eastAsia="Times New Roman" w:hAnsi="Times New Roman"/>
          <w:sz w:val="18"/>
          <w:szCs w:val="18"/>
          <w:b w:val="1"/>
          <w:bCs w:val="1"/>
          <w:color w:val="auto"/>
        </w:rPr>
      </w:pPr>
    </w:p>
    <w:p>
      <w:pPr>
        <w:ind w:left="692" w:hanging="236"/>
        <w:spacing w:after="0"/>
        <w:tabs>
          <w:tab w:leader="none" w:pos="692"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b w:val="1"/>
          <w:bCs w:val="1"/>
          <w:color w:val="auto"/>
        </w:rPr>
      </w:pPr>
    </w:p>
    <w:p>
      <w:pPr>
        <w:ind w:left="-8" w:right="60" w:firstLine="921"/>
        <w:spacing w:after="0" w:line="255" w:lineRule="auto"/>
        <w:tabs>
          <w:tab w:leader="none" w:pos="1115" w:val="left"/>
        </w:tabs>
        <w:numPr>
          <w:ilvl w:val="2"/>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The Board may delegate administration of the Plan to a Committee or Committees of one (1) or more members of the Board,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“Committee” shall apply to any person or persons to whom such authority has been delegated. If administration is delegated to a Committee, the Committee shall have, in connection with the administration of the Plan, the powers theretofore possessed by the Board, including the power to delegate to a subcommittee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w:t>
      </w:r>
    </w:p>
    <w:p>
      <w:pPr>
        <w:spacing w:after="0" w:line="139" w:lineRule="exact"/>
        <w:rPr>
          <w:rFonts w:ascii="Times New Roman" w:cs="Times New Roman" w:eastAsia="Times New Roman" w:hAnsi="Times New Roman"/>
          <w:sz w:val="18"/>
          <w:szCs w:val="18"/>
          <w:b w:val="1"/>
          <w:bCs w:val="1"/>
          <w:color w:val="auto"/>
        </w:rPr>
      </w:pPr>
    </w:p>
    <w:p>
      <w:pPr>
        <w:ind w:left="-8" w:firstLine="921"/>
        <w:spacing w:after="0" w:line="255" w:lineRule="auto"/>
        <w:tabs>
          <w:tab w:leader="none" w:pos="1163" w:val="left"/>
        </w:tabs>
        <w:numPr>
          <w:ilvl w:val="2"/>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Committee Composition when Common Stock is Publicly Traded</w:t>
      </w:r>
      <w:r>
        <w:rPr>
          <w:rFonts w:ascii="Times New Roman" w:cs="Times New Roman" w:eastAsia="Times New Roman" w:hAnsi="Times New Roman"/>
          <w:sz w:val="18"/>
          <w:szCs w:val="18"/>
          <w:color w:val="auto"/>
        </w:rPr>
        <w:t>. At such time as the Common Stock is publicly traded, in the discretion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a Committee may consist solely of two or more Outside Directors, in accordance with Section 162(m) of the Code, and/or solely of two or more Non-Employee Directors, in accordance with Rule 16b-3. Within the scope of such authority, the Board or the Committee may (i) delegate to a committee of one or more members of the Board who are not Outside Directors, the authority to grant Stock Awards to eligible persons who are either (a) not then Covered Employees and are not expected to be Covered Employees at the time of recognition of income resulting from such Stock Award or (b) not persons with respect to whom the Company wishes to comply with Section 162(m) of the Code and/or (ii) delegate to a committee of one or more members of the Board who are not Non-Employee Directors the authority to grant Stock Awards to eligible persons who are not then subject to Section 16 of the Exchange Act.</w:t>
      </w:r>
    </w:p>
    <w:p>
      <w:pPr>
        <w:spacing w:after="0" w:line="135" w:lineRule="exact"/>
        <w:rPr>
          <w:rFonts w:ascii="Times New Roman" w:cs="Times New Roman" w:eastAsia="Times New Roman" w:hAnsi="Times New Roman"/>
          <w:sz w:val="18"/>
          <w:szCs w:val="18"/>
          <w:b w:val="1"/>
          <w:bCs w:val="1"/>
          <w:color w:val="auto"/>
        </w:rPr>
      </w:pPr>
    </w:p>
    <w:p>
      <w:pPr>
        <w:ind w:left="-8" w:right="40" w:firstLine="464"/>
        <w:spacing w:after="0" w:line="277" w:lineRule="auto"/>
        <w:tabs>
          <w:tab w:leader="none" w:pos="707"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in good faith shall not be subject to review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and shall be final, binding and conclusive on all persons.</w:t>
      </w:r>
    </w:p>
    <w:p>
      <w:pPr>
        <w:spacing w:after="0" w:line="197"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90" w:lineRule="exact"/>
        <w:rPr>
          <w:rFonts w:ascii="Times New Roman" w:cs="Times New Roman" w:eastAsia="Times New Roman" w:hAnsi="Times New Roman"/>
          <w:sz w:val="18"/>
          <w:szCs w:val="18"/>
          <w:b w:val="1"/>
          <w:bCs w:val="1"/>
          <w:color w:val="auto"/>
        </w:rPr>
      </w:pPr>
    </w:p>
    <w:p>
      <w:pPr>
        <w:ind w:left="-8" w:right="260" w:firstLine="464"/>
        <w:spacing w:after="0" w:line="302" w:lineRule="auto"/>
        <w:tabs>
          <w:tab w:leader="none" w:pos="697" w:val="left"/>
        </w:tabs>
        <w:numPr>
          <w:ilvl w:val="1"/>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Reserve</w:t>
      </w:r>
      <w:r>
        <w:rPr>
          <w:rFonts w:ascii="Times New Roman" w:cs="Times New Roman" w:eastAsia="Times New Roman" w:hAnsi="Times New Roman"/>
          <w:sz w:val="16"/>
          <w:szCs w:val="16"/>
          <w:color w:val="auto"/>
        </w:rPr>
        <w:t>. Subject to the provisions of Section 11 relating to adjustments upon changes in stock, the stock that may be issued pursuant to Stock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Awards shall not exceed in the aggregate Eighteen Million Two Hundred Fifty Thousand (18,250,000) shares of Common Stock. Subject to Section 4(b), the number of shares available for issuance under the Plan shall be reduced by (i) one (1) share for each share of stock issued pursuant to an Option granted under Section 6, and (ii) one and one-half (1.5) shares for each share that is issued pursuant to a stock bonus award or restricted stock award under Section 7.</w:t>
      </w:r>
    </w:p>
    <w:p>
      <w:pPr>
        <w:spacing w:after="0" w:line="100" w:lineRule="exact"/>
        <w:rPr>
          <w:rFonts w:ascii="Times New Roman" w:cs="Times New Roman" w:eastAsia="Times New Roman" w:hAnsi="Times New Roman"/>
          <w:sz w:val="16"/>
          <w:szCs w:val="16"/>
          <w:b w:val="1"/>
          <w:bCs w:val="1"/>
          <w:color w:val="auto"/>
        </w:rPr>
      </w:pPr>
    </w:p>
    <w:p>
      <w:pPr>
        <w:ind w:left="-8" w:right="100" w:firstLine="464"/>
        <w:spacing w:after="0" w:line="312" w:lineRule="auto"/>
        <w:tabs>
          <w:tab w:leader="none" w:pos="707" w:val="left"/>
        </w:tabs>
        <w:numPr>
          <w:ilvl w:val="1"/>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Reversion of Shares to the Share Reserve</w:t>
      </w:r>
      <w:r>
        <w:rPr>
          <w:rFonts w:ascii="Times New Roman" w:cs="Times New Roman" w:eastAsia="Times New Roman" w:hAnsi="Times New Roman"/>
          <w:sz w:val="16"/>
          <w:szCs w:val="16"/>
          <w:color w:val="auto"/>
        </w:rPr>
        <w:t>. If any Stock Award shall for any reason expire or otherwise terminate, in whole or in part, without having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been exercised in full or if any shares of Common Stock issued to a Participant pursuant to a Stock Award are forfeited to or reacquired or repurchased by the Company, including, but not limited to, any forfeiture, reacquisition or repurchase caused by the failure to meet a contingency or condition required for</w:t>
      </w:r>
    </w:p>
    <w:p>
      <w:pPr>
        <w:spacing w:after="0" w:line="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12"/>
          </w:cols>
          <w:pgMar w:left="248" w:top="274"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vesting of such shares, the stock not acquired under such Stock Award shall revert to and again become available for issuance under the Plan at the rate of</w:t>
      </w:r>
    </w:p>
    <w:p>
      <w:pPr>
        <w:spacing w:after="0" w:line="21" w:lineRule="exact"/>
        <w:rPr>
          <w:sz w:val="20"/>
          <w:szCs w:val="20"/>
          <w:color w:val="auto"/>
        </w:rPr>
      </w:pPr>
    </w:p>
    <w:p>
      <w:pPr>
        <w:jc w:val="both"/>
        <w:ind w:right="100" w:firstLine="8"/>
        <w:spacing w:after="0" w:line="295" w:lineRule="auto"/>
        <w:tabs>
          <w:tab w:leader="none" w:pos="21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one (1) share for each share of stock that had been issued pursuant to an Option granted under Section 6, and (ii) one and one-half (1.5) shares for each share that had been issued pursuant to a stock bonus award or restricted stock award under Section 7;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if any unvested Common Stock acquired pursuant to a Stock Award is forfeited to or reacquired or repurchased by the Company, the unvested stock forfeited to or reacquired or repurchased by the Company shall revert to and again become available for issuance under the Plan for all Stock Awards other than Incentive Stock Options.</w:t>
      </w:r>
    </w:p>
    <w:p>
      <w:pPr>
        <w:spacing w:after="0" w:line="107" w:lineRule="exact"/>
        <w:rPr>
          <w:rFonts w:ascii="Times New Roman" w:cs="Times New Roman" w:eastAsia="Times New Roman" w:hAnsi="Times New Roman"/>
          <w:sz w:val="16"/>
          <w:szCs w:val="16"/>
          <w:color w:val="auto"/>
        </w:rPr>
      </w:pPr>
    </w:p>
    <w:p>
      <w:pPr>
        <w:ind w:left="700" w:hanging="236"/>
        <w:spacing w:after="0"/>
        <w:tabs>
          <w:tab w:leader="none" w:pos="70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of Shares</w:t>
      </w:r>
      <w:r>
        <w:rPr>
          <w:rFonts w:ascii="Times New Roman" w:cs="Times New Roman" w:eastAsia="Times New Roman" w:hAnsi="Times New Roman"/>
          <w:sz w:val="18"/>
          <w:szCs w:val="18"/>
          <w:color w:val="auto"/>
        </w:rPr>
        <w:t>. The stock subject to the Plan may be unissued shares or reacquired shares, bought on the market or otherwise.</w:t>
      </w:r>
    </w:p>
    <w:p>
      <w:pPr>
        <w:spacing w:after="0" w:line="252"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18"/>
          <w:szCs w:val="18"/>
          <w:b w:val="1"/>
          <w:bCs w:val="1"/>
          <w:color w:val="auto"/>
        </w:rPr>
        <w:t>.</w:t>
      </w:r>
    </w:p>
    <w:p>
      <w:pPr>
        <w:spacing w:after="0" w:line="90" w:lineRule="exact"/>
        <w:rPr>
          <w:rFonts w:ascii="Times New Roman" w:cs="Times New Roman" w:eastAsia="Times New Roman" w:hAnsi="Times New Roman"/>
          <w:sz w:val="18"/>
          <w:szCs w:val="18"/>
          <w:b w:val="1"/>
          <w:bCs w:val="1"/>
          <w:color w:val="auto"/>
        </w:rPr>
      </w:pPr>
    </w:p>
    <w:p>
      <w:pPr>
        <w:ind w:right="120" w:firstLine="464"/>
        <w:spacing w:after="0" w:line="277" w:lineRule="auto"/>
        <w:tabs>
          <w:tab w:leader="none" w:pos="705"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 for Specific Stock Awards</w:t>
      </w:r>
      <w:r>
        <w:rPr>
          <w:rFonts w:ascii="Times New Roman" w:cs="Times New Roman" w:eastAsia="Times New Roman" w:hAnsi="Times New Roman"/>
          <w:sz w:val="18"/>
          <w:szCs w:val="18"/>
          <w:color w:val="auto"/>
        </w:rPr>
        <w:t>. Incentive Stock Options may be granted only to Employees. Stock Awards other than Incentive 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granted to Employees, Directors and Consultants.</w:t>
      </w:r>
    </w:p>
    <w:p>
      <w:pPr>
        <w:spacing w:after="0" w:line="116" w:lineRule="exact"/>
        <w:rPr>
          <w:rFonts w:ascii="Times New Roman" w:cs="Times New Roman" w:eastAsia="Times New Roman" w:hAnsi="Times New Roman"/>
          <w:sz w:val="18"/>
          <w:szCs w:val="18"/>
          <w:b w:val="1"/>
          <w:bCs w:val="1"/>
          <w:color w:val="auto"/>
        </w:rPr>
      </w:pPr>
    </w:p>
    <w:p>
      <w:pPr>
        <w:jc w:val="both"/>
        <w:ind w:right="200" w:firstLine="464"/>
        <w:spacing w:after="0" w:line="264" w:lineRule="auto"/>
        <w:tabs>
          <w:tab w:leader="none" w:pos="715"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Ten Percent Stockholders</w:t>
      </w:r>
      <w:r>
        <w:rPr>
          <w:rFonts w:ascii="Times New Roman" w:cs="Times New Roman" w:eastAsia="Times New Roman" w:hAnsi="Times New Roman"/>
          <w:sz w:val="18"/>
          <w:szCs w:val="18"/>
          <w:color w:val="auto"/>
        </w:rPr>
        <w:t>. No Ten Percent Stockholder shall be eligible for the grant of an Incentive Stock Option unless the exercise price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is at least one hundred ten percent (110%) of the Fair Market Value of the Common Stock at the date of grant and the Option is not exercisable after the expiration of five (5) years from the date of grant.</w:t>
      </w:r>
    </w:p>
    <w:p>
      <w:pPr>
        <w:spacing w:after="0" w:line="127" w:lineRule="exact"/>
        <w:rPr>
          <w:rFonts w:ascii="Times New Roman" w:cs="Times New Roman" w:eastAsia="Times New Roman" w:hAnsi="Times New Roman"/>
          <w:sz w:val="18"/>
          <w:szCs w:val="18"/>
          <w:b w:val="1"/>
          <w:bCs w:val="1"/>
          <w:color w:val="auto"/>
        </w:rPr>
      </w:pPr>
    </w:p>
    <w:p>
      <w:pPr>
        <w:ind w:right="140" w:firstLine="464"/>
        <w:spacing w:after="0" w:line="277" w:lineRule="auto"/>
        <w:tabs>
          <w:tab w:leader="none" w:pos="695"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162(m) Limitation</w:t>
      </w:r>
      <w:r>
        <w:rPr>
          <w:rFonts w:ascii="Times New Roman" w:cs="Times New Roman" w:eastAsia="Times New Roman" w:hAnsi="Times New Roman"/>
          <w:sz w:val="18"/>
          <w:szCs w:val="18"/>
          <w:color w:val="auto"/>
        </w:rPr>
        <w:t>. Subject to the provisions of Section 11 relating to adjustments upon changes in stock, no employee shall be eligible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Options covering more than Eight Hundred Thousand (800,000) shares of the Common Stock during any calendar year.</w:t>
      </w:r>
    </w:p>
    <w:p>
      <w:pPr>
        <w:spacing w:after="0" w:line="116" w:lineRule="exact"/>
        <w:rPr>
          <w:rFonts w:ascii="Times New Roman" w:cs="Times New Roman" w:eastAsia="Times New Roman" w:hAnsi="Times New Roman"/>
          <w:sz w:val="18"/>
          <w:szCs w:val="18"/>
          <w:b w:val="1"/>
          <w:bCs w:val="1"/>
          <w:color w:val="auto"/>
        </w:rPr>
      </w:pPr>
    </w:p>
    <w:p>
      <w:pPr>
        <w:ind w:right="80" w:firstLine="464"/>
        <w:spacing w:after="0" w:line="262" w:lineRule="auto"/>
        <w:tabs>
          <w:tab w:leader="none" w:pos="715"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Consultants. </w:t>
      </w:r>
      <w:r>
        <w:rPr>
          <w:rFonts w:ascii="Times New Roman" w:cs="Times New Roman" w:eastAsia="Times New Roman" w:hAnsi="Times New Roman"/>
          <w:sz w:val="18"/>
          <w:szCs w:val="18"/>
          <w:color w:val="auto"/>
        </w:rPr>
        <w:t>A Consultant shall not be eligible for the grant of a Stock Award if, at the time of grant, a Form S-8 Registration Statement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(“Form S-8”) is not available to register either the offer or the sale of the Company’s securities to such Consultant because of the nature of the services that the Consultant is providing to the Company, or because the Consultant is not a natural person, or as otherwise provided by the rules governing the use of Form S-8, unless the Company determines both (i) that such grant (A) shall be registered in another manner under the Securities Act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on a Form S-3 Registration Statement) or (B) does not require registration under the Securities Act in order to comply with the requirements of the Securities Act, if applicable, and (ii) that such grant complies with the securities laws of all other relevant jurisdictions.</w:t>
      </w:r>
      <w:r>
        <w:rPr>
          <w:rFonts w:ascii="Times New Roman" w:cs="Times New Roman" w:eastAsia="Times New Roman" w:hAnsi="Times New Roman"/>
          <w:sz w:val="22"/>
          <w:szCs w:val="22"/>
          <w:color w:val="auto"/>
          <w:vertAlign w:val="superscript"/>
        </w:rPr>
        <w:t>1</w:t>
      </w:r>
    </w:p>
    <w:p>
      <w:pPr>
        <w:spacing w:after="0" w:line="133"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ROVISIONS</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Each Option shall be in such form and shall contain such terms and conditions as the Board shall deem appropriate. All Options shall be separately designated Incentive Stock Options or Nonstatutory Stock Options at the time of grant, and a separate certificate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6000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70" w:lineRule="exact"/>
        <w:rPr>
          <w:sz w:val="20"/>
          <w:szCs w:val="20"/>
          <w:color w:val="auto"/>
        </w:rPr>
      </w:pPr>
    </w:p>
    <w:p>
      <w:pPr>
        <w:ind w:left="220" w:hanging="212"/>
        <w:spacing w:after="0" w:line="237" w:lineRule="auto"/>
        <w:tabs>
          <w:tab w:leader="none" w:pos="22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Form S-8 generally is available to consultants and advisors only if (i) they are natural persons; (ii) they provide bona fide services to the issuer, its parents, its majority-owned subsidiaries or majority-owned subsidiaries of the issuer's parent; and (iii) the services are not in connection with the offer or sale of securities in a capital-raising transaction, and do not directly or indirectly promote or maintain a market for the issuer's securities.</w:t>
      </w:r>
    </w:p>
    <w:p>
      <w:pPr>
        <w:spacing w:after="0" w:line="1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74" w:right="279" w:bottom="1440" w:gutter="0" w:footer="0" w:header="0"/>
        </w:sectPr>
      </w:pPr>
    </w:p>
    <w:bookmarkStart w:id="9" w:name="page10"/>
    <w:bookmarkEnd w:id="9"/>
    <w:p>
      <w:pPr>
        <w:ind w:right="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certificates will be issued for shares purchased on exercise of each type of Option. The provisions of separate Options need not be identical, but each Option shall include (through incorporation of provisions hereof by reference in the Option or otherwise) the substance of each of the following provisions:</w:t>
      </w:r>
    </w:p>
    <w:p>
      <w:pPr>
        <w:spacing w:after="0" w:line="37" w:lineRule="exact"/>
        <w:rPr>
          <w:sz w:val="20"/>
          <w:szCs w:val="20"/>
          <w:color w:val="auto"/>
        </w:rPr>
      </w:pPr>
    </w:p>
    <w:p>
      <w:pPr>
        <w:ind w:right="20" w:firstLine="464"/>
        <w:spacing w:after="0" w:line="264" w:lineRule="auto"/>
        <w:tabs>
          <w:tab w:leader="none" w:pos="705"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Subject to the provisions of subsection 5(b) regarding Ten Percent Stockholders, no Incentive Stock Option shall be exercisable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expiration of eight (8) years from the date it was granted. No Nonstatutory Stock Option shall be exercisable after the expiration of eight (8) years from the date it was granted.</w:t>
      </w:r>
    </w:p>
    <w:p>
      <w:pPr>
        <w:spacing w:after="0" w:line="127" w:lineRule="exact"/>
        <w:rPr>
          <w:rFonts w:ascii="Times New Roman" w:cs="Times New Roman" w:eastAsia="Times New Roman" w:hAnsi="Times New Roman"/>
          <w:sz w:val="18"/>
          <w:szCs w:val="18"/>
          <w:b w:val="1"/>
          <w:bCs w:val="1"/>
          <w:color w:val="auto"/>
        </w:rPr>
      </w:pPr>
    </w:p>
    <w:p>
      <w:pPr>
        <w:ind w:right="100" w:firstLine="464"/>
        <w:spacing w:after="0" w:line="302" w:lineRule="auto"/>
        <w:tabs>
          <w:tab w:leader="none" w:pos="715" w:val="left"/>
        </w:tabs>
        <w:numPr>
          <w:ilvl w:val="1"/>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 of an Incentive Stock Option</w:t>
      </w:r>
      <w:r>
        <w:rPr>
          <w:rFonts w:ascii="Times New Roman" w:cs="Times New Roman" w:eastAsia="Times New Roman" w:hAnsi="Times New Roman"/>
          <w:sz w:val="16"/>
          <w:szCs w:val="16"/>
          <w:color w:val="auto"/>
        </w:rPr>
        <w:t>. Subject to the provisions of subsection 5(b) regarding Ten Percent Stockholders, the exercise price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each Incentive Stock Option shall be not less than one hundred percent (100%) of the Fair Market Value of the stock subject to the Option on the date the Option is granted. Notwithstanding the foregoing, an Incentive Stock Option may be granted with an exercise price lower than that set forth in the preceding sentence if such Option is granted pursuant to an assumption or substitution for another option in a manner satisfying the provisions of Section 424(a) of the Code.</w:t>
      </w:r>
    </w:p>
    <w:p>
      <w:pPr>
        <w:spacing w:after="0" w:line="100" w:lineRule="exact"/>
        <w:rPr>
          <w:rFonts w:ascii="Times New Roman" w:cs="Times New Roman" w:eastAsia="Times New Roman" w:hAnsi="Times New Roman"/>
          <w:sz w:val="16"/>
          <w:szCs w:val="16"/>
          <w:b w:val="1"/>
          <w:bCs w:val="1"/>
          <w:color w:val="auto"/>
        </w:rPr>
      </w:pPr>
    </w:p>
    <w:p>
      <w:pPr>
        <w:ind w:right="40" w:firstLine="464"/>
        <w:spacing w:after="0" w:line="259" w:lineRule="auto"/>
        <w:tabs>
          <w:tab w:leader="none" w:pos="695"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Price of a Nonstatutory Stock Option</w:t>
      </w:r>
      <w:r>
        <w:rPr>
          <w:rFonts w:ascii="Times New Roman" w:cs="Times New Roman" w:eastAsia="Times New Roman" w:hAnsi="Times New Roman"/>
          <w:sz w:val="18"/>
          <w:szCs w:val="18"/>
          <w:color w:val="auto"/>
        </w:rPr>
        <w:t>. The exercise price of each Nonstatutory Stock Option shall be not less than one hundred percent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 of the Fair Market Value of the stock subject to the Option on the date the Option is granted. Notwithstanding the foregoing, a Nonstatutory Stock Option may be granted with an exercise price lower than that set forth in the preceding sentence if such Option is granted pursuant to an assumption or substitution for another option in a manner satisfying the provisions of Section 424(a) of the Code.</w:t>
      </w:r>
    </w:p>
    <w:p>
      <w:pPr>
        <w:spacing w:after="0" w:line="213" w:lineRule="exact"/>
        <w:rPr>
          <w:rFonts w:ascii="Times New Roman" w:cs="Times New Roman" w:eastAsia="Times New Roman" w:hAnsi="Times New Roman"/>
          <w:sz w:val="18"/>
          <w:szCs w:val="18"/>
          <w:b w:val="1"/>
          <w:bCs w:val="1"/>
          <w:color w:val="auto"/>
        </w:rPr>
      </w:pPr>
    </w:p>
    <w:p>
      <w:pPr>
        <w:ind w:left="720" w:hanging="256"/>
        <w:spacing w:after="0"/>
        <w:tabs>
          <w:tab w:leader="none" w:pos="72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b w:val="1"/>
          <w:bCs w:val="1"/>
          <w:color w:val="auto"/>
        </w:rPr>
      </w:pPr>
    </w:p>
    <w:p>
      <w:pPr>
        <w:ind w:left="1140" w:hanging="219"/>
        <w:spacing w:after="0"/>
        <w:tabs>
          <w:tab w:leader="none" w:pos="1140"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of stock acquired pursuant to an Option shall be paid, to the extent permitted by applicable statutes and regulations, either</w:t>
      </w:r>
    </w:p>
    <w:p>
      <w:pPr>
        <w:spacing w:after="0" w:line="21" w:lineRule="exact"/>
        <w:rPr>
          <w:rFonts w:ascii="Times New Roman" w:cs="Times New Roman" w:eastAsia="Times New Roman" w:hAnsi="Times New Roman"/>
          <w:sz w:val="18"/>
          <w:szCs w:val="18"/>
          <w:b w:val="1"/>
          <w:bCs w:val="1"/>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at the time the Option is exercised or (B) at the discretion of the Board at the time of the grant of the Option (or subsequently in the case of a</w:t>
      </w:r>
    </w:p>
    <w:p>
      <w:pPr>
        <w:spacing w:after="0" w:line="9" w:lineRule="exact"/>
        <w:rPr>
          <w:rFonts w:ascii="Times New Roman" w:cs="Times New Roman" w:eastAsia="Times New Roman" w:hAnsi="Times New Roman"/>
          <w:sz w:val="18"/>
          <w:szCs w:val="18"/>
          <w:color w:val="auto"/>
        </w:rPr>
      </w:pPr>
    </w:p>
    <w:p>
      <w:pPr>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Nonstatutory Stock Option) by delivery to the Company of other Common Stock, according to a deferred payment or other similar arrangement (which may include, without limiting the generality of the foregoing, the use of other Common Stock) with the Participant or in any other form of legal consideration that may be acceptable to the Board; provided, however, that at any time that the Company is incorporated in Delaware, payment of the Common Stock’s “par value,” as defined in the Delaware General Corporation Law, shall not be made by deferred payment.</w:t>
      </w:r>
    </w:p>
    <w:p>
      <w:pPr>
        <w:spacing w:after="0" w:line="137" w:lineRule="exact"/>
        <w:rPr>
          <w:rFonts w:ascii="Times New Roman" w:cs="Times New Roman" w:eastAsia="Times New Roman" w:hAnsi="Times New Roman"/>
          <w:sz w:val="18"/>
          <w:szCs w:val="18"/>
          <w:color w:val="auto"/>
        </w:rPr>
      </w:pPr>
    </w:p>
    <w:p>
      <w:pPr>
        <w:ind w:right="300" w:firstLine="921"/>
        <w:spacing w:after="0" w:line="258" w:lineRule="auto"/>
        <w:tabs>
          <w:tab w:leader="none" w:pos="1171"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specifically provided in the Option, the purchase price of Common Stock acquired pursuant to an Option that is paid by delivery to the Company of other Common Stock acquired, directly or indirectly from the Company, shall be paid only by shares of the Common Stock of the Company that have been held for more than six (6) months (or such longer or shorter period of time required to avoid a charge to earnings for financial accounting purposes).</w:t>
      </w:r>
    </w:p>
    <w:p>
      <w:pPr>
        <w:spacing w:after="0" w:line="136" w:lineRule="exact"/>
        <w:rPr>
          <w:rFonts w:ascii="Times New Roman" w:cs="Times New Roman" w:eastAsia="Times New Roman" w:hAnsi="Times New Roman"/>
          <w:sz w:val="18"/>
          <w:szCs w:val="18"/>
          <w:b w:val="1"/>
          <w:bCs w:val="1"/>
          <w:color w:val="auto"/>
        </w:rPr>
      </w:pPr>
    </w:p>
    <w:p>
      <w:pPr>
        <w:ind w:right="220" w:firstLine="921"/>
        <w:spacing w:after="0" w:line="262" w:lineRule="auto"/>
        <w:tabs>
          <w:tab w:leader="none" w:pos="1220"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any deferred payment arrangement, interest shall be compounded at least annually and shall be charged at the minimum rate of interest necessary to avoid the treatment as interest, under any applicable provisions of the Code, of any amounts other than amounts stated to be interest under the deferred payment arrangement.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4" w:right="259" w:bottom="1440" w:gutter="0" w:footer="0" w:header="0"/>
        </w:sectPr>
      </w:pPr>
    </w:p>
    <w:bookmarkStart w:id="10" w:name="page11"/>
    <w:bookmarkEnd w:id="10"/>
    <w:p>
      <w:pPr>
        <w:ind w:left="-20" w:firstLine="464"/>
        <w:spacing w:after="0" w:line="259" w:lineRule="auto"/>
        <w:tabs>
          <w:tab w:leader="none" w:pos="67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Transferability of an Incentive Stock Option</w:t>
      </w:r>
      <w:r>
        <w:rPr>
          <w:rFonts w:ascii="Times New Roman" w:cs="Times New Roman" w:eastAsia="Times New Roman" w:hAnsi="Times New Roman"/>
          <w:sz w:val="18"/>
          <w:szCs w:val="18"/>
          <w:color w:val="auto"/>
        </w:rPr>
        <w:t>. An Incentive Stock Option shall not be transferable except by will or by the laws of descent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and shall be exercisable during the lifetime of the Optionholder only by the Optionholder. Notwithstanding the foregoing provisions of this subsection 6(e), the Optionholder may, by delivering written notice to the Company, in a form satisfactory to the Company, designate a third party who, in the event of the death of the Optionholder, shall thereafter be entitled to exercise the Option.</w:t>
      </w:r>
    </w:p>
    <w:p>
      <w:pPr>
        <w:spacing w:after="0" w:line="132" w:lineRule="exact"/>
        <w:rPr>
          <w:rFonts w:ascii="Times New Roman" w:cs="Times New Roman" w:eastAsia="Times New Roman" w:hAnsi="Times New Roman"/>
          <w:sz w:val="18"/>
          <w:szCs w:val="18"/>
          <w:b w:val="1"/>
          <w:bCs w:val="1"/>
          <w:color w:val="auto"/>
        </w:rPr>
      </w:pPr>
    </w:p>
    <w:p>
      <w:pPr>
        <w:ind w:left="-20" w:right="20" w:firstLine="464"/>
        <w:spacing w:after="0" w:line="257" w:lineRule="auto"/>
        <w:tabs>
          <w:tab w:leader="none" w:pos="656"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 of a Nonstatutory Stock Option</w:t>
      </w:r>
      <w:r>
        <w:rPr>
          <w:rFonts w:ascii="Times New Roman" w:cs="Times New Roman" w:eastAsia="Times New Roman" w:hAnsi="Times New Roman"/>
          <w:sz w:val="18"/>
          <w:szCs w:val="18"/>
          <w:color w:val="auto"/>
        </w:rPr>
        <w:t>. A Nonstatutory Stock Option shall be transferable to the extent provided in the Option Agreement.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Nonstatutory Stock Option does not provide for transferability, then the Nonstatutory Stock Option shall not be transferable except by will or by the laws of descent and distribution and shall be exercisable during the lifetime of the Optionholder only by the Optionholder. Notwithstanding the foregoing provisions of this subsection 6(f), the Optionholder may, by delivering written notice to the Company, in a form satisfactory to the Company, designate a third party who, in the event of the death of the Optionholder, shall thereafter be entitled to exercise the Option.</w:t>
      </w:r>
    </w:p>
    <w:p>
      <w:pPr>
        <w:spacing w:after="0" w:line="134" w:lineRule="exact"/>
        <w:rPr>
          <w:rFonts w:ascii="Times New Roman" w:cs="Times New Roman" w:eastAsia="Times New Roman" w:hAnsi="Times New Roman"/>
          <w:sz w:val="18"/>
          <w:szCs w:val="18"/>
          <w:b w:val="1"/>
          <w:bCs w:val="1"/>
          <w:color w:val="auto"/>
        </w:rPr>
      </w:pPr>
    </w:p>
    <w:p>
      <w:pPr>
        <w:ind w:left="-20" w:right="40" w:firstLine="464"/>
        <w:spacing w:after="0" w:line="302" w:lineRule="auto"/>
        <w:tabs>
          <w:tab w:leader="none" w:pos="685"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Vesting Generally</w:t>
      </w:r>
      <w:r>
        <w:rPr>
          <w:rFonts w:ascii="Times New Roman" w:cs="Times New Roman" w:eastAsia="Times New Roman" w:hAnsi="Times New Roman"/>
          <w:sz w:val="16"/>
          <w:szCs w:val="16"/>
          <w:color w:val="auto"/>
        </w:rPr>
        <w:t>. The total number of shares of Common Stock subject to an Option may, but need not, vest and therefore become exercisable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periodic installments which may, but need not, be equal. The Option may be subject to such other terms and conditions on the time or times when it may be exercised (which may be based on performance or other criteria) as the Board may deem appropriate. The vesting provisions of individual Options may vary. The provisions of this subsection 6(g) are subject to any Option provisions governing the minimum number of shares as to which an Option may be exercised.</w:t>
      </w:r>
    </w:p>
    <w:p>
      <w:pPr>
        <w:spacing w:after="0" w:line="100" w:lineRule="exact"/>
        <w:rPr>
          <w:rFonts w:ascii="Times New Roman" w:cs="Times New Roman" w:eastAsia="Times New Roman" w:hAnsi="Times New Roman"/>
          <w:sz w:val="16"/>
          <w:szCs w:val="16"/>
          <w:b w:val="1"/>
          <w:bCs w:val="1"/>
          <w:color w:val="auto"/>
        </w:rPr>
      </w:pPr>
    </w:p>
    <w:p>
      <w:pPr>
        <w:ind w:left="-20" w:right="100" w:firstLine="464"/>
        <w:spacing w:after="0" w:line="257" w:lineRule="auto"/>
        <w:tabs>
          <w:tab w:leader="none" w:pos="69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Continuous Service</w:t>
      </w:r>
      <w:r>
        <w:rPr>
          <w:rFonts w:ascii="Times New Roman" w:cs="Times New Roman" w:eastAsia="Times New Roman" w:hAnsi="Times New Roman"/>
          <w:sz w:val="18"/>
          <w:szCs w:val="18"/>
          <w:color w:val="auto"/>
        </w:rPr>
        <w:t>. In the event an Optionholder’s Continuous Service terminates (other than upon the Optionholder’s death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the Optionholder may exercise his or her Option (to the extent that the Optionholder was entitled to exercise it as of the date of termination) but only within such period of time ending on the earlier of (i) the date three (3) months following the termination of the Optionholder’s Continuous Service (or such longer or shorter period specified in the Option Agreement), or (ii) the expiration of the term of the Option as set forth in the Option Agreement. If, after termination, the Optionholder does not exercise his or her Option within the time specified in the Option Agreement, the Option shall terminate.</w:t>
      </w:r>
    </w:p>
    <w:p>
      <w:pPr>
        <w:spacing w:after="0" w:line="134" w:lineRule="exact"/>
        <w:rPr>
          <w:rFonts w:ascii="Times New Roman" w:cs="Times New Roman" w:eastAsia="Times New Roman" w:hAnsi="Times New Roman"/>
          <w:sz w:val="18"/>
          <w:szCs w:val="18"/>
          <w:b w:val="1"/>
          <w:bCs w:val="1"/>
          <w:color w:val="auto"/>
        </w:rPr>
      </w:pPr>
    </w:p>
    <w:p>
      <w:pPr>
        <w:ind w:left="-20" w:right="60" w:firstLine="464"/>
        <w:spacing w:after="0" w:line="297" w:lineRule="auto"/>
        <w:tabs>
          <w:tab w:leader="none" w:pos="646"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Extension of Termination Date</w:t>
      </w:r>
      <w:r>
        <w:rPr>
          <w:rFonts w:ascii="Times New Roman" w:cs="Times New Roman" w:eastAsia="Times New Roman" w:hAnsi="Times New Roman"/>
          <w:sz w:val="16"/>
          <w:szCs w:val="16"/>
          <w:color w:val="auto"/>
        </w:rPr>
        <w:t>. An Optionholder’s Option Agreement may also provide that if the exercise of the Option following the termination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Optionholder’s Continuous Service (other than upon the Optionholder’s death or Disability) would be prohibited at any time solely because the issuance of shares would violate the registration requirements under the Securities Act, then the Option shall terminate on the earlier of (i) the expiration of the term of the Option set forth in subsection 6(a) or (ii) the expiration of a period of three (3) months (or such longer or shorter period specified in the Option Agreement) after the termination of the Optionholder’s Continuous Service during which the exercise of the Option would not be in violation of such registration requirements.</w:t>
      </w:r>
    </w:p>
    <w:p>
      <w:pPr>
        <w:spacing w:after="0" w:line="104" w:lineRule="exact"/>
        <w:rPr>
          <w:rFonts w:ascii="Times New Roman" w:cs="Times New Roman" w:eastAsia="Times New Roman" w:hAnsi="Times New Roman"/>
          <w:sz w:val="16"/>
          <w:szCs w:val="16"/>
          <w:b w:val="1"/>
          <w:bCs w:val="1"/>
          <w:color w:val="auto"/>
        </w:rPr>
      </w:pPr>
    </w:p>
    <w:p>
      <w:pPr>
        <w:ind w:left="-20" w:right="20" w:firstLine="464"/>
        <w:spacing w:after="0" w:line="277" w:lineRule="auto"/>
        <w:tabs>
          <w:tab w:leader="none" w:pos="656"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Disability of Optionholder</w:t>
      </w:r>
      <w:r>
        <w:rPr>
          <w:rFonts w:ascii="Times New Roman" w:cs="Times New Roman" w:eastAsia="Times New Roman" w:hAnsi="Times New Roman"/>
          <w:sz w:val="18"/>
          <w:szCs w:val="18"/>
          <w:color w:val="auto"/>
        </w:rPr>
        <w:t>. In the event an Optionholder’s Continuous Service terminates as a result of the Optionholder’s Disability, the Optionholder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exercise his or her</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60" w:top="272" w:right="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(to the extent that the Optionholder was entitled to exercise it as of the date of termination), but only within such period of time ending on the earlier of</w:t>
      </w:r>
    </w:p>
    <w:p>
      <w:pPr>
        <w:spacing w:after="0" w:line="44" w:lineRule="exact"/>
        <w:rPr>
          <w:sz w:val="20"/>
          <w:szCs w:val="20"/>
          <w:color w:val="auto"/>
        </w:rPr>
      </w:pPr>
    </w:p>
    <w:p>
      <w:pPr>
        <w:ind w:right="20" w:firstLine="8"/>
        <w:spacing w:after="0" w:line="255" w:lineRule="auto"/>
        <w:tabs>
          <w:tab w:leader="none" w:pos="2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twelve (12) months following such termination (or such longer or shorter period specified in the Option Agreement) or (ii) the expiration of the term of the Option as set forth in the Option Agreement. If, after termination, the Optionholder does not exercise his or her Option within the time specified herein, the Option shall terminate.</w:t>
      </w:r>
    </w:p>
    <w:p>
      <w:pPr>
        <w:spacing w:after="0" w:line="136" w:lineRule="exact"/>
        <w:rPr>
          <w:rFonts w:ascii="Times New Roman" w:cs="Times New Roman" w:eastAsia="Times New Roman" w:hAnsi="Times New Roman"/>
          <w:sz w:val="18"/>
          <w:szCs w:val="18"/>
          <w:color w:val="auto"/>
        </w:rPr>
      </w:pPr>
    </w:p>
    <w:p>
      <w:pPr>
        <w:ind w:right="40" w:firstLine="464"/>
        <w:spacing w:after="0" w:line="253" w:lineRule="auto"/>
        <w:tabs>
          <w:tab w:leader="none" w:pos="715"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Death of Optionholder</w:t>
      </w:r>
      <w:r>
        <w:rPr>
          <w:rFonts w:ascii="Times New Roman" w:cs="Times New Roman" w:eastAsia="Times New Roman" w:hAnsi="Times New Roman"/>
          <w:sz w:val="18"/>
          <w:szCs w:val="18"/>
          <w:color w:val="auto"/>
        </w:rPr>
        <w:t>. In the event an Optionholder’s Continuous Service terminates as a result of the Optionholder’s death, then, subject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in the Option Agreement, the Option shall become fully vested and exercisable as of the date of termination. In the event (i) an Optionholder’s Continuous Service terminates as a result of the Optionholder’s death or (ii) the Optionholder dies within the period (if any) specified in the Option Agreement after the termination of the Optionholder’s Continuous Service for a reason other than death, then the Option may be exercised (to the extent the Optionholder was entitled to exercise the Option as of the date of death) by the Optionholder’s estate, by a person who acquired the right to exercise the Option by bequest or inheritance or by a person designated to exercise the Option upon the Optionholder’s death pursuant to subsection 6(e) or 6(f), but only within the period ending on the earlier of (1) the date eighteen (18) months following the date of death (or such longer or shorter period specified in the Option Agreement) or (2) the expiration of the term of such Option as set forth in the Option Agreement. If, after death, the Option is not exercised within the time specified herein, the Option shall terminate.</w:t>
      </w:r>
    </w:p>
    <w:p>
      <w:pPr>
        <w:spacing w:after="0" w:line="143" w:lineRule="exact"/>
        <w:rPr>
          <w:rFonts w:ascii="Times New Roman" w:cs="Times New Roman" w:eastAsia="Times New Roman" w:hAnsi="Times New Roman"/>
          <w:sz w:val="18"/>
          <w:szCs w:val="18"/>
          <w:b w:val="1"/>
          <w:bCs w:val="1"/>
          <w:color w:val="auto"/>
        </w:rPr>
      </w:pPr>
    </w:p>
    <w:p>
      <w:pPr>
        <w:ind w:right="80" w:firstLine="464"/>
        <w:spacing w:after="0" w:line="259" w:lineRule="auto"/>
        <w:tabs>
          <w:tab w:leader="none" w:pos="666"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Early Exercise</w:t>
      </w:r>
      <w:r>
        <w:rPr>
          <w:rFonts w:ascii="Times New Roman" w:cs="Times New Roman" w:eastAsia="Times New Roman" w:hAnsi="Times New Roman"/>
          <w:sz w:val="18"/>
          <w:szCs w:val="18"/>
          <w:color w:val="auto"/>
        </w:rPr>
        <w:t>. The Option may, but need not, include a provision whereby the Optionholder may elect at any time before the Optionholder’s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Continuous Service terminates to exercise the Option as to any part or all of the shares subject to the Option prior to the full vesting of the Option. Any unvested shares so purchased may be subject to an unvested share repurchase option in favor of the Company or to any other restriction the Board determines to be appropriate.</w:t>
      </w:r>
    </w:p>
    <w:p>
      <w:pPr>
        <w:spacing w:after="0" w:line="214"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ROVISIONS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 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w:t>
      </w:r>
      <w:r>
        <w:rPr>
          <w:rFonts w:ascii="Times New Roman" w:cs="Times New Roman" w:eastAsia="Times New Roman" w:hAnsi="Times New Roman"/>
          <w:sz w:val="18"/>
          <w:szCs w:val="18"/>
          <w:b w:val="1"/>
          <w:bCs w:val="1"/>
          <w:color w:val="auto"/>
        </w:rPr>
        <w:t>.</w:t>
      </w:r>
    </w:p>
    <w:p>
      <w:pPr>
        <w:spacing w:after="0" w:line="90" w:lineRule="exact"/>
        <w:rPr>
          <w:rFonts w:ascii="Times New Roman" w:cs="Times New Roman" w:eastAsia="Times New Roman" w:hAnsi="Times New Roman"/>
          <w:sz w:val="18"/>
          <w:szCs w:val="18"/>
          <w:b w:val="1"/>
          <w:bCs w:val="1"/>
          <w:color w:val="auto"/>
        </w:rPr>
      </w:pPr>
    </w:p>
    <w:p>
      <w:pPr>
        <w:ind w:left="720" w:hanging="256"/>
        <w:spacing w:after="0"/>
        <w:tabs>
          <w:tab w:leader="none" w:pos="72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Bonus Awards</w:t>
      </w:r>
      <w:r>
        <w:rPr>
          <w:rFonts w:ascii="Times New Roman" w:cs="Times New Roman" w:eastAsia="Times New Roman" w:hAnsi="Times New Roman"/>
          <w:sz w:val="18"/>
          <w:szCs w:val="18"/>
          <w:color w:val="auto"/>
        </w:rPr>
        <w:t>. Each stock bonus agreement shall be in such form and shall contain such terms and conditions as the Board shall deem</w:t>
      </w:r>
    </w:p>
    <w:p>
      <w:pPr>
        <w:spacing w:after="0" w:line="23" w:lineRule="exact"/>
        <w:rPr>
          <w:rFonts w:ascii="Times New Roman" w:cs="Times New Roman" w:eastAsia="Times New Roman" w:hAnsi="Times New Roman"/>
          <w:sz w:val="18"/>
          <w:szCs w:val="18"/>
          <w:b w:val="1"/>
          <w:bCs w:val="1"/>
          <w:color w:val="auto"/>
        </w:rPr>
      </w:pPr>
    </w:p>
    <w:p>
      <w:pPr>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appropriate. The terms and conditions of stock bonus agreements may change from time to time, and the terms and conditions of separate stock bonus agreements need not be identical, but each stock bonus agreement shall include (through incorporation of provisions hereof by reference in the agreement or otherwise) the substance of each of the following provisions:</w:t>
      </w:r>
    </w:p>
    <w:p>
      <w:pPr>
        <w:spacing w:after="0" w:line="55" w:lineRule="exact"/>
        <w:rPr>
          <w:rFonts w:ascii="Times New Roman" w:cs="Times New Roman" w:eastAsia="Times New Roman" w:hAnsi="Times New Roman"/>
          <w:sz w:val="18"/>
          <w:szCs w:val="18"/>
          <w:b w:val="1"/>
          <w:bCs w:val="1"/>
          <w:color w:val="auto"/>
        </w:rPr>
      </w:pPr>
    </w:p>
    <w:p>
      <w:pPr>
        <w:ind w:left="720" w:hanging="256"/>
        <w:spacing w:after="0"/>
        <w:tabs>
          <w:tab w:leader="none" w:pos="72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A stock bonus shall be awarded in consideration for past services actually rendered to the Company for its benefit.</w:t>
      </w:r>
    </w:p>
    <w:p>
      <w:pPr>
        <w:spacing w:after="0" w:line="171" w:lineRule="exact"/>
        <w:rPr>
          <w:rFonts w:ascii="Times New Roman" w:cs="Times New Roman" w:eastAsia="Times New Roman" w:hAnsi="Times New Roman"/>
          <w:sz w:val="18"/>
          <w:szCs w:val="18"/>
          <w:b w:val="1"/>
          <w:bCs w:val="1"/>
          <w:color w:val="auto"/>
        </w:rPr>
      </w:pPr>
    </w:p>
    <w:p>
      <w:pPr>
        <w:ind w:right="100" w:firstLine="464"/>
        <w:spacing w:after="0" w:line="277" w:lineRule="auto"/>
        <w:tabs>
          <w:tab w:leader="none" w:pos="695"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Shares of Common Stock awarded under the stock bonus agreement may, but need not, be subject to a share repurchase option in favor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accordance with a vesting schedule to be determined by the Board.</w:t>
      </w:r>
    </w:p>
    <w:p>
      <w:pPr>
        <w:spacing w:after="0" w:line="116" w:lineRule="exact"/>
        <w:rPr>
          <w:rFonts w:ascii="Times New Roman" w:cs="Times New Roman" w:eastAsia="Times New Roman" w:hAnsi="Times New Roman"/>
          <w:sz w:val="18"/>
          <w:szCs w:val="18"/>
          <w:b w:val="1"/>
          <w:bCs w:val="1"/>
          <w:color w:val="auto"/>
        </w:rPr>
      </w:pPr>
    </w:p>
    <w:p>
      <w:pPr>
        <w:jc w:val="both"/>
        <w:ind w:right="60" w:firstLine="464"/>
        <w:spacing w:after="0" w:line="264" w:lineRule="auto"/>
        <w:tabs>
          <w:tab w:leader="none" w:pos="715"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Participant’s Continuous Service</w:t>
      </w:r>
      <w:r>
        <w:rPr>
          <w:rFonts w:ascii="Times New Roman" w:cs="Times New Roman" w:eastAsia="Times New Roman" w:hAnsi="Times New Roman"/>
          <w:sz w:val="18"/>
          <w:szCs w:val="18"/>
          <w:color w:val="auto"/>
        </w:rPr>
        <w:t>. In the event a Participant’s Continuous Service terminates, the Company may reacquire any 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shares of Common Stock held by the Participant that have not vested as of the date of termination under the terms of the stock bonus agreement; provided, however, that in the event a Participant’s Continuous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274" w:right="279" w:bottom="1440" w:gutter="0" w:footer="0" w:header="0"/>
        </w:sectPr>
      </w:pPr>
    </w:p>
    <w:bookmarkStart w:id="12" w:name="page13"/>
    <w:bookmarkEnd w:id="12"/>
    <w:p>
      <w:pPr>
        <w:ind w:right="2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 terminates as a result of the Participant’s death, then, subject to any restrictions in the stock bonus agreement, the shares acquired pursuant to the stock bonus agreement shall become fully vested as of the date of termination.</w:t>
      </w:r>
    </w:p>
    <w:p>
      <w:pPr>
        <w:spacing w:after="0" w:line="118" w:lineRule="exact"/>
        <w:rPr>
          <w:sz w:val="20"/>
          <w:szCs w:val="20"/>
          <w:color w:val="auto"/>
        </w:rPr>
      </w:pPr>
    </w:p>
    <w:p>
      <w:pPr>
        <w:ind w:right="60" w:firstLine="464"/>
        <w:spacing w:after="0" w:line="264" w:lineRule="auto"/>
        <w:tabs>
          <w:tab w:leader="none" w:pos="692"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Rights to acquire shares under the stock bonus agreement shall be transferable by the Participant only upon such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are set forth in the stock bonus agreement, as the Board shall determine in its discretion, so long as stock awarded under the stock bonus agreement remains subject to the terms of the stock bonus agreement.</w:t>
      </w:r>
    </w:p>
    <w:p>
      <w:pPr>
        <w:spacing w:after="0" w:line="127" w:lineRule="exact"/>
        <w:rPr>
          <w:rFonts w:ascii="Times New Roman" w:cs="Times New Roman" w:eastAsia="Times New Roman" w:hAnsi="Times New Roman"/>
          <w:sz w:val="18"/>
          <w:szCs w:val="18"/>
          <w:b w:val="1"/>
          <w:bCs w:val="1"/>
          <w:color w:val="auto"/>
        </w:rPr>
      </w:pPr>
    </w:p>
    <w:p>
      <w:pPr>
        <w:jc w:val="both"/>
        <w:ind w:right="300" w:firstLine="464"/>
        <w:spacing w:after="0" w:line="259" w:lineRule="auto"/>
        <w:tabs>
          <w:tab w:leader="none" w:pos="67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Awards</w:t>
      </w:r>
      <w:r>
        <w:rPr>
          <w:rFonts w:ascii="Times New Roman" w:cs="Times New Roman" w:eastAsia="Times New Roman" w:hAnsi="Times New Roman"/>
          <w:sz w:val="18"/>
          <w:szCs w:val="18"/>
          <w:color w:val="auto"/>
        </w:rPr>
        <w:t>. Each restricted stock purchase agreement shall be in such form and shall contain such terms and conditions as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deem appropriate. The terms and conditions of the restricted stock purchase agreements may change from time to time, and the terms and conditions of separate restricted stock purchase agreements need not be identical, but each restricted stock purchase agreement shall include (through incorporation of provisions hereof by reference in the agreement or otherwise) the substance of each of the following provisions:</w:t>
      </w:r>
    </w:p>
    <w:p>
      <w:pPr>
        <w:spacing w:after="0" w:line="132" w:lineRule="exact"/>
        <w:rPr>
          <w:rFonts w:ascii="Times New Roman" w:cs="Times New Roman" w:eastAsia="Times New Roman" w:hAnsi="Times New Roman"/>
          <w:sz w:val="18"/>
          <w:szCs w:val="18"/>
          <w:b w:val="1"/>
          <w:bCs w:val="1"/>
          <w:color w:val="auto"/>
        </w:rPr>
      </w:pPr>
    </w:p>
    <w:p>
      <w:pPr>
        <w:ind w:firstLine="464"/>
        <w:spacing w:after="0" w:line="264" w:lineRule="auto"/>
        <w:tabs>
          <w:tab w:leader="none" w:pos="70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The purchase price under each restricted stock purchase agreement shall be such amount as the Board shall determine and designate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restricted stock purchase agreement. The purchase price shall not be less than eighty-five percent (85%) of the stock’s Fair Market Value on the date such award is made or at the time the purchase is consummated.</w:t>
      </w:r>
    </w:p>
    <w:p>
      <w:pPr>
        <w:spacing w:after="0" w:line="127" w:lineRule="exact"/>
        <w:rPr>
          <w:rFonts w:ascii="Times New Roman" w:cs="Times New Roman" w:eastAsia="Times New Roman" w:hAnsi="Times New Roman"/>
          <w:sz w:val="18"/>
          <w:szCs w:val="18"/>
          <w:b w:val="1"/>
          <w:bCs w:val="1"/>
          <w:color w:val="auto"/>
        </w:rPr>
      </w:pPr>
    </w:p>
    <w:p>
      <w:pPr>
        <w:jc w:val="both"/>
        <w:ind w:firstLine="464"/>
        <w:spacing w:after="0" w:line="259" w:lineRule="auto"/>
        <w:tabs>
          <w:tab w:leader="none" w:pos="71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The purchase price of stock acquired pursuant to the restricted stock purchase agreement shall be paid either: (i) in cash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(ii) at the discretion of the Board, according to a deferred payment or other similar arrangement with the Participant; or (iii) in any other form of legal consideration that may be acceptable to the Board in its discretion; provided, however, that at any time that the Company is incorporated in Delaware, payment of the Common Stock’s “par value,” as defined in the Delaware General Corporation Law, shall not be made by deferred payment.</w:t>
      </w:r>
    </w:p>
    <w:p>
      <w:pPr>
        <w:spacing w:after="0" w:line="132" w:lineRule="exact"/>
        <w:rPr>
          <w:rFonts w:ascii="Times New Roman" w:cs="Times New Roman" w:eastAsia="Times New Roman" w:hAnsi="Times New Roman"/>
          <w:sz w:val="18"/>
          <w:szCs w:val="18"/>
          <w:b w:val="1"/>
          <w:bCs w:val="1"/>
          <w:color w:val="auto"/>
        </w:rPr>
      </w:pPr>
    </w:p>
    <w:p>
      <w:pPr>
        <w:ind w:right="80" w:firstLine="464"/>
        <w:spacing w:after="0" w:line="277" w:lineRule="auto"/>
        <w:tabs>
          <w:tab w:leader="none" w:pos="66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Shares of Common Stock acquired under the restricted stock purchase agreement may, but need not, be subject to a share repurchase option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favor of the Company in accordance with a vesting schedule to be determined by the Board.</w:t>
      </w:r>
    </w:p>
    <w:p>
      <w:pPr>
        <w:spacing w:after="0" w:line="116" w:lineRule="exact"/>
        <w:rPr>
          <w:rFonts w:ascii="Times New Roman" w:cs="Times New Roman" w:eastAsia="Times New Roman" w:hAnsi="Times New Roman"/>
          <w:sz w:val="18"/>
          <w:szCs w:val="18"/>
          <w:b w:val="1"/>
          <w:bCs w:val="1"/>
          <w:color w:val="auto"/>
        </w:rPr>
      </w:pPr>
    </w:p>
    <w:p>
      <w:pPr>
        <w:ind w:right="20" w:firstLine="464"/>
        <w:spacing w:after="0" w:line="257" w:lineRule="auto"/>
        <w:tabs>
          <w:tab w:leader="none" w:pos="67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Participant’s Continuous Service</w:t>
      </w:r>
      <w:r>
        <w:rPr>
          <w:rFonts w:ascii="Times New Roman" w:cs="Times New Roman" w:eastAsia="Times New Roman" w:hAnsi="Times New Roman"/>
          <w:sz w:val="18"/>
          <w:szCs w:val="18"/>
          <w:color w:val="auto"/>
        </w:rPr>
        <w:t>. In the event a Participant’s Continuous Service terminates, the Company may repurchase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reacquire any or all of the shares of Common Stock held by the Participant that have not vested as of the date of termination under the terms of the restricted stock purchase agreement; provided, however, that in the event a Participant’s Continuous Service terminates as a result of the Participant’s death, then, subject to any restrictions in the restricted stock purchase agreement, the shares acquired pursuant to the restricted stock purchase agreement shall become fully vested as of the date of termination.</w:t>
      </w:r>
    </w:p>
    <w:p>
      <w:pPr>
        <w:spacing w:after="0" w:line="134" w:lineRule="exact"/>
        <w:rPr>
          <w:rFonts w:ascii="Times New Roman" w:cs="Times New Roman" w:eastAsia="Times New Roman" w:hAnsi="Times New Roman"/>
          <w:sz w:val="18"/>
          <w:szCs w:val="18"/>
          <w:b w:val="1"/>
          <w:bCs w:val="1"/>
          <w:color w:val="auto"/>
        </w:rPr>
      </w:pPr>
    </w:p>
    <w:p>
      <w:pPr>
        <w:ind w:right="220" w:firstLine="464"/>
        <w:spacing w:after="0" w:line="264" w:lineRule="auto"/>
        <w:tabs>
          <w:tab w:leader="none" w:pos="71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Rights to acquire shares under the restricted stock purchase agreement shall be transferable by the Participant only upon such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as are set forth in the restricted stock purchase agreement, as the Board shall determine in its discretion, so long as stock awarded under the restricted stock purchase agreement remains subject to the terms of the restricted stock purchase agreement.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274" w:right="279" w:bottom="1440" w:gutter="0" w:footer="0" w:header="0"/>
        </w:sectPr>
      </w:pPr>
    </w:p>
    <w:bookmarkStart w:id="13" w:name="page14"/>
    <w:bookmarkEnd w:id="13"/>
    <w:p>
      <w:pPr>
        <w:ind w:left="172" w:hanging="172"/>
        <w:spacing w:after="0"/>
        <w:tabs>
          <w:tab w:leader="none" w:pos="17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90" w:lineRule="exact"/>
        <w:rPr>
          <w:rFonts w:ascii="Times New Roman" w:cs="Times New Roman" w:eastAsia="Times New Roman" w:hAnsi="Times New Roman"/>
          <w:sz w:val="18"/>
          <w:szCs w:val="18"/>
          <w:b w:val="1"/>
          <w:bCs w:val="1"/>
          <w:color w:val="auto"/>
        </w:rPr>
      </w:pPr>
    </w:p>
    <w:p>
      <w:pPr>
        <w:ind w:left="-8" w:right="200" w:firstLine="464"/>
        <w:spacing w:after="0" w:line="277" w:lineRule="auto"/>
        <w:tabs>
          <w:tab w:leader="none" w:pos="697"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Availability of Shares</w:t>
      </w:r>
      <w:r>
        <w:rPr>
          <w:rFonts w:ascii="Times New Roman" w:cs="Times New Roman" w:eastAsia="Times New Roman" w:hAnsi="Times New Roman"/>
          <w:sz w:val="18"/>
          <w:szCs w:val="18"/>
          <w:color w:val="auto"/>
        </w:rPr>
        <w:t>. During the terms of the Stock Awards, the Company shall keep available at all times the number of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satisfy such Stock Awards.</w:t>
      </w:r>
    </w:p>
    <w:p>
      <w:pPr>
        <w:spacing w:after="0" w:line="116" w:lineRule="exact"/>
        <w:rPr>
          <w:rFonts w:ascii="Times New Roman" w:cs="Times New Roman" w:eastAsia="Times New Roman" w:hAnsi="Times New Roman"/>
          <w:sz w:val="18"/>
          <w:szCs w:val="18"/>
          <w:b w:val="1"/>
          <w:bCs w:val="1"/>
          <w:color w:val="auto"/>
        </w:rPr>
      </w:pPr>
    </w:p>
    <w:p>
      <w:pPr>
        <w:ind w:left="-8" w:firstLine="464"/>
        <w:spacing w:after="0" w:line="255" w:lineRule="auto"/>
        <w:tabs>
          <w:tab w:leader="none" w:pos="707"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Law Compliance</w:t>
      </w:r>
      <w:r>
        <w:rPr>
          <w:rFonts w:ascii="Times New Roman" w:cs="Times New Roman" w:eastAsia="Times New Roman" w:hAnsi="Times New Roman"/>
          <w:sz w:val="18"/>
          <w:szCs w:val="18"/>
          <w:color w:val="auto"/>
        </w:rPr>
        <w:t>. The Company shall seek to obtain from each regulatory commission or agency having jurisdiction over the Plan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as may be required to grant Stock Awards and to issue and sell shares of Common Stock upon exercise of the Stock Awards; provided, however, that this undertaking shall not require the Company to register under the Securities Act the Plan, any Stock Award or any stock issued or issuable pursuant to any such Stock Award. If, after reasonable efforts, the Company is unable to obtain from any such regulatory commission or agency the authority which counsel for the Company deems necessary for the lawful issuance and sale of stock under the Plan, the Company shall be relieved from any liability for failure to issue and sell stock upon exercise of such Stock Awards unless and until such authority is obtained.</w:t>
      </w:r>
    </w:p>
    <w:p>
      <w:pPr>
        <w:spacing w:after="0" w:line="220"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4"/>
          <w:szCs w:val="14"/>
          <w:b w:val="1"/>
          <w:bCs w:val="1"/>
          <w:color w:val="auto"/>
        </w:rPr>
        <w:t>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ROCEEDS</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ROM</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Proceeds from the sale of stock pursuant to Stock Awards shall constitute general funds of the Company.</w:t>
      </w:r>
    </w:p>
    <w:p>
      <w:pPr>
        <w:spacing w:after="0" w:line="250" w:lineRule="exact"/>
        <w:rPr>
          <w:sz w:val="20"/>
          <w:szCs w:val="20"/>
          <w:color w:val="auto"/>
        </w:rPr>
      </w:pPr>
    </w:p>
    <w:p>
      <w:pPr>
        <w:ind w:left="272" w:hanging="272"/>
        <w:spacing w:after="0"/>
        <w:tabs>
          <w:tab w:leader="none" w:pos="27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w:t>
      </w:r>
    </w:p>
    <w:p>
      <w:pPr>
        <w:spacing w:after="0" w:line="90" w:lineRule="exact"/>
        <w:rPr>
          <w:rFonts w:ascii="Times New Roman" w:cs="Times New Roman" w:eastAsia="Times New Roman" w:hAnsi="Times New Roman"/>
          <w:sz w:val="18"/>
          <w:szCs w:val="18"/>
          <w:b w:val="1"/>
          <w:bCs w:val="1"/>
          <w:color w:val="auto"/>
        </w:rPr>
      </w:pPr>
    </w:p>
    <w:p>
      <w:pPr>
        <w:ind w:left="-8" w:right="20" w:firstLine="464"/>
        <w:spacing w:after="0" w:line="264" w:lineRule="auto"/>
        <w:tabs>
          <w:tab w:leader="none" w:pos="687"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Acceleration of Exercisability and Vesting</w:t>
      </w:r>
      <w:r>
        <w:rPr>
          <w:rFonts w:ascii="Times New Roman" w:cs="Times New Roman" w:eastAsia="Times New Roman" w:hAnsi="Times New Roman"/>
          <w:sz w:val="18"/>
          <w:szCs w:val="18"/>
          <w:color w:val="auto"/>
        </w:rPr>
        <w:t>. The Board shall have the power to accelerate the time at which a Stock Award may first be exercised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time during which a Stock Award or any part thereof will vest in accordance with the Plan, notwithstanding the provisions in the Stock Award stating the time at which it may first be exercised or the time during which it will vest.</w:t>
      </w:r>
    </w:p>
    <w:p>
      <w:pPr>
        <w:spacing w:after="0" w:line="127" w:lineRule="exact"/>
        <w:rPr>
          <w:rFonts w:ascii="Times New Roman" w:cs="Times New Roman" w:eastAsia="Times New Roman" w:hAnsi="Times New Roman"/>
          <w:sz w:val="18"/>
          <w:szCs w:val="18"/>
          <w:b w:val="1"/>
          <w:bCs w:val="1"/>
          <w:color w:val="auto"/>
        </w:rPr>
      </w:pPr>
    </w:p>
    <w:p>
      <w:pPr>
        <w:ind w:left="-8" w:right="200" w:firstLine="464"/>
        <w:spacing w:after="0" w:line="277" w:lineRule="auto"/>
        <w:tabs>
          <w:tab w:leader="none" w:pos="707"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 Rights</w:t>
      </w:r>
      <w:r>
        <w:rPr>
          <w:rFonts w:ascii="Times New Roman" w:cs="Times New Roman" w:eastAsia="Times New Roman" w:hAnsi="Times New Roman"/>
          <w:sz w:val="18"/>
          <w:szCs w:val="18"/>
          <w:color w:val="auto"/>
        </w:rPr>
        <w:t>. No Participant shall be deemed to be the holder of, or to have any of the rights of a holder with respect to, any shares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Stock Award unless and until such Participant has satisfied all requirements for exercise of the Stock Award pursuant to its terms.</w:t>
      </w:r>
    </w:p>
    <w:p>
      <w:pPr>
        <w:spacing w:after="0" w:line="116" w:lineRule="exact"/>
        <w:rPr>
          <w:rFonts w:ascii="Times New Roman" w:cs="Times New Roman" w:eastAsia="Times New Roman" w:hAnsi="Times New Roman"/>
          <w:sz w:val="18"/>
          <w:szCs w:val="18"/>
          <w:b w:val="1"/>
          <w:bCs w:val="1"/>
          <w:color w:val="auto"/>
        </w:rPr>
      </w:pPr>
    </w:p>
    <w:p>
      <w:pPr>
        <w:ind w:left="-8" w:right="120" w:firstLine="464"/>
        <w:spacing w:after="0" w:line="255" w:lineRule="auto"/>
        <w:tabs>
          <w:tab w:leader="none" w:pos="687"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Employment or other Service Rights</w:t>
      </w:r>
      <w:r>
        <w:rPr>
          <w:rFonts w:ascii="Times New Roman" w:cs="Times New Roman" w:eastAsia="Times New Roman" w:hAnsi="Times New Roman"/>
          <w:sz w:val="18"/>
          <w:szCs w:val="18"/>
          <w:color w:val="auto"/>
        </w:rPr>
        <w:t>. Nothing in the Plan or any instrument executed or Stock Award granted pursuant thereto shall confer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Participant or other holder of Stock Awards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39" w:lineRule="exact"/>
        <w:rPr>
          <w:rFonts w:ascii="Times New Roman" w:cs="Times New Roman" w:eastAsia="Times New Roman" w:hAnsi="Times New Roman"/>
          <w:sz w:val="18"/>
          <w:szCs w:val="18"/>
          <w:b w:val="1"/>
          <w:bCs w:val="1"/>
          <w:color w:val="auto"/>
        </w:rPr>
      </w:pPr>
    </w:p>
    <w:p>
      <w:pPr>
        <w:ind w:left="-8" w:right="80" w:firstLine="464"/>
        <w:spacing w:after="0" w:line="259" w:lineRule="auto"/>
        <w:tabs>
          <w:tab w:leader="none" w:pos="707"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Stock Option $100,000 Limitation</w:t>
      </w:r>
      <w:r>
        <w:rPr>
          <w:rFonts w:ascii="Times New Roman" w:cs="Times New Roman" w:eastAsia="Times New Roman" w:hAnsi="Times New Roman"/>
          <w:sz w:val="18"/>
          <w:szCs w:val="18"/>
          <w:color w:val="auto"/>
        </w:rPr>
        <w:t>. To the extent that the aggregate Fair Market Value (determined at the time of grant) of stock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which Incentive Stock Options are exercisable for the first time by any Optionholder during any calendar year (under all plans of the Company and its Affiliates) exceeds one hundred thousand dollars ($100,000), the Options or portions thereof which exceed such limit (according to the order in which they were granted) shall be treated as Nonstatutory Stock Options.</w:t>
      </w:r>
    </w:p>
    <w:p>
      <w:pPr>
        <w:spacing w:after="0" w:line="12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72"/>
          </w:cols>
          <w:pgMar w:left="248" w:top="272" w:right="279" w:bottom="1440" w:gutter="0" w:footer="0" w:header="0"/>
        </w:sectPr>
      </w:pPr>
    </w:p>
    <w:bookmarkStart w:id="14" w:name="page15"/>
    <w:bookmarkEnd w:id="14"/>
    <w:p>
      <w:pPr>
        <w:ind w:left="-8" w:right="20" w:firstLine="464"/>
        <w:spacing w:after="0" w:line="253" w:lineRule="auto"/>
        <w:tabs>
          <w:tab w:leader="none" w:pos="687"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 Assurances</w:t>
      </w:r>
      <w:r>
        <w:rPr>
          <w:rFonts w:ascii="Times New Roman" w:cs="Times New Roman" w:eastAsia="Times New Roman" w:hAnsi="Times New Roman"/>
          <w:sz w:val="18"/>
          <w:szCs w:val="18"/>
          <w:color w:val="auto"/>
        </w:rPr>
        <w:t>. The Company may require a Participant, as a condition of exercising or acquiring stock under any Stock Award, (i) to give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the stock subject to the Stock Award for the Participant’s own account and not with any present intention of selling or otherwise distributing the stock. The foregoing requirements, and any assurances given pursuant to such requirements, shall be inoperative if (iii) the issuance of the shares upon the exercise or acquisition of stock under the Stock Award has been registered under a then currently effective registration statement under the Securities Act or (iv)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stock.</w:t>
      </w:r>
    </w:p>
    <w:p>
      <w:pPr>
        <w:spacing w:after="0" w:line="138" w:lineRule="exact"/>
        <w:rPr>
          <w:rFonts w:ascii="Times New Roman" w:cs="Times New Roman" w:eastAsia="Times New Roman" w:hAnsi="Times New Roman"/>
          <w:sz w:val="18"/>
          <w:szCs w:val="18"/>
          <w:b w:val="1"/>
          <w:bCs w:val="1"/>
          <w:color w:val="auto"/>
        </w:rPr>
      </w:pPr>
    </w:p>
    <w:p>
      <w:pPr>
        <w:jc w:val="both"/>
        <w:ind w:left="-8" w:right="160" w:firstLine="464"/>
        <w:spacing w:after="0" w:line="255" w:lineRule="auto"/>
        <w:tabs>
          <w:tab w:leader="none" w:pos="668"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Obligations</w:t>
      </w:r>
      <w:r>
        <w:rPr>
          <w:rFonts w:ascii="Times New Roman" w:cs="Times New Roman" w:eastAsia="Times New Roman" w:hAnsi="Times New Roman"/>
          <w:sz w:val="18"/>
          <w:szCs w:val="18"/>
          <w:color w:val="auto"/>
        </w:rPr>
        <w:t>. To the extent provided by the terms of a Stock Award Agreement, the Participant may satisfy any federal, state or local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obligation relating to the exercise or acquisition of stock under a Stock Award by any of the following means (in addition to the Company’s right to withhold from any compensation paid to the Participant by the Company) or by a combination of such means: (i) tendering a cash payment; (ii) authorizing the Company to withhold shares from the shares of the Common Stock otherwise issuable to the Participant as a result of the exercise or acquisition of stock under the Stock Award, provided, however, that no shares of Common Stock are withheld with a value exceeding the minimum amount of tax required to be withheld by law; or (iii) delivering to the Company owned and unencumbered shares of the Common Stock.</w:t>
      </w:r>
    </w:p>
    <w:p>
      <w:pPr>
        <w:spacing w:after="0" w:line="220" w:lineRule="exact"/>
        <w:rPr>
          <w:rFonts w:ascii="Times New Roman" w:cs="Times New Roman" w:eastAsia="Times New Roman" w:hAnsi="Times New Roman"/>
          <w:sz w:val="18"/>
          <w:szCs w:val="18"/>
          <w:b w:val="1"/>
          <w:bCs w:val="1"/>
          <w:color w:val="auto"/>
        </w:rPr>
      </w:pPr>
    </w:p>
    <w:p>
      <w:pPr>
        <w:ind w:left="252" w:hanging="252"/>
        <w:spacing w:after="0"/>
        <w:tabs>
          <w:tab w:leader="none" w:pos="25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DJUSTMENTS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w:t>
      </w:r>
    </w:p>
    <w:p>
      <w:pPr>
        <w:spacing w:after="0" w:line="90" w:lineRule="exact"/>
        <w:rPr>
          <w:rFonts w:ascii="Times New Roman" w:cs="Times New Roman" w:eastAsia="Times New Roman" w:hAnsi="Times New Roman"/>
          <w:sz w:val="18"/>
          <w:szCs w:val="18"/>
          <w:b w:val="1"/>
          <w:bCs w:val="1"/>
          <w:color w:val="auto"/>
        </w:rPr>
      </w:pPr>
    </w:p>
    <w:p>
      <w:pPr>
        <w:ind w:left="-8" w:firstLine="464"/>
        <w:spacing w:after="0" w:line="254" w:lineRule="auto"/>
        <w:tabs>
          <w:tab w:leader="none" w:pos="697"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If any change is made in the stock subject to the Plan, or subject to any Stock Award, without the receipt of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 Plan will be appropriately adjusted in the class(es) and maximum number of securities subject to the Plan pursuant to subsection 4(a) and the maximum number of securities subject to award to any person pursuant to subsection 5(c), and the outstanding Stock Awards will be appropriately adjusted in the class(es) and number of securities and price per share of stock subject to such outstanding Stock Awards. Such adjustments shall be made by the Board, the determination of which shall be final, binding and conclusive. (The conversion of any convertible securities of the Company shall not be treated as a transaction “without receipt of consideration” by the Company.)</w:t>
      </w:r>
    </w:p>
    <w:p>
      <w:pPr>
        <w:spacing w:after="0" w:line="1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12"/>
          </w:cols>
          <w:pgMar w:left="248" w:top="272" w:right="239" w:bottom="1440" w:gutter="0" w:footer="0" w:header="0"/>
        </w:sectPr>
      </w:pPr>
    </w:p>
    <w:bookmarkStart w:id="15" w:name="page16"/>
    <w:bookmarkEnd w:id="15"/>
    <w:p>
      <w:pPr>
        <w:ind w:left="-8" w:firstLine="464"/>
        <w:spacing w:after="0" w:line="277" w:lineRule="auto"/>
        <w:tabs>
          <w:tab w:leader="none" w:pos="707"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Dissolution or Liquidation</w:t>
      </w:r>
      <w:r>
        <w:rPr>
          <w:rFonts w:ascii="Times New Roman" w:cs="Times New Roman" w:eastAsia="Times New Roman" w:hAnsi="Times New Roman"/>
          <w:sz w:val="18"/>
          <w:szCs w:val="18"/>
          <w:color w:val="auto"/>
        </w:rPr>
        <w:t>. In the event of a dissolution or liquidation of the Company, then such Stock Awards shall be terminated if not exercised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prior to such event.</w:t>
      </w:r>
    </w:p>
    <w:p>
      <w:pPr>
        <w:spacing w:after="0" w:line="116" w:lineRule="exact"/>
        <w:rPr>
          <w:rFonts w:ascii="Times New Roman" w:cs="Times New Roman" w:eastAsia="Times New Roman" w:hAnsi="Times New Roman"/>
          <w:sz w:val="18"/>
          <w:szCs w:val="18"/>
          <w:b w:val="1"/>
          <w:bCs w:val="1"/>
          <w:color w:val="auto"/>
        </w:rPr>
      </w:pPr>
    </w:p>
    <w:p>
      <w:pPr>
        <w:ind w:left="-8" w:right="20" w:firstLine="464"/>
        <w:spacing w:after="0" w:line="253" w:lineRule="auto"/>
        <w:tabs>
          <w:tab w:leader="none" w:pos="687"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Transaction</w:t>
      </w:r>
      <w:r>
        <w:rPr>
          <w:rFonts w:ascii="Times New Roman" w:cs="Times New Roman" w:eastAsia="Times New Roman" w:hAnsi="Times New Roman"/>
          <w:sz w:val="18"/>
          <w:szCs w:val="18"/>
          <w:color w:val="auto"/>
        </w:rPr>
        <w:t>. In the event of (1) a sale, lease or other disposition of all or substantially all of the assets of the Company, (2) a merger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consolidation in which the Company is not the surviving corporation or (3) a reverse merger in which the Company is the surviving corporation but the shares of Common Stock outstanding immediately preceding the merger are converted by virtue of the merger into other property, whether in the form of securities, cash or otherwise (a “Corporate Transaction”), then any surviving corporation or acquiring corporation shall assume any Stock Awards outstanding under the Plan or shall substitute similar stock awards (including an award to acquire the same consideration paid to the stockholders in the Corporate Transaction) for those outstanding under the Plan. In the event any surviving corporation or acquiring corporation refuses to assume such Stock Awards or to substitute similar stock awards for those outstanding under the Plan, then with respect to Stock Awards held by Participants whose Continuous Service has not terminated, the vesting of such Stock Awards (and, if applicable, the time during which such Stock Awards may be exercised) shall be accelerated in full, and the Stock Awards shall terminate if not exercised (if applicable) at or prior to such Corporate Transaction. With respect to any other Stock Awards outstanding under the Plan, such Stock Awards shall terminate if not exercised (if applicable) prior to such Corporate Transaction.</w:t>
      </w:r>
    </w:p>
    <w:p>
      <w:pPr>
        <w:spacing w:after="0" w:line="140" w:lineRule="exact"/>
        <w:rPr>
          <w:rFonts w:ascii="Times New Roman" w:cs="Times New Roman" w:eastAsia="Times New Roman" w:hAnsi="Times New Roman"/>
          <w:sz w:val="18"/>
          <w:szCs w:val="18"/>
          <w:b w:val="1"/>
          <w:bCs w:val="1"/>
          <w:color w:val="auto"/>
        </w:rPr>
      </w:pPr>
    </w:p>
    <w:p>
      <w:pPr>
        <w:ind w:left="-8" w:firstLine="464"/>
        <w:spacing w:after="0" w:line="255" w:lineRule="auto"/>
        <w:tabs>
          <w:tab w:leader="none" w:pos="707"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Acquisition</w:t>
      </w:r>
      <w:r>
        <w:rPr>
          <w:rFonts w:ascii="Times New Roman" w:cs="Times New Roman" w:eastAsia="Times New Roman" w:hAnsi="Times New Roman"/>
          <w:sz w:val="18"/>
          <w:szCs w:val="18"/>
          <w:color w:val="auto"/>
        </w:rPr>
        <w:t>. In the event of an acquisition by any person, entity or group within the meaning of Section 13(d) or 14(d) of the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comparable successor provisions (excluding any employee benefit plan, or related trust, sponsored or maintained by the Company or an Affiliate) of the beneficial ownership (within the meaning of Rule 13d-3 promulgated under the Exchange Act, or comparable successor rule) of securities of the Company representing at least fifty percent (50%) of the combined voting power entitled to vote in the election of Directors and provided that such acquisition is not a result of, and does not constitute, a Corporate Transaction described in subsection 11(c) hereof, then with respect to Stock Awards held by Participants whose Continuous Service has not terminated, the vesting of such Stock Awards (and, if applicable, the time during which such Stock Awards may be exercised) shall be accelerated in full.</w:t>
      </w:r>
    </w:p>
    <w:p>
      <w:pPr>
        <w:spacing w:after="0" w:line="216" w:lineRule="exact"/>
        <w:rPr>
          <w:rFonts w:ascii="Times New Roman" w:cs="Times New Roman" w:eastAsia="Times New Roman" w:hAnsi="Times New Roman"/>
          <w:sz w:val="18"/>
          <w:szCs w:val="18"/>
          <w:b w:val="1"/>
          <w:bCs w:val="1"/>
          <w:color w:val="auto"/>
        </w:rPr>
      </w:pPr>
    </w:p>
    <w:p>
      <w:pPr>
        <w:ind w:left="272" w:hanging="272"/>
        <w:spacing w:after="0"/>
        <w:tabs>
          <w:tab w:leader="none" w:pos="27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MENDMENT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w:t>
      </w:r>
    </w:p>
    <w:p>
      <w:pPr>
        <w:spacing w:after="0" w:line="90" w:lineRule="exact"/>
        <w:rPr>
          <w:rFonts w:ascii="Times New Roman" w:cs="Times New Roman" w:eastAsia="Times New Roman" w:hAnsi="Times New Roman"/>
          <w:sz w:val="18"/>
          <w:szCs w:val="18"/>
          <w:b w:val="1"/>
          <w:bCs w:val="1"/>
          <w:color w:val="auto"/>
        </w:rPr>
      </w:pPr>
    </w:p>
    <w:p>
      <w:pPr>
        <w:ind w:left="-8" w:right="220" w:firstLine="464"/>
        <w:spacing w:after="0" w:line="264" w:lineRule="auto"/>
        <w:tabs>
          <w:tab w:leader="none" w:pos="697"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Plan</w:t>
      </w:r>
      <w:r>
        <w:rPr>
          <w:rFonts w:ascii="Times New Roman" w:cs="Times New Roman" w:eastAsia="Times New Roman" w:hAnsi="Times New Roman"/>
          <w:sz w:val="18"/>
          <w:szCs w:val="18"/>
          <w:color w:val="auto"/>
        </w:rPr>
        <w:t>. The Board at any time, and from time to time, may amend the Plan. However, except as provided in Section 11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upon changes in stock, no amendment shall be effective unless approved by the stockholders of the Company to the extent stockholder approval is necessary to satisfy the requirements of Section 422 of the Code, Rule 16b-3 or any Nasdaq or securities exchange listing requirements.</w:t>
      </w:r>
    </w:p>
    <w:p>
      <w:pPr>
        <w:spacing w:after="0" w:line="127" w:lineRule="exact"/>
        <w:rPr>
          <w:rFonts w:ascii="Times New Roman" w:cs="Times New Roman" w:eastAsia="Times New Roman" w:hAnsi="Times New Roman"/>
          <w:sz w:val="18"/>
          <w:szCs w:val="18"/>
          <w:b w:val="1"/>
          <w:bCs w:val="1"/>
          <w:color w:val="auto"/>
        </w:rPr>
      </w:pPr>
    </w:p>
    <w:p>
      <w:pPr>
        <w:ind w:left="-8" w:right="160" w:firstLine="464"/>
        <w:spacing w:after="0" w:line="264" w:lineRule="auto"/>
        <w:tabs>
          <w:tab w:leader="none" w:pos="707"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The Board may, in its sole discretion, submit any other amendment to the Plan for stockholder approval, including, but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to, amendments to the Plan intended to satisfy the requirements of Section 162(m) of the Code and the regulations thereunder regarding the exclusion of performance-based compensation from the limit on corporate deductibility of compensation paid to certain executive officers.</w:t>
      </w:r>
    </w:p>
    <w:p>
      <w:pPr>
        <w:spacing w:after="0" w:line="11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92"/>
          </w:cols>
          <w:pgMar w:left="248" w:top="272" w:right="259" w:bottom="1440" w:gutter="0" w:footer="0" w:header="0"/>
        </w:sectPr>
      </w:pPr>
    </w:p>
    <w:bookmarkStart w:id="16" w:name="page17"/>
    <w:bookmarkEnd w:id="16"/>
    <w:p>
      <w:pPr>
        <w:ind w:firstLine="464"/>
        <w:spacing w:after="0" w:line="312" w:lineRule="auto"/>
        <w:tabs>
          <w:tab w:leader="none" w:pos="695" w:val="left"/>
        </w:tabs>
        <w:numPr>
          <w:ilvl w:val="1"/>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Contemplated Amendments</w:t>
      </w:r>
      <w:r>
        <w:rPr>
          <w:rFonts w:ascii="Times New Roman" w:cs="Times New Roman" w:eastAsia="Times New Roman" w:hAnsi="Times New Roman"/>
          <w:sz w:val="16"/>
          <w:szCs w:val="16"/>
          <w:color w:val="auto"/>
        </w:rPr>
        <w:t>. It is expressly contemplated that the Board may amend the Plan in any respect the Board deems necessary or advisable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 eligible Employees with the maximum benefits provided or to be provided under the provisions of the Code and the regulations promulgated thereunder relating to Incentive Stock Options and/or to bring the Plan and/or Incentive Stock Options granted under it into compliance therewith.</w:t>
      </w:r>
    </w:p>
    <w:p>
      <w:pPr>
        <w:spacing w:after="0" w:line="92" w:lineRule="exact"/>
        <w:rPr>
          <w:rFonts w:ascii="Times New Roman" w:cs="Times New Roman" w:eastAsia="Times New Roman" w:hAnsi="Times New Roman"/>
          <w:sz w:val="16"/>
          <w:szCs w:val="16"/>
          <w:b w:val="1"/>
          <w:bCs w:val="1"/>
          <w:color w:val="auto"/>
        </w:rPr>
      </w:pPr>
    </w:p>
    <w:p>
      <w:pPr>
        <w:ind w:right="140" w:firstLine="464"/>
        <w:spacing w:after="0" w:line="277" w:lineRule="auto"/>
        <w:tabs>
          <w:tab w:leader="none" w:pos="715"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Impairment of Rights</w:t>
      </w:r>
      <w:r>
        <w:rPr>
          <w:rFonts w:ascii="Times New Roman" w:cs="Times New Roman" w:eastAsia="Times New Roman" w:hAnsi="Times New Roman"/>
          <w:sz w:val="18"/>
          <w:szCs w:val="18"/>
          <w:color w:val="auto"/>
        </w:rPr>
        <w:t>. Rights under any Stock Award granted before amendment of the Plan shall not be impaired by any amendment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(i) the Company requests the consent of the Participant and (ii) the Participant consents in writing.</w:t>
      </w:r>
    </w:p>
    <w:p>
      <w:pPr>
        <w:spacing w:after="0" w:line="116" w:lineRule="exact"/>
        <w:rPr>
          <w:rFonts w:ascii="Times New Roman" w:cs="Times New Roman" w:eastAsia="Times New Roman" w:hAnsi="Times New Roman"/>
          <w:sz w:val="18"/>
          <w:szCs w:val="18"/>
          <w:b w:val="1"/>
          <w:bCs w:val="1"/>
          <w:color w:val="auto"/>
        </w:rPr>
      </w:pPr>
    </w:p>
    <w:p>
      <w:pPr>
        <w:ind w:right="120" w:firstLine="464"/>
        <w:spacing w:after="0" w:line="291" w:lineRule="auto"/>
        <w:tabs>
          <w:tab w:leader="none" w:pos="695" w:val="left"/>
        </w:tabs>
        <w:numPr>
          <w:ilvl w:val="1"/>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Amendment of Stock Awards</w:t>
      </w:r>
      <w:r>
        <w:rPr>
          <w:rFonts w:ascii="Times New Roman" w:cs="Times New Roman" w:eastAsia="Times New Roman" w:hAnsi="Times New Roman"/>
          <w:sz w:val="16"/>
          <w:szCs w:val="16"/>
          <w:color w:val="auto"/>
        </w:rPr>
        <w:t>. The Board at any time, and from time to time, may amend the terms of any one or more Stock Awards; provided,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however, that the rights under any Stock Award shall not be impaired by any such amendment unless (i) the Company requests the consent of the Participant and</w:t>
      </w: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consents in writing.</w:t>
      </w:r>
    </w:p>
    <w:p>
      <w:pPr>
        <w:spacing w:after="0" w:line="156" w:lineRule="exact"/>
        <w:rPr>
          <w:rFonts w:ascii="Times New Roman" w:cs="Times New Roman" w:eastAsia="Times New Roman" w:hAnsi="Times New Roman"/>
          <w:sz w:val="18"/>
          <w:szCs w:val="18"/>
          <w:color w:val="auto"/>
        </w:rPr>
      </w:pPr>
    </w:p>
    <w:p>
      <w:pPr>
        <w:ind w:right="120" w:firstLine="464"/>
        <w:spacing w:after="0" w:line="253" w:lineRule="auto"/>
        <w:tabs>
          <w:tab w:leader="none" w:pos="676"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Repricing of Stock Awards</w:t>
      </w:r>
      <w:r>
        <w:rPr>
          <w:rFonts w:ascii="Times New Roman" w:cs="Times New Roman" w:eastAsia="Times New Roman" w:hAnsi="Times New Roman"/>
          <w:sz w:val="18"/>
          <w:szCs w:val="18"/>
          <w:color w:val="auto"/>
        </w:rPr>
        <w:t>. Without prior stockholder approval, the Board will not effect a “repricing” (as hereinafter defined) of any Stock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For purposes of the immediately preceding sentence, a “repricing” shall be deemed to mean any of the following actions: (a) the lowering of the purchase price of a Stock Award after it is granted; (b) the canceling of a Stock Award in exchange for another Stock Award at a time when the purchase price of the cancelled Stock Award exceeds the Fair Market Value of the underlying stock (unless the cancellation and exchange occurs in connection with a merger, acquisition, spin-off, dissolution, winding up or other similar corporate transaction with respect to the Company or any subsidiary of the Company to which the holder of such Stock Award is providing or had provided service); or (c) the purchase of a Stock Award for cash or other consideration at a time when the purchase price of the purchased Stock Award exceeds the Fair Market Value of the underlying stock (unless the purchase occurs in connection with a merger, acquisition, spin-off, dissolution, winding up or other similar corporate transaction with respect to the Company or any subsidiary of the Company to which the holder of such Stock Award is providing or had provided service).</w:t>
      </w:r>
    </w:p>
    <w:p>
      <w:pPr>
        <w:spacing w:after="0" w:line="224" w:lineRule="exact"/>
        <w:rPr>
          <w:sz w:val="20"/>
          <w:szCs w:val="20"/>
          <w:color w:val="auto"/>
        </w:rPr>
      </w:pPr>
    </w:p>
    <w:p>
      <w:pPr>
        <w:ind w:left="280" w:hanging="272"/>
        <w:spacing w:after="0"/>
        <w:tabs>
          <w:tab w:leader="none" w:pos="2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ERMINATION 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USPENSION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90" w:lineRule="exact"/>
        <w:rPr>
          <w:rFonts w:ascii="Times New Roman" w:cs="Times New Roman" w:eastAsia="Times New Roman" w:hAnsi="Times New Roman"/>
          <w:sz w:val="18"/>
          <w:szCs w:val="18"/>
          <w:b w:val="1"/>
          <w:bCs w:val="1"/>
          <w:color w:val="auto"/>
        </w:rPr>
      </w:pPr>
    </w:p>
    <w:p>
      <w:pPr>
        <w:ind w:right="400" w:firstLine="464"/>
        <w:spacing w:after="0" w:line="277" w:lineRule="auto"/>
        <w:tabs>
          <w:tab w:leader="none" w:pos="705"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Term</w:t>
      </w:r>
      <w:r>
        <w:rPr>
          <w:rFonts w:ascii="Times New Roman" w:cs="Times New Roman" w:eastAsia="Times New Roman" w:hAnsi="Times New Roman"/>
          <w:sz w:val="18"/>
          <w:szCs w:val="18"/>
          <w:color w:val="auto"/>
        </w:rPr>
        <w:t>. The Board may suspend or terminate the Plan at any time. Unless sooner terminated, the Plan shall terminate on February 9, 2010.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Awards may be granted under the Plan while the Plan is suspended or after it is terminated.</w:t>
      </w:r>
    </w:p>
    <w:p>
      <w:pPr>
        <w:spacing w:after="0" w:line="116" w:lineRule="exact"/>
        <w:rPr>
          <w:rFonts w:ascii="Times New Roman" w:cs="Times New Roman" w:eastAsia="Times New Roman" w:hAnsi="Times New Roman"/>
          <w:sz w:val="18"/>
          <w:szCs w:val="18"/>
          <w:b w:val="1"/>
          <w:bCs w:val="1"/>
          <w:color w:val="auto"/>
        </w:rPr>
      </w:pPr>
    </w:p>
    <w:p>
      <w:pPr>
        <w:ind w:right="300" w:firstLine="464"/>
        <w:spacing w:after="0" w:line="277" w:lineRule="auto"/>
        <w:tabs>
          <w:tab w:leader="none" w:pos="715"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Impairment of Rights</w:t>
      </w:r>
      <w:r>
        <w:rPr>
          <w:rFonts w:ascii="Times New Roman" w:cs="Times New Roman" w:eastAsia="Times New Roman" w:hAnsi="Times New Roman"/>
          <w:sz w:val="18"/>
          <w:szCs w:val="18"/>
          <w:color w:val="auto"/>
        </w:rPr>
        <w:t>. Rights and obligations under any Stock Award granted while the Plan is in effect shall not be impaired by suspension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the Plan, except with the written consent of the Participant.</w:t>
      </w:r>
    </w:p>
    <w:p>
      <w:pPr>
        <w:spacing w:after="0" w:line="197"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The Plan shall become effective upon adoption by the Board, but no Stock Award shall be exercised (or, in the case of a stock bonus, shall be granted) unless and until the Plan has been approved by the stockholders of the Company, which approval shall be within twelve (12) months before or after the date the Plan is adopted by the Board.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2" w:right="239" w:bottom="1440" w:gutter="0" w:footer="0" w:header="0"/>
        </w:sectPr>
      </w:pPr>
    </w:p>
    <w:bookmarkStart w:id="17" w:name="page18"/>
    <w:bookmarkEnd w:id="17"/>
    <w:p>
      <w:pPr>
        <w:ind w:left="280" w:hanging="272"/>
        <w:spacing w:after="0"/>
        <w:tabs>
          <w:tab w:leader="none" w:pos="2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w:t>
      </w:r>
      <w:r>
        <w:rPr>
          <w:rFonts w:ascii="Times New Roman" w:cs="Times New Roman" w:eastAsia="Times New Roman" w:hAnsi="Times New Roman"/>
          <w:sz w:val="14"/>
          <w:szCs w:val="14"/>
          <w:b w:val="1"/>
          <w:bCs w:val="1"/>
          <w:color w:val="auto"/>
        </w:rPr>
        <w:t>HOICE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law of the State of Delaware shall govern all questions concerning the construction, validity and interpretation of this Plan, without regard to such state’s conflict of laws rules.</w:t>
      </w:r>
    </w:p>
    <w:p>
      <w:pPr>
        <w:spacing w:after="0" w:line="10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040"/>
      </w:cols>
      <w:pgMar w:left="240" w:top="272"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lowerLetter"/>
      <w:start w:val="1"/>
    </w:lvl>
  </w:abstractNum>
  <w:abstractNum w:abstractNumId="2">
    <w:nsid w:val="4E6AFB66"/>
    <w:multiLevelType w:val="hybridMultilevel"/>
    <w:lvl w:ilvl="0">
      <w:lvlJc w:val="left"/>
      <w:lvlText w:val="%1."/>
      <w:numFmt w:val="decimal"/>
      <w:start w:val="1"/>
    </w:lvl>
    <w:lvl w:ilvl="1">
      <w:lvlJc w:val="left"/>
      <w:lvlText w:val="(%2)"/>
      <w:numFmt w:val="lowerLetter"/>
      <w:start w:val="1"/>
    </w:lvl>
  </w:abstractNum>
  <w:abstractNum w:abstractNumId="3">
    <w:nsid w:val="25E45D32"/>
    <w:multiLevelType w:val="hybridMultilevel"/>
    <w:lvl w:ilvl="0">
      <w:lvlJc w:val="left"/>
      <w:lvlText w:val="%1."/>
      <w:numFmt w:val="decimal"/>
      <w:start w:val="2"/>
    </w:lvl>
    <w:lvl w:ilvl="1">
      <w:lvlJc w:val="left"/>
      <w:lvlText w:val="(%2)"/>
      <w:numFmt w:val="lowerLetter"/>
      <w:start w:val="1"/>
    </w:lvl>
  </w:abstractNum>
  <w:abstractNum w:abstractNumId="4">
    <w:nsid w:val="519B500D"/>
    <w:multiLevelType w:val="hybridMultilevel"/>
    <w:lvl w:ilvl="0">
      <w:lvlJc w:val="left"/>
      <w:lvlText w:val="(%1)"/>
      <w:numFmt w:val="lowerLetter"/>
      <w:start w:val="13"/>
    </w:lvl>
    <w:lvl w:ilvl="1">
      <w:lvlJc w:val="left"/>
      <w:lvlText w:val="(%2)"/>
      <w:numFmt w:val="lowerRoman"/>
      <w:start w:val="1"/>
    </w:lvl>
  </w:abstractNum>
  <w:abstractNum w:abstractNumId="5">
    <w:nsid w:val="431BD7B7"/>
    <w:multiLevelType w:val="hybridMultilevel"/>
    <w:lvl w:ilvl="0">
      <w:lvlJc w:val="left"/>
      <w:lvlText w:val="(%1)"/>
      <w:numFmt w:val="lowerLetter"/>
      <w:start w:val="23"/>
    </w:lvl>
  </w:abstractNum>
  <w:abstractNum w:abstractNumId="6">
    <w:nsid w:val="3F2DBA31"/>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7">
    <w:nsid w:val="7C83E45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9">
    <w:nsid w:val="62BBD95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
    <w:nsid w:val="436C612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
    <w:nsid w:val="628C895D"/>
    <w:multiLevelType w:val="hybridMultilevel"/>
    <w:lvl w:ilvl="0">
      <w:lvlJc w:val="left"/>
      <w:lvlText w:val="(%1)"/>
      <w:numFmt w:val="lowerLetter"/>
      <w:start w:val="9"/>
    </w:lvl>
    <w:lvl w:ilvl="1">
      <w:lvlJc w:val="left"/>
      <w:lvlText w:val="(%2)"/>
      <w:numFmt w:val="lowerLetter"/>
      <w:start w:val="3"/>
    </w:lvl>
  </w:abstractNum>
  <w:abstractNum w:abstractNumId="12">
    <w:nsid w:val="333AB105"/>
    <w:multiLevelType w:val="hybridMultilevel"/>
    <w:lvl w:ilvl="0">
      <w:lvlJc w:val="left"/>
      <w:lvlText w:val="%1."/>
      <w:numFmt w:val="decimal"/>
      <w:start w:val="5"/>
    </w:lvl>
    <w:lvl w:ilvl="1">
      <w:lvlJc w:val="left"/>
      <w:lvlText w:val="(%2)"/>
      <w:numFmt w:val="lowerLetter"/>
      <w:start w:val="1"/>
    </w:lvl>
  </w:abstractNum>
  <w:abstractNum w:abstractNumId="13">
    <w:nsid w:val="721DA317"/>
    <w:multiLevelType w:val="hybridMultilevel"/>
    <w:lvl w:ilvl="0">
      <w:lvlJc w:val="left"/>
      <w:lvlText w:val="1"/>
      <w:numFmt w:val="bullet"/>
      <w:start w:val="1"/>
    </w:lvl>
  </w:abstractNum>
  <w:abstractNum w:abstractNumId="14">
    <w:nsid w:val="2443A85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5">
    <w:nsid w:val="2D1D5AE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6">
    <w:nsid w:val="6763845E"/>
    <w:multiLevelType w:val="hybridMultilevel"/>
    <w:lvl w:ilvl="0">
      <w:lvlJc w:val="left"/>
      <w:lvlText w:val="(%1)"/>
      <w:numFmt w:val="lowerLetter"/>
      <w:start w:val="5"/>
    </w:lvl>
  </w:abstractNum>
  <w:abstractNum w:abstractNumId="17">
    <w:nsid w:val="75A2A8D4"/>
    <w:multiLevelType w:val="hybridMultilevel"/>
    <w:lvl w:ilvl="0">
      <w:lvlJc w:val="left"/>
      <w:lvlText w:val="(%1)"/>
      <w:numFmt w:val="lowerLetter"/>
      <w:start w:val="9"/>
    </w:lvl>
    <w:lvl w:ilvl="1">
      <w:lvlJc w:val="left"/>
      <w:lvlText w:val="(%2)"/>
      <w:numFmt w:val="lowerLetter"/>
      <w:start w:val="11"/>
    </w:lvl>
  </w:abstractNum>
  <w:abstractNum w:abstractNumId="18">
    <w:nsid w:val="8EDBDAB"/>
    <w:multiLevelType w:val="hybridMultilevel"/>
    <w:lvl w:ilvl="0">
      <w:lvlJc w:val="left"/>
      <w:lvlText w:val="%1."/>
      <w:numFmt w:val="decimal"/>
      <w:start w:val="7"/>
    </w:lvl>
    <w:lvl w:ilvl="1">
      <w:lvlJc w:val="left"/>
      <w:lvlText w:val="(%2)"/>
      <w:numFmt w:val="lowerLetter"/>
      <w:start w:val="1"/>
    </w:lvl>
  </w:abstractNum>
  <w:abstractNum w:abstractNumId="19">
    <w:nsid w:val="79838CB2"/>
    <w:multiLevelType w:val="hybridMultilevel"/>
    <w:lvl w:ilvl="0">
      <w:lvlJc w:val="left"/>
      <w:lvlText w:val="(%1)"/>
      <w:numFmt w:val="lowerLetter"/>
      <w:start w:val="5"/>
    </w:lvl>
  </w:abstractNum>
  <w:abstractNum w:abstractNumId="20">
    <w:nsid w:val="4353D0CD"/>
    <w:multiLevelType w:val="hybridMultilevel"/>
    <w:lvl w:ilvl="0">
      <w:lvlJc w:val="left"/>
      <w:lvlText w:val="%1."/>
      <w:numFmt w:val="decimal"/>
      <w:start w:val="8"/>
    </w:lvl>
    <w:lvl w:ilvl="1">
      <w:lvlJc w:val="left"/>
      <w:lvlText w:val="(%2)"/>
      <w:numFmt w:val="lowerLetter"/>
      <w:start w:val="1"/>
    </w:lvl>
  </w:abstractNum>
  <w:abstractNum w:abstractNumId="21">
    <w:nsid w:val="B03E0C6"/>
    <w:multiLevelType w:val="hybridMultilevel"/>
    <w:lvl w:ilvl="0">
      <w:lvlJc w:val="left"/>
      <w:lvlText w:val="%1."/>
      <w:numFmt w:val="decimal"/>
      <w:start w:val="10"/>
    </w:lvl>
    <w:lvl w:ilvl="1">
      <w:lvlJc w:val="left"/>
      <w:lvlText w:val="(%2)"/>
      <w:numFmt w:val="lowerLetter"/>
      <w:start w:val="1"/>
    </w:lvl>
  </w:abstractNum>
  <w:abstractNum w:abstractNumId="22">
    <w:nsid w:val="189A769B"/>
    <w:multiLevelType w:val="hybridMultilevel"/>
    <w:lvl w:ilvl="0">
      <w:lvlJc w:val="left"/>
      <w:lvlText w:val="%1"/>
      <w:numFmt w:val="decimal"/>
      <w:start w:val="1"/>
    </w:lvl>
    <w:lvl w:ilvl="1">
      <w:lvlJc w:val="left"/>
      <w:lvlText w:val="(%2)"/>
      <w:numFmt w:val="lowerLetter"/>
      <w:start w:val="5"/>
    </w:lvl>
  </w:abstractNum>
  <w:abstractNum w:abstractNumId="23">
    <w:nsid w:val="54E49EB4"/>
    <w:multiLevelType w:val="hybridMultilevel"/>
    <w:lvl w:ilvl="0">
      <w:lvlJc w:val="left"/>
      <w:lvlText w:val="%1."/>
      <w:numFmt w:val="decimal"/>
      <w:start w:val="11"/>
    </w:lvl>
    <w:lvl w:ilvl="1">
      <w:lvlJc w:val="left"/>
      <w:lvlText w:val="(%2)"/>
      <w:numFmt w:val="lowerLetter"/>
      <w:start w:val="1"/>
    </w:lvl>
  </w:abstractNum>
  <w:abstractNum w:abstractNumId="24">
    <w:nsid w:val="71F32454"/>
    <w:multiLevelType w:val="hybridMultilevel"/>
    <w:lvl w:ilvl="0">
      <w:lvlJc w:val="left"/>
      <w:lvlText w:val="%1"/>
      <w:numFmt w:val="decimal"/>
      <w:start w:val="1"/>
    </w:lvl>
    <w:lvl w:ilvl="1">
      <w:lvlJc w:val="left"/>
      <w:lvlText w:val="(%2)"/>
      <w:numFmt w:val="lowerLetter"/>
      <w:start w:val="2"/>
    </w:lvl>
  </w:abstractNum>
  <w:abstractNum w:abstractNumId="25">
    <w:nsid w:val="2CA88611"/>
    <w:multiLevelType w:val="hybridMultilevel"/>
    <w:lvl w:ilvl="0">
      <w:lvlJc w:val="left"/>
      <w:lvlText w:val="%1."/>
      <w:numFmt w:val="decimal"/>
      <w:start w:val="12"/>
    </w:lvl>
    <w:lvl w:ilvl="1">
      <w:lvlJc w:val="left"/>
      <w:lvlText w:val="(%2)"/>
      <w:numFmt w:val="lowerLetter"/>
      <w:start w:val="1"/>
    </w:lvl>
  </w:abstractNum>
  <w:abstractNum w:abstractNumId="26">
    <w:nsid w:val="836C40E"/>
    <w:multiLevelType w:val="hybridMultilevel"/>
    <w:lvl w:ilvl="0">
      <w:lvlJc w:val="left"/>
      <w:lvlText w:val="%1"/>
      <w:numFmt w:val="lowerLetter"/>
      <w:start w:val="1"/>
    </w:lvl>
    <w:lvl w:ilvl="1">
      <w:lvlJc w:val="left"/>
      <w:lvlText w:val="(%2)"/>
      <w:numFmt w:val="lowerLetter"/>
      <w:start w:val="3"/>
    </w:lvl>
  </w:abstractNum>
  <w:abstractNum w:abstractNumId="27">
    <w:nsid w:val="2901D82"/>
    <w:multiLevelType w:val="hybridMultilevel"/>
    <w:lvl w:ilvl="0">
      <w:lvlJc w:val="left"/>
      <w:lvlText w:val="(%1)"/>
      <w:numFmt w:val="lowerLetter"/>
      <w:start w:val="35"/>
    </w:lvl>
    <w:lvl w:ilvl="1">
      <w:lvlJc w:val="left"/>
      <w:lvlText w:val="(%2)"/>
      <w:numFmt w:val="lowerLetter"/>
      <w:start w:val="6"/>
    </w:lvl>
  </w:abstractNum>
  <w:abstractNum w:abstractNumId="28">
    <w:nsid w:val="3A95F874"/>
    <w:multiLevelType w:val="hybridMultilevel"/>
    <w:lvl w:ilvl="0">
      <w:lvlJc w:val="left"/>
      <w:lvlText w:val="%1."/>
      <w:numFmt w:val="decimal"/>
      <w:start w:val="13"/>
    </w:lvl>
    <w:lvl w:ilvl="1">
      <w:lvlJc w:val="left"/>
      <w:lvlText w:val="(%2)"/>
      <w:numFmt w:val="lowerLetter"/>
      <w:start w:val="1"/>
    </w:lvl>
  </w:abstractNum>
  <w:abstractNum w:abstractNumId="29">
    <w:nsid w:val="8138641"/>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2019-12-14T00:38:35Z</dcterms:created>
  <dcterms:modified xsi:type="dcterms:W3CDTF">2019-12-14T00:38:35Z</dcterms:modified>
</cp:coreProperties>
</file>