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38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April 14, 2022</w:t>
            </w:r>
          </w:p>
        </w:tc>
        <w:tc>
          <w:tcPr>
            <w:tcW w:w="2840" w:type="dxa"/>
            <w:vAlign w:val="bottom"/>
          </w:tcPr>
          <w:p>
            <w:pPr>
              <w:spacing w:after="0"/>
              <w:rPr>
                <w:sz w:val="20"/>
                <w:szCs w:val="20"/>
                <w:color w:val="auto"/>
              </w:rPr>
            </w:pP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NEKTAR THERAPEUTICS</w:t>
            </w:r>
          </w:p>
        </w:tc>
        <w:tc>
          <w:tcPr>
            <w:tcW w:w="2840" w:type="dxa"/>
            <w:vAlign w:val="bottom"/>
          </w:tcPr>
          <w:p>
            <w:pPr>
              <w:spacing w:after="0"/>
              <w:rPr>
                <w:sz w:val="24"/>
                <w:szCs w:val="24"/>
                <w:color w:val="auto"/>
              </w:rPr>
            </w:pPr>
          </w:p>
        </w:tc>
      </w:tr>
      <w:tr>
        <w:trPr>
          <w:trHeight w:val="238"/>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8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2840" w:type="dxa"/>
            <w:vAlign w:val="bottom"/>
          </w:tcPr>
          <w:p>
            <w:pPr>
              <w:spacing w:after="0"/>
              <w:rPr>
                <w:sz w:val="20"/>
                <w:szCs w:val="20"/>
                <w:color w:val="auto"/>
              </w:rPr>
            </w:pPr>
          </w:p>
        </w:tc>
      </w:tr>
      <w:tr>
        <w:trPr>
          <w:trHeight w:val="439"/>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0-24006</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94-3134940</w:t>
            </w:r>
          </w:p>
        </w:tc>
      </w:tr>
      <w:tr>
        <w:trPr>
          <w:trHeight w:val="194"/>
        </w:trPr>
        <w:tc>
          <w:tcPr>
            <w:tcW w:w="3020" w:type="dxa"/>
            <w:vAlign w:val="bottom"/>
            <w:tcBorders>
              <w:top w:val="single" w:sz="8" w:color="auto"/>
            </w:tcBorders>
          </w:tcPr>
          <w:p>
            <w:pPr>
              <w:jc w:val="center"/>
              <w:ind w:left="4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4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455 Mission Bay Boulevard South</w:t>
            </w:r>
          </w:p>
        </w:tc>
        <w:tc>
          <w:tcPr>
            <w:tcW w:w="284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94158</w:t>
            </w:r>
          </w:p>
        </w:tc>
        <w:tc>
          <w:tcPr>
            <w:tcW w:w="2840" w:type="dxa"/>
            <w:vAlign w:val="bottom"/>
          </w:tcPr>
          <w:p>
            <w:pPr>
              <w:spacing w:after="0"/>
              <w:rPr>
                <w:sz w:val="18"/>
                <w:szCs w:val="18"/>
                <w:color w:val="auto"/>
              </w:rPr>
            </w:pPr>
          </w:p>
        </w:tc>
      </w:tr>
      <w:tr>
        <w:trPr>
          <w:trHeight w:val="238"/>
        </w:trPr>
        <w:tc>
          <w:tcPr>
            <w:tcW w:w="3020" w:type="dxa"/>
            <w:vAlign w:val="bottom"/>
          </w:tcPr>
          <w:p>
            <w:pPr>
              <w:spacing w:after="0"/>
              <w:rPr>
                <w:sz w:val="20"/>
                <w:szCs w:val="20"/>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38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(415) 482-5300</w:t>
            </w:r>
          </w:p>
        </w:tc>
        <w:tc>
          <w:tcPr>
            <w:tcW w:w="28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center"/>
              <w:ind w:right="730"/>
              <w:spacing w:after="0"/>
              <w:rPr>
                <w:sz w:val="20"/>
                <w:szCs w:val="20"/>
                <w:color w:val="auto"/>
              </w:rPr>
            </w:pPr>
            <w:r>
              <w:rPr>
                <w:rFonts w:ascii="Times New Roman" w:cs="Times New Roman" w:eastAsia="Times New Roman" w:hAnsi="Times New Roman"/>
                <w:sz w:val="18"/>
                <w:szCs w:val="18"/>
                <w:color w:val="auto"/>
                <w:w w:val="97"/>
              </w:rPr>
              <w:t>NKTR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On April 14, 2022, Nektar Therapeutics (“Nektar”) and Bristol-Myers Squibb Company (“BMS”) announced results from the pre-planned analyses of the Phase 3 PIVOT-09 clinical trial (the “PIVOT-09 Trial”) evaluating bempegaldesleukin (“BEMPEG”) in combination with Opdivo (nivolumab) in patients with previously untreated advanced or metastatic renal cell carcinoma (“RCC”) and the Phase 2 PIVOT-10 clinical trial (the “PIVOT-10 Trial”) evaluating BEMPEG in combination with Opdivo in patients with cisplatin-ineligible, locally advanced or metastatic urothelial cancer.</w:t>
      </w:r>
    </w:p>
    <w:p>
      <w:pPr>
        <w:spacing w:after="0" w:line="16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PIVOT-09 Trial, Nektar and BMS were informed by an independent Data Monitoring Committee (“DMC”) that a final analysis of objective response rate (“ORR”) as assessed by Blinded Independent Central Review (“BICR”) showed that BEMPEG in combination with Opdivo did not meet the prespecified boundary for statistical significance in comparison to the tyrosine kinase inhibitor (“TKI”) control arm in the International Metastatic Renal Cell Carcinoma Database Consortium intermediate/poor-risk or all-risk populations. An interim analysis of overall survival (“OS”) also did not meet the prespecified boundary for statistical significance in either of these populations. Given that there was no clinical benefit in the doublet therapy arm compared to the TKI arm, the companies have decided to unblind the trial and to perform no additional analyses for the OS endpoint.</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the separate PIVOT-10 Trial, a final ORR analysis assessed by BICR showed that BEMPEG in combination with Opdivo did not reach an efficacy threshold to support continuing the program in urothelial carcinoma.</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Based on results from these studies, Nektar and BMS have jointly decided to end the global clinical development program for BEMPEG in combination with Opdivo. In addition to these studies, all other studies of BEMPEG in combination with Opdivo, including a pivotal study in muscle-invasive bladder cancer (CA045-009), a Phase 1/2 study of the doublet therapy in combination with TKI therapy in 1L RCC (CA045-011) and a Phase 1/2 study in recurrent and/or refractory pediatric tumors (CA045-020), will be discontinued, allowing patients and their physicians to consider standard of care treatment options for their specific conditions.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issued in connection with the announcement is attached hereto as Exhibit 99.1, and is incorporated herein by reference.</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Further, in consultation with SFJ Pharmaceuticals and based upon a recommendation from an independent DMC, Nektar has made the decision to discontinue its Phase 2/3 PROPEL-36 study of BEMPEG in combination with Keytruda (pembrolizumab) in patients with metastatic or unresectable recurrent squamous cell carcinoma of the head and neck. In addition, Nektar has also decided to discontinue its Phase 1/2 PROPEL study of BEMPEG in combination with Keytruda in locally advanced or metastatic solid tumors, including non-small cell lung cancer. For all discontinued studies, Nektar will evaluate its options in order to determine the most efficient plan for the responsible wind-down of the clinical program for BEMPEG.</w:t>
      </w:r>
    </w:p>
    <w:p>
      <w:pPr>
        <w:spacing w:after="0" w:line="18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Prior to the release of its financial results for the first quarter of 2022, Nektar expects to announce a new strategic plan to meet the cash runway goal that was discussed during Nektar’s call with investors on March 14,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r>
              <w:rPr>
                <w:rFonts w:ascii="Times New Roman" w:cs="Times New Roman" w:eastAsia="Times New Roman" w:hAnsi="Times New Roman"/>
                <w:sz w:val="18"/>
                <w:szCs w:val="18"/>
                <w:color w:val="auto"/>
              </w:rPr>
              <w:t>.</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titled “Nektar and Bristol Myers Squibb Announce Update on Clinical Development Program for Bempegaldesleukin</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(BEMPEG) in Combination with Opdivo (nivolumab).”</w:t>
              </w:r>
            </w:hyperlink>
          </w:p>
        </w:tc>
        <w:tc>
          <w:tcPr>
            <w:tcW w:w="660" w:type="dxa"/>
            <w:vAlign w:val="bottom"/>
            <w:tcBorders>
              <w:top w:val="single" w:sz="8" w:color="CCEEFF"/>
            </w:tcBorders>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0000EE"/>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April 14,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Mark A. Wilson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183005"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00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Nektar and Bristol Myers Squibb Announce Update on Clinical Development Program for Bempegaldesleukin (BEMPEG) in Combination with </w:t>
      </w:r>
      <w:r>
        <w:rPr>
          <w:rFonts w:ascii="Times New Roman" w:cs="Times New Roman" w:eastAsia="Times New Roman" w:hAnsi="Times New Roman"/>
          <w:sz w:val="18"/>
          <w:szCs w:val="18"/>
          <w:b w:val="1"/>
          <w:bCs w:val="1"/>
          <w:i w:val="1"/>
          <w:iCs w:val="1"/>
          <w:color w:val="auto"/>
        </w:rPr>
        <w:t xml:space="preserve">Opdivo </w:t>
      </w:r>
      <w:r>
        <w:rPr>
          <w:rFonts w:ascii="Times New Roman" w:cs="Times New Roman" w:eastAsia="Times New Roman" w:hAnsi="Times New Roman"/>
          <w:sz w:val="18"/>
          <w:szCs w:val="18"/>
          <w:b w:val="1"/>
          <w:bCs w:val="1"/>
          <w:color w:val="auto"/>
        </w:rPr>
        <w:t>(nivolumab)</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(PRINCETON, N.J., &amp; SAN FRANCISCO, April 14, 2022) -- Nektar Therapeutics (NASDAQ: NKTR) and Bristol Myers Squibb (NYSE: BMY) today announced that based on results from pre-planned analyses of two late-stage clinical studies of bempegaldesleukin (BEMPEG) in combination with </w:t>
      </w:r>
      <w:r>
        <w:rPr>
          <w:rFonts w:ascii="Times New Roman" w:cs="Times New Roman" w:eastAsia="Times New Roman" w:hAnsi="Times New Roman"/>
          <w:sz w:val="18"/>
          <w:szCs w:val="18"/>
          <w:i w:val="1"/>
          <w:iCs w:val="1"/>
          <w:color w:val="auto"/>
        </w:rPr>
        <w:t xml:space="preserve">Opdivo </w:t>
      </w:r>
      <w:r>
        <w:rPr>
          <w:rFonts w:ascii="Times New Roman" w:cs="Times New Roman" w:eastAsia="Times New Roman" w:hAnsi="Times New Roman"/>
          <w:sz w:val="18"/>
          <w:szCs w:val="18"/>
          <w:color w:val="auto"/>
        </w:rPr>
        <w:t>(nivolumab) in renal cell carcinoma (RCC) and bladder cancer, the companies have jointly decided to end the global clinical development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bempegaldesleukin in combination with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These studies and all other ongoing studies in the program will be discontinued.</w:t>
      </w:r>
    </w:p>
    <w:p>
      <w:pPr>
        <w:spacing w:after="0" w:line="180"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the Phase 3 PIVOT-09 study in patients with previously untreated advanced or metastatic RCC, Nektar and Bristol Myers Squibb were informed by an independent Data Monitoring Committee (DMC) that a final analysis of objective response rate (ORR) as assessed by Blinded Independent Central Review (BICR) showed that bempegaldesleukin in combination with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did not meet the prespecified boundary for statistical significance in comparison to the tyrosine kinase inhibitor (TKI) control arm in the International Metastatic Renal Cell Carcinoma Database Consortium (IMDC) intermediate/poor-risk or all-risk populations. An interim analysis of overall survival (OS) also did not meet the prespecified boundary for statistical significance in either of these populations. Given there was no clinical benefit in the doublet therapy arm compared to the TKI arm, the companies have decided to unblind the trial and to perform no additional analyses for the OS endpoint.</w:t>
      </w:r>
    </w:p>
    <w:p>
      <w:pPr>
        <w:spacing w:after="0" w:line="187"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In the separate Phase 2 PIVOT-10 study of the bempegaldesleukin/</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doublet in patients with cisplatin-ineligible, locally advanced or metastatic urothelial cancer, a final ORR analysis assessed by BICR showed that bempegaldesleukin in combination with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did not reach an efficacy threshold to support continuing the program in urothelial carcinoma.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companies will review the data for both studies and plan to share the results with the scientific community.</w:t>
      </w:r>
    </w:p>
    <w:p>
      <w:pPr>
        <w:spacing w:after="0" w:line="22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other studies of bempegaldesleukin in combination with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including a pivotal study in muscle-invasive bladder cancer (CA045-009), a Phase 1/2 study of the doublet in combination with TKI therapy in 1L RCC (CA045-011) and a Phase 1/2 study in recurrent and/or refractory pediatric tumors (CA045-020), will be discontinued, allowing patients and their physicians to consider standard of care treatment options for their specific conditions.</w:t>
      </w:r>
    </w:p>
    <w:p>
      <w:pPr>
        <w:spacing w:after="0" w:line="18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leader in developing innovative therapies for patients with cancer, we are committed to continuing to explore novel combinations and pathways and advancing research that may help cancer patients achieve better outcomes,” said Jonathan Cheng, senior vice president and head of oncology development, Bristol Myers Squibb. “We are immensely grateful to the patients and investigators who participated in these studies.”</w:t>
      </w:r>
    </w:p>
    <w:p>
      <w:pPr>
        <w:spacing w:after="0" w:line="176"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companies previously announced in March that two pivotal studies in melanoma would be discontinued based on results in the Phase 3 PIVOT IO-001 study in metastatic melanoma. Over the coming months, the companies will work jointly to discontinue the clinical program for bempegaldesleukin in combination with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thank BMS for their collaboration on the studies of bempegaldesleukin. Nektar remains dedicated to the development of therapeutics to treat cancer and auto-immune disease,” said Jonathan Zalevsky, chief research and development officer of Nektar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PIVOT-09</w:t>
      </w:r>
    </w:p>
    <w:p>
      <w:pPr>
        <w:spacing w:after="0" w:line="227"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 xml:space="preserve">PIVOT-09 is a global, randomized Phase 3 study evaluating bempegaldesleukin combined with </w:t>
      </w:r>
      <w:r>
        <w:rPr>
          <w:rFonts w:ascii="Times New Roman" w:cs="Times New Roman" w:eastAsia="Times New Roman" w:hAnsi="Times New Roman"/>
          <w:sz w:val="17"/>
          <w:szCs w:val="17"/>
          <w:i w:val="1"/>
          <w:iCs w:val="1"/>
          <w:color w:val="auto"/>
        </w:rPr>
        <w:t>Opdivo</w:t>
      </w:r>
      <w:r>
        <w:rPr>
          <w:rFonts w:ascii="Times New Roman" w:cs="Times New Roman" w:eastAsia="Times New Roman" w:hAnsi="Times New Roman"/>
          <w:sz w:val="17"/>
          <w:szCs w:val="17"/>
          <w:color w:val="auto"/>
        </w:rPr>
        <w:t xml:space="preserve"> versus investigator’s choice of a tyrosine kinase inhibitor (TKI) therapy (either sunitinib or cabozantinib) in patients with previously untreated advanced renal cell carcinoma in the IMDC all-risk and the IMDC intermediate- or poor-risk categories. A total of 623 patients were randomized 1:1 to receive a combination of bempegaldesleukin 0.006 mg/kg and </w:t>
      </w:r>
      <w:r>
        <w:rPr>
          <w:rFonts w:ascii="Times New Roman" w:cs="Times New Roman" w:eastAsia="Times New Roman" w:hAnsi="Times New Roman"/>
          <w:sz w:val="17"/>
          <w:szCs w:val="17"/>
          <w:i w:val="1"/>
          <w:iCs w:val="1"/>
          <w:color w:val="auto"/>
        </w:rPr>
        <w:t>Opdivo</w:t>
      </w:r>
      <w:r>
        <w:rPr>
          <w:rFonts w:ascii="Times New Roman" w:cs="Times New Roman" w:eastAsia="Times New Roman" w:hAnsi="Times New Roman"/>
          <w:sz w:val="17"/>
          <w:szCs w:val="17"/>
          <w:color w:val="auto"/>
        </w:rPr>
        <w:t xml:space="preserve"> 360 mg every three weeks in an outpatient setting by intravenous infusion or a specified dose of TKI therapy. Patients were treated until disease recurrence, unacceptable toxicity or withdrawal of consent for up to 24 months. The study is sponsored and conducted by Nektar Therapeutics.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PIVOT-10</w:t>
      </w:r>
    </w:p>
    <w:p>
      <w:pPr>
        <w:spacing w:after="0" w:line="227" w:lineRule="exact"/>
        <w:rPr>
          <w:sz w:val="20"/>
          <w:szCs w:val="20"/>
          <w:color w:val="auto"/>
        </w:rPr>
      </w:pPr>
    </w:p>
    <w:p>
      <w:pPr>
        <w:ind w:right="220" w:firstLine="648"/>
        <w:spacing w:after="0" w:line="290" w:lineRule="auto"/>
        <w:rPr>
          <w:sz w:val="20"/>
          <w:szCs w:val="20"/>
          <w:color w:val="auto"/>
        </w:rPr>
      </w:pPr>
      <w:r>
        <w:rPr>
          <w:rFonts w:ascii="Times New Roman" w:cs="Times New Roman" w:eastAsia="Times New Roman" w:hAnsi="Times New Roman"/>
          <w:sz w:val="17"/>
          <w:szCs w:val="17"/>
          <w:color w:val="auto"/>
        </w:rPr>
        <w:t xml:space="preserve">PIVOT-10 is a global Phase 2 single-arm study evaluating bempegaldesleukin combined with </w:t>
      </w:r>
      <w:r>
        <w:rPr>
          <w:rFonts w:ascii="Times New Roman" w:cs="Times New Roman" w:eastAsia="Times New Roman" w:hAnsi="Times New Roman"/>
          <w:sz w:val="17"/>
          <w:szCs w:val="17"/>
          <w:i w:val="1"/>
          <w:iCs w:val="1"/>
          <w:color w:val="auto"/>
        </w:rPr>
        <w:t>Opdivo</w:t>
      </w:r>
      <w:r>
        <w:rPr>
          <w:rFonts w:ascii="Times New Roman" w:cs="Times New Roman" w:eastAsia="Times New Roman" w:hAnsi="Times New Roman"/>
          <w:sz w:val="17"/>
          <w:szCs w:val="17"/>
          <w:color w:val="auto"/>
        </w:rPr>
        <w:t xml:space="preserve"> in patients deemed ineligible for cisplatin therapy including those whose baseline tumor cells express low levels of PD-L1. A total of 192 patients were enrolled and patients were treated until disease recurrence, unacceptable toxicity or withdrawal of consent for up to 24 months. The study is sponsored and conducted by Nektar Therapeutics.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Renal Cell Carcinoma</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Renal cell carcinoma (RCC) is the most common type of kidney cancer in adults, accounting for more than 431,000 new cases and 179,000 deaths worldwide each year. RCC is approximately twice as common in men as in women, with the highest rates of the disease in North America and Europe. The five-year survival rate for those diagnosed with metastatic, or advanced, kidney cancer is 13.9%.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Urothelial Carcinoma</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Bladder cancer is the 10th most common cancer in the world, with more than 573,000 new cases diagnosed annually. Urothelial carcinoma, which most frequently begins in the cells that line the inside of the bladder, accounts for approximately 90% of bladder cancer cases. In addition to the bladder, urothelial carcinoma can occur in other parts of the urinary tract, including the ureters and renal pelvis. The majority of urothelial carcinomas are diagnosed at an early stage, but rates of recurrence are high. Approximately 50% of patients who undergo surgery for muscle-invasive disease will experience disease recurrence. Additionally, approximately 20% to 25% of patients with urothelial carcinoma develop metastatic disease. For patients with metastatic cancer, the prognosis is poor, with a median overall survival of approximately 12 to 14 months when treated with systemic therapy. The poor durability of responses in the first-line setting presents a major challenge in the treatment of metastatic disease, and there are limited treatment options in the second-line setting for patients with advanced urothelial carcinoma.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Bristol Myers Squibb: Creating a Better Future for People with Cancer</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Bristol Myers Squibb is inspired by a single vision — transforming patients’ lives through science. The goal of the company’s cancer research is to deliver medicines that offer each patient a better, healthier life and to make cure a possibility. Building on a legacy across a broad range of cancers that have changed survival expectations for many, Bristol Myers Squibb researchers are exploring new frontiers in personalized medicine, and through innovative digital platforms, are turning data into insights that sharpen their focus. Deep scientific expertise, cutting-edge capabilities and discovery platforms enable the company to look at cancer from every angle. Cancer can have a relentless grasp on many parts of a patient’s life, and Bristol Myers Squibb is committed to taking actions to address all aspects of care, from diagnosis to survivorship. Because as a leader in cancer care, Bristol Myers Squibb is working to empower all people with cancer to have a better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About </w:t>
      </w:r>
      <w:r>
        <w:rPr>
          <w:rFonts w:ascii="Times New Roman" w:cs="Times New Roman" w:eastAsia="Times New Roman" w:hAnsi="Times New Roman"/>
          <w:sz w:val="18"/>
          <w:szCs w:val="18"/>
          <w:b w:val="1"/>
          <w:bCs w:val="1"/>
          <w:i w:val="1"/>
          <w:iCs w:val="1"/>
          <w:u w:val="single" w:color="auto"/>
          <w:color w:val="auto"/>
        </w:rPr>
        <w:t>Opdivo</w:t>
      </w:r>
    </w:p>
    <w:p>
      <w:pPr>
        <w:spacing w:after="0" w:line="22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Opdivo </w:t>
      </w:r>
      <w:r>
        <w:rPr>
          <w:rFonts w:ascii="Times New Roman" w:cs="Times New Roman" w:eastAsia="Times New Roman" w:hAnsi="Times New Roman"/>
          <w:sz w:val="18"/>
          <w:szCs w:val="18"/>
          <w:color w:val="auto"/>
        </w:rPr>
        <w:t>is a programmed death-1 (PD-1) immune checkpoint inhibitor that is designed to uniquely harness the body’s own immune system to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restore anti-tumor immune response. By harnessing the body’s own immune system to fight cancer,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has become an important treatment option across multiple cancers.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’s leading global development program is based on Bristol Myers Squibb’s scientific expertise in the field of Immuno-Oncology,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includes a broad range of clinical trials across all phases, including Phase 3, in a variety of tumor types. To date, the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clinical development program has treated more than 35,000 patients. The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trials have contributed to gaining a deeper understanding of the potential role of biomarkers in patient care, particularly regarding how patients may benefit from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across the continuum of PD-L1 expression.</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July 2014,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was the first PD-1 immune checkpoint inhibitor to receive regulatory approval anywhere in the world.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is currently approved in more than 65 countries, including the United States, the European Union, Japan and China. In October 2015, the Company’s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Yervoy </w:t>
      </w:r>
      <w:r>
        <w:rPr>
          <w:rFonts w:ascii="Times New Roman" w:cs="Times New Roman" w:eastAsia="Times New Roman" w:hAnsi="Times New Roman"/>
          <w:sz w:val="18"/>
          <w:szCs w:val="18"/>
          <w:color w:val="auto"/>
        </w:rPr>
        <w:t>combination regimen was the first Immuno-Oncology to receive regulatory approval for the treatment of metastatic melanoma and is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in more than 50 countries, including the United States and the European Union.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INDICATIONS</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as a single agent, is indicated for the treatment of adult patients with unresectable or metastatic melanoma.</w:t>
      </w:r>
    </w:p>
    <w:p>
      <w:pPr>
        <w:spacing w:after="0" w:line="139" w:lineRule="exact"/>
        <w:rPr>
          <w:sz w:val="20"/>
          <w:szCs w:val="20"/>
          <w:color w:val="auto"/>
        </w:rPr>
      </w:pPr>
    </w:p>
    <w:p>
      <w:pPr>
        <w:ind w:right="54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is indicated for the treatment of adult patients with unresectable or metastatic melanoma.</w:t>
      </w:r>
    </w:p>
    <w:p>
      <w:pPr>
        <w:spacing w:after="0" w:line="202" w:lineRule="exact"/>
        <w:rPr>
          <w:sz w:val="20"/>
          <w:szCs w:val="20"/>
          <w:color w:val="auto"/>
        </w:rPr>
      </w:pPr>
    </w:p>
    <w:p>
      <w:pPr>
        <w:ind w:right="26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adjuvant treatment of adult patients with melanoma with involvement of lymph nodes or metastatic disease who have undergone complete resection.</w:t>
      </w:r>
    </w:p>
    <w:p>
      <w:pPr>
        <w:spacing w:after="0" w:line="202" w:lineRule="exact"/>
        <w:rPr>
          <w:sz w:val="20"/>
          <w:szCs w:val="20"/>
          <w:color w:val="auto"/>
        </w:rPr>
      </w:pPr>
    </w:p>
    <w:p>
      <w:pPr>
        <w:ind w:right="64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platinum-doublet chemotherapy, is indicated as neoadjuvant treatment of adult patients with resectable (tumors ≥4 cm or node positive) non-small cell lung cancer (NSCLC).</w:t>
      </w:r>
    </w:p>
    <w:p>
      <w:pPr>
        <w:spacing w:after="0" w:line="202"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is indicated for the first-line treatment of adult patients with metastatic non-small cell lung cancer (NSCLC) whose tumors express PD-L1 (≥1%) as determined by an FDA-approved test, with no EGFR or ALK genomic tumor aberrations.</w:t>
      </w:r>
    </w:p>
    <w:p>
      <w:pPr>
        <w:spacing w:after="0" w:line="204"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and 2 cycles of platinum-doublet chemotherapy, is indicated for the first-line treatment of adult patients with metastatic or recurrent non-small cell lung cancer (NSCLC), with no EGFR or ALK genomic tumor aberrations.</w:t>
      </w:r>
    </w:p>
    <w:p>
      <w:pPr>
        <w:spacing w:after="0" w:line="20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metastatic non-small cell lung cancer (NSCLC) with progression on or after platinum-based chemotherapy. Patients with EGFR or ALK genomic tumor aberrations should have disease progression on FDA-approved therapy for these aberrations prior to receiving OPDIVO.</w:t>
      </w:r>
    </w:p>
    <w:p>
      <w:pPr>
        <w:spacing w:after="0" w:line="204"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is indicated for the first-line treatment of adult patients with unresectable malignant pleural mesothelioma (MPM).</w:t>
      </w:r>
    </w:p>
    <w:p>
      <w:pPr>
        <w:spacing w:after="0" w:line="202"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is indicated for the first-line treatment of adult patients with intermediate or poor risk advanced renal cell carcinoma (RCC).</w:t>
      </w:r>
    </w:p>
    <w:p>
      <w:pPr>
        <w:spacing w:after="0" w:line="202" w:lineRule="exact"/>
        <w:rPr>
          <w:sz w:val="20"/>
          <w:szCs w:val="20"/>
          <w:color w:val="auto"/>
        </w:rPr>
      </w:pPr>
    </w:p>
    <w:p>
      <w:pPr>
        <w:ind w:right="50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cabozantinib, is indicated for the first-line treatment of adult patients with advanced renal cell carcinoma (RCC).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6" w:name="page7"/>
    <w:bookmarkEnd w:id="6"/>
    <w:p>
      <w:pPr>
        <w:ind w:right="20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advanced renal cell carcinoma (RCC) who have received prior anti-angiogenic therapy.</w:t>
      </w:r>
    </w:p>
    <w:p>
      <w:pPr>
        <w:spacing w:after="0" w:line="202" w:lineRule="exact"/>
        <w:rPr>
          <w:sz w:val="20"/>
          <w:szCs w:val="20"/>
          <w:color w:val="auto"/>
        </w:rPr>
      </w:pPr>
    </w:p>
    <w:p>
      <w:pPr>
        <w:ind w:right="220" w:firstLine="648"/>
        <w:spacing w:after="0" w:line="231"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classical Hodgkin lymphoma (cHL) that has relapsed or progressed after autologous hematopoietic stem cell transplantation (HSCT) and brentuximab vedotin or after 3 or more lines of systemic therapy that includes autologous HSCT. This indication is approved under accelerated approval based on overall response rate. Continued approval for this indication may be contingent upon verification and description of clinical benefit in confirmatory trials.</w:t>
      </w:r>
    </w:p>
    <w:p>
      <w:pPr>
        <w:spacing w:after="0" w:line="202"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recurrent or metastatic squamous cell carcinoma of the head and neck (SCCHN) with disease progression on or after platinum-based therapy.</w:t>
      </w:r>
    </w:p>
    <w:p>
      <w:pPr>
        <w:spacing w:after="0" w:line="202" w:lineRule="exact"/>
        <w:rPr>
          <w:sz w:val="20"/>
          <w:szCs w:val="20"/>
          <w:color w:val="auto"/>
        </w:rPr>
      </w:pPr>
    </w:p>
    <w:p>
      <w:pPr>
        <w:ind w:right="60" w:firstLine="648"/>
        <w:spacing w:after="0" w:line="225"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locally advanced or metastatic urothelial carcinoma who have disease progression during or following platinum-containing chemotherapy or have disease progression within 12 months of neoadjuvant or adjuvant treatment with platinum-containing chemotherapy.</w:t>
      </w:r>
    </w:p>
    <w:p>
      <w:pPr>
        <w:spacing w:after="0" w:line="204"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as a single agent, is indicated for the adjuvant treatment of adult patients with urothelial carcinoma (UC) who are at high risk of recurrence after undergoing radical resection of UC.</w:t>
      </w:r>
    </w:p>
    <w:p>
      <w:pPr>
        <w:spacing w:after="0" w:line="202" w:lineRule="exact"/>
        <w:rPr>
          <w:sz w:val="20"/>
          <w:szCs w:val="20"/>
          <w:color w:val="auto"/>
        </w:rPr>
      </w:pPr>
    </w:p>
    <w:p>
      <w:pPr>
        <w:ind w:right="300" w:firstLine="648"/>
        <w:spacing w:after="0" w:line="243" w:lineRule="auto"/>
        <w:rPr>
          <w:sz w:val="20"/>
          <w:szCs w:val="20"/>
          <w:color w:val="auto"/>
        </w:rPr>
      </w:pPr>
      <w:r>
        <w:rPr>
          <w:rFonts w:ascii="Times New Roman" w:cs="Times New Roman" w:eastAsia="Times New Roman" w:hAnsi="Times New Roman"/>
          <w:sz w:val="17"/>
          <w:szCs w:val="17"/>
          <w:color w:val="auto"/>
        </w:rPr>
        <w:t>OPDIVO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(nivolumab), as a single agent, is indicated for the treatment of adult and pediatric (12 years and older) patients with microsatellite instability-high (MSI-H) or mismatch repair deficient (dMMR) metastatic colorectal cancer (CRC) that has progressed following treatment with a fluoropyrimidine, oxaliplatin, and irinotecan. This indication is approved under accelerated approval based on overall response rate and duration of response. Continued approval for this indication may be contingent upon verification and description of clinical benefit in confirmatory trials.</w:t>
      </w:r>
    </w:p>
    <w:p>
      <w:pPr>
        <w:spacing w:after="0" w:line="20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7"/>
          <w:szCs w:val="17"/>
          <w:color w:val="auto"/>
        </w:rPr>
        <w:t>OPDIVO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(nivolumab), in combination with YERVOY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(ipilimumab), is indicated for the treatment of adults and pediatric patients 12 years and older with microsatellite instability-high (MSI-H) or mismatch repair deficient (dMMR) metastatic colorectal cancer (CRC) that has progressed following treatment with a fluoropyrimidine, oxaliplatin, and irinotecan. This indication is approved under accelerated approval based on overall response rate and duration of response. Continued approval for this indication may be contingent upon verification and description of clinical benefit in confirmatory trials.</w:t>
      </w:r>
    </w:p>
    <w:p>
      <w:pPr>
        <w:spacing w:after="0" w:line="201"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is indicated for the treatment of adult patients with hepatocellular carcinoma (HCC) who have been previously treated with sorafenib. This indication is approved under accelerated approval based on overall response rate and duration of response. Continued approval for this indication may be contingent upon verification and description of clinical benefit in the confirmatory trials.</w:t>
      </w:r>
    </w:p>
    <w:p>
      <w:pPr>
        <w:spacing w:after="0" w:line="202"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treatment of adult patients with unresectable advanced, recurrent or metastatic esophageal squamous cell carcinoma (ESCC) after prior fluoropyrimidine- and platinum-based chemotherapy.</w:t>
      </w:r>
    </w:p>
    <w:p>
      <w:pPr>
        <w:spacing w:after="0" w:line="202" w:lineRule="exact"/>
        <w:rPr>
          <w:sz w:val="20"/>
          <w:szCs w:val="20"/>
          <w:color w:val="auto"/>
        </w:rPr>
      </w:pPr>
    </w:p>
    <w:p>
      <w:pPr>
        <w:ind w:right="50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is indicated for the adjuvant treatment of completely resected esophageal or gastroesophageal junction cancer with residual pathologic disease in adult patients who have received neoadjuvant chemoradiotherapy (CRT).</w:t>
      </w:r>
    </w:p>
    <w:p>
      <w:pPr>
        <w:spacing w:after="0" w:line="202" w:lineRule="exact"/>
        <w:rPr>
          <w:sz w:val="20"/>
          <w:szCs w:val="20"/>
          <w:color w:val="auto"/>
        </w:rPr>
      </w:pPr>
    </w:p>
    <w:p>
      <w:pPr>
        <w:ind w:right="260" w:firstLine="648"/>
        <w:spacing w:after="0" w:line="216" w:lineRule="auto"/>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in combination with fluoropyrimidine- and platinum- containing chemotherapy, is indicated for the treatment of adult patients with advanced or metastatic gastric cancer, gastroesophageal junction cancer, and esophageal adenocarcinoma.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Severe and Fatal Immune-Mediated Adverse Reactions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Immune-mediated adverse reactions listed herein may not include all possible severe and fatal immune-mediated adverse reactions.</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Immune-mediated adverse reactions, which may be severe or fatal, can occur in any organ system or tissue. While immune-mediated adverse reactions usually manifest during treatment, they can also occur after discontinuation of OPDIVO or YERVOY. Early identification and management are essential to ensure safe use of OPDIVO and YERVOY. Monitor for signs and symptoms that may be clinical manifestations of underlying immune-mediated adverse reactions. Evaluate clinical chemistries including liver enzymes, creatinine, adrenocorticotropic hormone (ACTH) level, and thyroid function at baseline and periodically during treatment with OPDIVO and before each dose of YERVOY. In cases of suspected immune-mediated adverse reactions, initiate appropriate workup to exclude alternative etiologies, including infection. Institute medical management promptly, including specialty consultation as appropriate.</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7" w:name="page8"/>
    <w:bookmarkEnd w:id="7"/>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Withhold or permanently discontinue OPDIVO and YERVOY depending on severity (please see section 2 Dosage and Administration in the accompanying Full Prescribing Information). In general, if OPDIVO or YERVOY interruption or discontinuation is required, administer systemic corticosteroid therapy (1 to 2 mg/kg/day prednisone or equivalent) until improvement to Grade 1 or less. Upon improvement to Grade 1 or less, initiate corticosteroid taper and continue to taper over at least 1 month. Consider administration of other systemic immunosuppressants in patients whose immune-mediated adverse reactions are not controlled with corticosteroid therapy. Toxicity management guidelines for adverse reactions that do not necessarily require systemic steroids (e.g., endocrinopathies and dermatologic reactions) are discussed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Pneumonitis</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OPDIVO and YERVOY can cause immune-mediated pneumonitis. The incidence of pneumonitis is higher in patients who have received prior thoracic radiation. In patients receiving OPDIVO monotherapy, immune- mediated pneumonitis occurred in 3.1% (61/1994) of patients, including Grade 4 (&lt;0.1%), Grade 3 (0.9%), and Grade 2 (2.1%). In patients receiving OPDIVO 1 mg/kg with YERVOY 3 mg/kg every 3 weeks, immune-mediated pneumonitis occurred in 7% (31/456) of patients, including Grade 4 (0.2%), Grade 3 (2.0%), and Grade 2 (4.4%). In patients receiving OPDIVO 3 mg/kg with YERVOY 1 mg/kg every 3 weeks, immune-mediated pneumonitis occurred in 3.9% (26/666) of patients, including Grade 3 (1.4%) and Grade 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In NSCLC patients receiving OPDIVO 3 mg/kg every 2 weeks with YERVOY 1 mg/kg every 6 weeks, immune-mediated pneumonitis occurred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(50/576) of patients, including Grade 4 (0.5%), Grade 3 (3.5%), and Grade 2 (4.0%). Four patients (0.7%) died due to pneumonitis.</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Checkmate 205 and 039, pneumonitis, including interstitial lung disease, occurred in 6.0% (16/266) of patients receiving OPDIVO. Immune-mediated pneumonitis occurred in 4.9% (13/266) of patients receiving OPDIVO, including Grade 3 (n=1) and Grade 2 (n=12).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Colitis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OPDIVO and YERVOY can cause immune-mediated colitis, which may be fatal. A common symptom included in the definition of colitis was diarrhea. Cytomegalovirus (CMV) infection/reactivation has been reported in patients with corticosteroid-refractory immune-mediated colitis. In cases of corticosteroid-refractory colitis, consider repeating infectious workup to exclude alternative etiologies. In patients receiving OPDIVO monotherapy, immune-mediated colitis occurred in 2.9% (58/1994) of patients, including Grade 3 (1.7%) and Grade 2 (1%). In patients receiving OPDIVO 1 mg/kg with YERVOY 3 mg/kg every 3 weeks, immune-mediated colitis occurred in 25% (115/456) of patients, including Grade 4 (0.4%), Grade 3 (14%) and Grade 2 (8%). In patients receiving OPDIVO 3 mg/kg with YERVOY 1 mg/kg every 3 weeks, immune-mediated colitis occurred in 9% (60/666) of patients, including Grade 3 (4.4%) and Grade 2 (3.7%).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Hepatitis and Hepatotoxicity</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OPDIVO and YERVOY can cause immune-mediated hepatitis. In patients receiving OPDIVO monotherapy, immune-mediated hepatitis occurred in 1.8% (35/1994) of patients, including Grade 4 (0.2%), Grade 3 (1.3%), and Grade 2 (0.4%). In patients receiving OPDIVO 1 mg/kg with YERVOY 3 mg/kg every 3 weeks, immune- mediated hepatitis occurred in 15% (70/456) of patients, including Grade 4 (2.4%), Grade 3 (11%), and Grade 2 (1.8%). In patients receiving OPDIVO 3 mg/kg with YERVOY 1 mg/kg every 3 weeks, immune-mediated hepatitis occurred in 7% (48/666) of patients, including Grade 4 (1.2%), Grade 3 (4.9%), and Grade 2 (0.4%).</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OPDIVO in combination with cabozantinib can cause hepatic toxicity with higher frequencies of Grade 3 and 4 ALT and AST elevations compared to OPDIVO alone. Consider more frequent monitoring of liver enzymes as compared to when the drugs are administered as single agents. In patients receiving OPDIVO and cabozantinib, Grades 3 and 4 increased ALT or AST were seen in 11% of patients.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Endocrinopathies</w:t>
      </w:r>
    </w:p>
    <w:p>
      <w:pPr>
        <w:spacing w:after="0" w:line="225"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OPDIVO and YERVOY can cause primary or secondary adrenal insufficiency, immune-mediated hypophysitis, immune-mediated thyroid disorders, and Type 1 diabetes mellitus, which can present with diabetic ketoacidosis. Withhold OPDIVO and YERVOY depending on severity (please see section 2 Dosage and Administration in the accompanying Full Prescribing Information). For Grade 2 or higher adrenal insufficiency, initiate symptomatic treatment, including hormone replacement as clinically indicated. Hypophysitis can present with acute symptoms associated with mass effect such as headache, photophobia, or visual field defects. Hypophysitis can cause hypopituitarism; initiate hormone replacement as clinically indicated. Thyroiditis can present with or without endocrinopathy. Hypothyroidism can follow hyperthyroidism; initiate hormone replacement or medical management as clinically indicated. Monitor patients for hyperglycemia or other signs and symptoms of diabetes; initiate treatment with insulin as clinically indicated.</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In patients receiving OPDIVO monotherapy, adrenal insufficiency occurred in 1% (20/1994), including Grade 3 (0.4%) and Grade 2 (0.6%). In patients receiving OPDIVO 1 mg/kg with YERVOY 3 mg/kg every 3 weeks, adrenal insufficiency occurred in 8% (35/456), including Grade 4 (0.2%), Grade 3 (2.4%), and Grade 2 (4.2%). In patients receiving OPDIVO 3 mg/kg with YERVOY 1 mg/kg every 3 weeks, adrenal insufficiency occurred in 7% (48/666) of patients, including Grade 4 (0.3%), Grade 3 (2.5%), and Grade 2 (4.1%). In patients receiving OPDIVO and cabozantinib, adrenal insufficiency occurred in 4.7% (15/320) of patients, including Grade 3 (2.2%) and Grade 2 (1.9%). In patients receiving OPDIVO 1 mg/kg with YERVOY 3 mg/kg every 3 weeks, adrenal insufficiency occurred in 8% (35/456), including Grade 4 (0.2%), Grade 3 (2.4%), and Grade 2 (4.2%). In patients receiving OPDIVO 3 mg/kg with YERVOY 1 mg/kg every 3 weeks, adrenal insufficiency occurred in 7% (48/666) of patients, including Grade 4 (0.3%), Grade 3 (2.5%), and Grade 2 (4.1%). In patients receiving OPDIVO and cabozantinib, adrenal insufficiency occurred in 4.7% (15/320) of patients, including Grade</w:t>
      </w:r>
    </w:p>
    <w:p>
      <w:pPr>
        <w:spacing w:after="0"/>
        <w:rPr>
          <w:sz w:val="20"/>
          <w:szCs w:val="20"/>
          <w:color w:val="auto"/>
        </w:rPr>
      </w:pPr>
      <w:r>
        <w:rPr>
          <w:rFonts w:ascii="Times New Roman" w:cs="Times New Roman" w:eastAsia="Times New Roman" w:hAnsi="Times New Roman"/>
          <w:sz w:val="18"/>
          <w:szCs w:val="18"/>
          <w:color w:val="auto"/>
        </w:rPr>
        <w:t>3 (2.2%) and Grade 2 (1.9%).</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firstLine="648"/>
        <w:spacing w:after="0" w:line="261" w:lineRule="auto"/>
        <w:rPr>
          <w:sz w:val="20"/>
          <w:szCs w:val="20"/>
          <w:color w:val="auto"/>
        </w:rPr>
      </w:pPr>
      <w:r>
        <w:rPr>
          <w:rFonts w:ascii="Times New Roman" w:cs="Times New Roman" w:eastAsia="Times New Roman" w:hAnsi="Times New Roman"/>
          <w:sz w:val="18"/>
          <w:szCs w:val="18"/>
          <w:color w:val="auto"/>
        </w:rPr>
        <w:t>In patients receiving OPDIVO monotherapy, hypophysitis occurred in 0.6% (12/1994) of patients, including Grade 3 (0.2%) and Grade 2 (0.3%). In patients receiving OPDIVO 1 mg/kg with YERVOY 3 mg/kg every 3 weeks, hypophysitis occurred in 9% (42/456), including Grade 3 (2.4%) and Grade 2 (6%). In patients receiving OPDIVO 3 mg/kg with YERVOY 1 mg/kg every 3 weeks, hypophysitis occurred in 4.4% (29/666) of patients, including Grade 4 (0.3%), Grade 3 (2.4%), and Grade 2 (0.9%).</w:t>
      </w:r>
    </w:p>
    <w:p>
      <w:pPr>
        <w:spacing w:after="0" w:line="180"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In patients receiving OPDIVO monotherapy, thyroiditis occurred in 0.6% (12/1994) of patients, including Grade 2 (0.2%). In patients receiving OPDIVO 3 mg/kg with YERVOY 1 mg/kg every 3 weeks, thyroiditis occurred in 2.7% (22/666) of patients, including Grade 3 (4.5%) and Grade 2 (2.2%).</w:t>
      </w:r>
    </w:p>
    <w:p>
      <w:pPr>
        <w:spacing w:after="0" w:line="140" w:lineRule="exact"/>
        <w:rPr>
          <w:sz w:val="20"/>
          <w:szCs w:val="20"/>
          <w:color w:val="auto"/>
        </w:rPr>
      </w:pPr>
    </w:p>
    <w:p>
      <w:pPr>
        <w:jc w:val="both"/>
        <w:ind w:right="300" w:firstLine="648"/>
        <w:spacing w:after="0" w:line="261" w:lineRule="auto"/>
        <w:rPr>
          <w:sz w:val="20"/>
          <w:szCs w:val="20"/>
          <w:color w:val="auto"/>
        </w:rPr>
      </w:pPr>
      <w:r>
        <w:rPr>
          <w:rFonts w:ascii="Times New Roman" w:cs="Times New Roman" w:eastAsia="Times New Roman" w:hAnsi="Times New Roman"/>
          <w:sz w:val="18"/>
          <w:szCs w:val="18"/>
          <w:color w:val="auto"/>
        </w:rPr>
        <w:t>In patients receiving OPDIVO monotherapy, hyperthyroidism occurred in 2.7% (54/1994) of patients, including Grade 3 (&lt;0.1%) and Grade 2 (1.2%). In patients receiving OPDIVO 1 mg/kg with YERVOY 3 mg/kg every 3 weeks, hyperthyroidism occurred in 9% (42/456) of patients, including Grade 3 (0.9%) and Grade 2 (4.2%). In patients receiving OPDIVO 3 mg/kg with YERVOY 1 mg/kg every 3 weeks, hyperthyroidism occurred in 12% (80/666) of patients, including Grade 3 (0.6%) and Grade 2 (4.5%).</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patients receiving OPDIVO monotherapy, hypothyroidism occurred in 8% (163/1994) of patients, including Grade 3 (0.2%) and Grade 2 (4.8%). In patients receiving OPDIVO 1 mg/kg with YERVOY 3 mg/kg every 3 weeks, hypothyroidism occurred in 20% (91/456) of patients, including Grade 3 (0.4%) and Grade 2 (11%). In patients receiving OPDIVO 3 mg/kg with YERVOY 1 mg/kg every 3 weeks, hypothyroidism occurred in 18% (122/666) of patients, including Grade 3 (0.6%) and Grade 2 (11%).</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patients receiving OPDIVO monotherapy, diabetes occurred in 0.9% (17/1994) of patients, including Grade 3 (0.4%) and Grade 2 (0.3%), and 2 cases of diabetic ketoacidosis. In patients receiving OPDIVO 3 mg/kg with YERVOY 1 mg/kg every 3 weeks, diabetes occurred in 2.7% (15/666) of patients, including Grade 4 (0.6%), Grade 3 (0.3%), and Grade 2 (0.9%).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Nephritis with Renal Dysfunction</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OPDIVO and YERVOY can cause immune-mediated nephritis. In patients receiving OPDIVO monotherapy, immune-mediated nephritis and renal dysfunction occurred in 1.2% (23/1994) of patients, including Grade 4 (&lt;0.1%), Grade 3 (0.5%), and Grade 2 (0.6%). In patients receiving OPDIVO 3 mg/kg with YERVOY 1 mg/kg every 3 weeks, immune-mediated nephritis with renal dysfunction occurred in 4.1% (27/666) of patients, including Grade 4 (0.6%), Grade 3 (1.1%), and Grade 2 (2.2%).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Immune-Mediated Dermatologic Adverse Reactions</w:t>
      </w:r>
    </w:p>
    <w:p>
      <w:pPr>
        <w:spacing w:after="0" w:line="225"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OPDIVO can cause immune-mediated rash or dermatitis. Exfoliative dermatitis, including Stevens-Johnson syndrome (SJS), toxic epidermal necrolysis (TEN), and drug rash with eosinophilia and systemic symptoms (DRESS) has occurred with PD-1/PD-L1 blocking antibodies. Topical emollients and/or topical corticosteroids may be adequate to treat mild to moderate nonexfoliative rashes.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YERVOY can cause immune-mediated rash or dermatitis, including bullous and exfoliative dermatitis, SJS, TEN, and DRESS. Topical emollients and/or topical corticosteroids may be adequate to treat mild to moderate non- bullous/exfoliative rashes.</w:t>
      </w:r>
    </w:p>
    <w:p>
      <w:pPr>
        <w:ind w:right="20"/>
        <w:spacing w:after="0" w:line="260" w:lineRule="auto"/>
        <w:rPr>
          <w:sz w:val="20"/>
          <w:szCs w:val="20"/>
          <w:color w:val="auto"/>
        </w:rPr>
      </w:pPr>
      <w:r>
        <w:rPr>
          <w:rFonts w:ascii="Times New Roman" w:cs="Times New Roman" w:eastAsia="Times New Roman" w:hAnsi="Times New Roman"/>
          <w:sz w:val="18"/>
          <w:szCs w:val="18"/>
          <w:color w:val="auto"/>
        </w:rPr>
        <w:t>Withhold or permanently discontinue OPDIVO and YERVOY depending on severity (please see section 2 Dosage and Administration in the accompanying Full Prescribing Information).</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patients receiving OPDIVO monotherapy, immune-mediated rash occurred in 9% (171/1994) of patients, including Grade 3 (1.1%) and Grade 2 (2.2%). In patients receiving OPDIVO 1 mg/kg with YERVOY 3 mg/kg every 3 weeks, immune-mediated rash occurred in 28% (127/456) of patients, including Grade 3 (4.8%) and Grade 2 (10%). In patients receiving OPDIVO 3 mg/kg with YERVOY 1 mg/kg every 3 weeks, immune-mediated rash occurred in 16% (108/666) of patients, including Grade 3 (3.5%) and Grade 2 (4.2%).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Immune-Mediated Adverse Reactions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following clinically significant immune-mediated adverse reactions occurred at an incidence of &lt;1% (unless otherwise noted) in patients who received OPDIVO monotherapy or OPDIVO in combination with YERVOY or were reported with the use of other PD-1/PD-L1 blocking antibodies. Severe or fatal cases have been reported for some of these adverse reactions: </w:t>
      </w:r>
      <w:r>
        <w:rPr>
          <w:rFonts w:ascii="Times New Roman" w:cs="Times New Roman" w:eastAsia="Times New Roman" w:hAnsi="Times New Roman"/>
          <w:sz w:val="18"/>
          <w:szCs w:val="18"/>
          <w:i w:val="1"/>
          <w:iCs w:val="1"/>
          <w:color w:val="auto"/>
        </w:rPr>
        <w:t>cardiac/vascular:</w:t>
      </w:r>
      <w:r>
        <w:rPr>
          <w:rFonts w:ascii="Times New Roman" w:cs="Times New Roman" w:eastAsia="Times New Roman" w:hAnsi="Times New Roman"/>
          <w:sz w:val="18"/>
          <w:szCs w:val="18"/>
          <w:color w:val="auto"/>
        </w:rPr>
        <w:t xml:space="preserve"> myocarditis, pericarditis, vasculitis; </w:t>
      </w:r>
      <w:r>
        <w:rPr>
          <w:rFonts w:ascii="Times New Roman" w:cs="Times New Roman" w:eastAsia="Times New Roman" w:hAnsi="Times New Roman"/>
          <w:sz w:val="18"/>
          <w:szCs w:val="18"/>
          <w:i w:val="1"/>
          <w:iCs w:val="1"/>
          <w:color w:val="auto"/>
        </w:rPr>
        <w:t>nervous system:</w:t>
      </w:r>
      <w:r>
        <w:rPr>
          <w:rFonts w:ascii="Times New Roman" w:cs="Times New Roman" w:eastAsia="Times New Roman" w:hAnsi="Times New Roman"/>
          <w:sz w:val="18"/>
          <w:szCs w:val="18"/>
          <w:color w:val="auto"/>
        </w:rPr>
        <w:t xml:space="preserve"> meningitis, encephalitis, myelitis and demyelination, myasthenic syndrome/myasthenia gravis (including exacerbation), Guillain-Barré syndrome, nerve paresis, autoimmune neuropathy; </w:t>
      </w:r>
      <w:r>
        <w:rPr>
          <w:rFonts w:ascii="Times New Roman" w:cs="Times New Roman" w:eastAsia="Times New Roman" w:hAnsi="Times New Roman"/>
          <w:sz w:val="18"/>
          <w:szCs w:val="18"/>
          <w:i w:val="1"/>
          <w:iCs w:val="1"/>
          <w:color w:val="auto"/>
        </w:rPr>
        <w:t>ocular:</w:t>
      </w:r>
      <w:r>
        <w:rPr>
          <w:rFonts w:ascii="Times New Roman" w:cs="Times New Roman" w:eastAsia="Times New Roman" w:hAnsi="Times New Roman"/>
          <w:sz w:val="18"/>
          <w:szCs w:val="18"/>
          <w:color w:val="auto"/>
        </w:rPr>
        <w:t xml:space="preserve"> uveitis, iritis, and other ocular inflammatory toxicities can occur; </w:t>
      </w:r>
      <w:r>
        <w:rPr>
          <w:rFonts w:ascii="Times New Roman" w:cs="Times New Roman" w:eastAsia="Times New Roman" w:hAnsi="Times New Roman"/>
          <w:sz w:val="18"/>
          <w:szCs w:val="18"/>
          <w:i w:val="1"/>
          <w:iCs w:val="1"/>
          <w:color w:val="auto"/>
        </w:rPr>
        <w:t>gastrointestinal:</w:t>
      </w:r>
      <w:r>
        <w:rPr>
          <w:rFonts w:ascii="Times New Roman" w:cs="Times New Roman" w:eastAsia="Times New Roman" w:hAnsi="Times New Roman"/>
          <w:sz w:val="18"/>
          <w:szCs w:val="18"/>
          <w:color w:val="auto"/>
        </w:rPr>
        <w:t xml:space="preserve"> pancreatitis to include increases in serum amylase and lipase levels, gastritis, duodenitis; </w:t>
      </w:r>
      <w:r>
        <w:rPr>
          <w:rFonts w:ascii="Times New Roman" w:cs="Times New Roman" w:eastAsia="Times New Roman" w:hAnsi="Times New Roman"/>
          <w:sz w:val="18"/>
          <w:szCs w:val="18"/>
          <w:i w:val="1"/>
          <w:iCs w:val="1"/>
          <w:color w:val="auto"/>
        </w:rPr>
        <w:t>musculoskeletal and connective tissue:</w:t>
      </w:r>
      <w:r>
        <w:rPr>
          <w:rFonts w:ascii="Times New Roman" w:cs="Times New Roman" w:eastAsia="Times New Roman" w:hAnsi="Times New Roman"/>
          <w:sz w:val="18"/>
          <w:szCs w:val="18"/>
          <w:color w:val="auto"/>
        </w:rPr>
        <w:t xml:space="preserve"> myositis/polymyositis, rhabdomyolysis, and associated sequelae including renal failure, arthritis, polymyalgia rheumatica; </w:t>
      </w:r>
      <w:r>
        <w:rPr>
          <w:rFonts w:ascii="Times New Roman" w:cs="Times New Roman" w:eastAsia="Times New Roman" w:hAnsi="Times New Roman"/>
          <w:sz w:val="18"/>
          <w:szCs w:val="18"/>
          <w:i w:val="1"/>
          <w:iCs w:val="1"/>
          <w:color w:val="auto"/>
        </w:rPr>
        <w:t>endocrine:</w:t>
      </w:r>
      <w:r>
        <w:rPr>
          <w:rFonts w:ascii="Times New Roman" w:cs="Times New Roman" w:eastAsia="Times New Roman" w:hAnsi="Times New Roman"/>
          <w:sz w:val="18"/>
          <w:szCs w:val="18"/>
          <w:color w:val="auto"/>
        </w:rPr>
        <w:t xml:space="preserve"> hypoparathyroidism; </w:t>
      </w:r>
      <w:r>
        <w:rPr>
          <w:rFonts w:ascii="Times New Roman" w:cs="Times New Roman" w:eastAsia="Times New Roman" w:hAnsi="Times New Roman"/>
          <w:sz w:val="18"/>
          <w:szCs w:val="18"/>
          <w:i w:val="1"/>
          <w:iCs w:val="1"/>
          <w:color w:val="auto"/>
        </w:rPr>
        <w:t>other (hematologic/immune):</w:t>
      </w:r>
      <w:r>
        <w:rPr>
          <w:rFonts w:ascii="Times New Roman" w:cs="Times New Roman" w:eastAsia="Times New Roman" w:hAnsi="Times New Roman"/>
          <w:sz w:val="18"/>
          <w:szCs w:val="18"/>
          <w:color w:val="auto"/>
        </w:rPr>
        <w:t xml:space="preserve"> hemolytic anemia, aplastic anemia, hemophagocytic lymphohistiocytosis (HLH), systemic inflammatory response syndrome, histiocytic necrotizing lymphadenitis (Kikuchi lymphadenitis), sarcoidosis, immune thrombocytopenic purpura, solid organ transplant rejection.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immune-mediated adverse reactions listed above, across clinical trials of YERVOY monotherapy or in combination with OPDIVO, the following clinically significant immune-mediated adverse reactions, some with fatal outcome, occurred in &lt;1% of patients unless otherwise specified: </w:t>
      </w:r>
      <w:r>
        <w:rPr>
          <w:rFonts w:ascii="Times New Roman" w:cs="Times New Roman" w:eastAsia="Times New Roman" w:hAnsi="Times New Roman"/>
          <w:sz w:val="18"/>
          <w:szCs w:val="18"/>
          <w:i w:val="1"/>
          <w:iCs w:val="1"/>
          <w:color w:val="auto"/>
        </w:rPr>
        <w:t>nervous system:</w:t>
      </w:r>
      <w:r>
        <w:rPr>
          <w:rFonts w:ascii="Times New Roman" w:cs="Times New Roman" w:eastAsia="Times New Roman" w:hAnsi="Times New Roman"/>
          <w:sz w:val="18"/>
          <w:szCs w:val="18"/>
          <w:color w:val="auto"/>
        </w:rPr>
        <w:t xml:space="preserve"> autoimmune neuropathy (2%), myasthenic syndrome/myasthenia gravis, motor dysfunction; </w:t>
      </w:r>
      <w:r>
        <w:rPr>
          <w:rFonts w:ascii="Times New Roman" w:cs="Times New Roman" w:eastAsia="Times New Roman" w:hAnsi="Times New Roman"/>
          <w:sz w:val="18"/>
          <w:szCs w:val="18"/>
          <w:i w:val="1"/>
          <w:iCs w:val="1"/>
          <w:color w:val="auto"/>
        </w:rPr>
        <w:t>cardiovascular:</w:t>
      </w:r>
      <w:r>
        <w:rPr>
          <w:rFonts w:ascii="Times New Roman" w:cs="Times New Roman" w:eastAsia="Times New Roman" w:hAnsi="Times New Roman"/>
          <w:sz w:val="18"/>
          <w:szCs w:val="18"/>
          <w:color w:val="auto"/>
        </w:rPr>
        <w:t xml:space="preserve"> angiopathy, temporal arteritis; </w:t>
      </w:r>
      <w:r>
        <w:rPr>
          <w:rFonts w:ascii="Times New Roman" w:cs="Times New Roman" w:eastAsia="Times New Roman" w:hAnsi="Times New Roman"/>
          <w:sz w:val="18"/>
          <w:szCs w:val="18"/>
          <w:i w:val="1"/>
          <w:iCs w:val="1"/>
          <w:color w:val="auto"/>
        </w:rPr>
        <w:t>ocular:</w:t>
      </w:r>
      <w:r>
        <w:rPr>
          <w:rFonts w:ascii="Times New Roman" w:cs="Times New Roman" w:eastAsia="Times New Roman" w:hAnsi="Times New Roman"/>
          <w:sz w:val="18"/>
          <w:szCs w:val="18"/>
          <w:color w:val="auto"/>
        </w:rPr>
        <w:t xml:space="preserve"> blepharitis, episcleritis, orbital myositis, scleritis; </w:t>
      </w:r>
      <w:r>
        <w:rPr>
          <w:rFonts w:ascii="Times New Roman" w:cs="Times New Roman" w:eastAsia="Times New Roman" w:hAnsi="Times New Roman"/>
          <w:sz w:val="18"/>
          <w:szCs w:val="18"/>
          <w:i w:val="1"/>
          <w:iCs w:val="1"/>
          <w:color w:val="auto"/>
        </w:rPr>
        <w:t>gastrointestinal:</w:t>
      </w:r>
      <w:r>
        <w:rPr>
          <w:rFonts w:ascii="Times New Roman" w:cs="Times New Roman" w:eastAsia="Times New Roman" w:hAnsi="Times New Roman"/>
          <w:sz w:val="18"/>
          <w:szCs w:val="18"/>
          <w:color w:val="auto"/>
        </w:rPr>
        <w:t xml:space="preserve"> pancreatitis (1.3%); </w:t>
      </w:r>
      <w:r>
        <w:rPr>
          <w:rFonts w:ascii="Times New Roman" w:cs="Times New Roman" w:eastAsia="Times New Roman" w:hAnsi="Times New Roman"/>
          <w:sz w:val="18"/>
          <w:szCs w:val="18"/>
          <w:i w:val="1"/>
          <w:iCs w:val="1"/>
          <w:color w:val="auto"/>
        </w:rPr>
        <w:t>other (hematologic/immune):</w:t>
      </w:r>
      <w:r>
        <w:rPr>
          <w:rFonts w:ascii="Times New Roman" w:cs="Times New Roman" w:eastAsia="Times New Roman" w:hAnsi="Times New Roman"/>
          <w:sz w:val="18"/>
          <w:szCs w:val="18"/>
          <w:color w:val="auto"/>
        </w:rPr>
        <w:t xml:space="preserve"> conjunctivitis, cytopenias (2.5%), eosinophilia (2.1%), erythema multiforme, hypersensitivity vasculitis, neurosensory hypoacusis, psoriasis.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Some ocular IMAR cases can be associated with retinal detachment. Various grades of visual impairment, including blindness, can occur. If uveitis occurs in combination with other immune-mediated adverse reactions, consider a Vogt-Koyanagi-Harada–like syndrome, which has been observed in patients receiving OPDIVO and YERVOY, as this may require treatment with systemic corticosteroids to reduce the risk of permanent vision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Infusion-Related Reactions</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17"/>
          <w:szCs w:val="17"/>
          <w:color w:val="auto"/>
        </w:rPr>
        <w:t>OPDIVO and YERVOY can cause severe infusion-related reactions. Discontinue OPDIVO and YERVOY in patients with severe (Grade 3) or life-threatening (Grade 4) infusion-related reactions. Interrupt or slow the rate of infusion in patients with mild (Grade 1) or moderate (Grade 2) infusion-related reactions. In patients receiving OPDIVO monotherapy as a 60-minute infusion, infusion-related reactions occurred in 6.4% (127/1994) of patients. In a separate trial in which patients received OPDIVO monotherapy as a 60-minute infusion or a 30- minute infusion, infusion-related reactions occurred in 2.2% (8/368) and 2.7% (10/369) of patients, respectively. Additionally, 0.5% (2/368) and 1.4% (5/369) of patients, respectively, experienced adverse reactions within 48 hours of infusion that led to dose delay, permanent discontinuation or withholding of OPDIVO. In melanoma patients receiving OPDIVO 1 mg/kg with YERVOY 3 mg/kg every 3 weeks, infusion-related reactions occurred in 2.5% (10/407) of patients. In HCC patients receiving OPDIVO 1 mg/kg with YERVOY 3 mg/kg every 3 weeks, infusion-related reactions occurred in 8% (4/49) of patients. In RCC patients receiving OPDIVO 3 mg/kg with YERVOY 1 mg/kg every 3 weeks, infusion-related reactions occurred in 5.1% (28/547) of patients. In MSI- H/dMMR mCRC patients receiving OPDIVO 3 mg/kg with YERVOY 1 mg/kg every 3 weeks, infusion-related reactions occurred in 4.2% (5/119) of patients. In MPM patients receiving OPDIVO 3 mg/kg every 2 weeks with YERVOY 1 mg/kg every 6 weeks, infusion-related reactions occurred in 12% (37/300) of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Complications of Allogeneic Hematopoietic Stem Cell Transplantation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Fatal and other serious complications can occur in patients who receive allogeneic hematopoietic stem cell transplantation (HSCT) before or after being treated with OPDIVO or YERVOY. Transplant-related complications include hyperacute graft-versus-host-disease (GVHD), acute GVHD, chronic GVHD, hepatic veno-occlusive disease (VOD) after reduced intensity conditioning, and steroid-requiring febrile syndrome (without an identified infectious cause). These complications may occur despite intervening therapy between OPDIVO or YERVOY and allogeneic HSCT.</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Follow patients closely for evidence of transplant-related complications and intervene promptly. Consider the benefit versus risks of treatment with OPDIVO and YERVOY prior to or after an allogeneic HSCT.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Embryo-Fetal Toxicity</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Based on its mechanism of action and findings from animal studies, OPDIVO and YERVOY can cause fetal harm when administered to a pregnant woman. The effects of YERVOY are likely to be greater during the second and third trimesters of pregnancy. Advise pregnant women of the potential risk to a fetus. Advise females of reproductive potential to use effective contraception during treatment with OPDIVO and YERVOY and for at least 5 months after the last dose.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Increased Mortality in Patients with Multiple Myeloma when OPDIVO is Added to a Thalidomide Analogue and Dexamethasone</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randomized clinical trials in patients with multiple myeloma, the addition of OPDIVO to a thalidomide analogue plus dexamethasone resulted in increased mortality. Treatment of patients with multiple myeloma with a PD-1 or PD-L1 blocking antibody in combination with a thalidomide analogue plus dexamethasone is not recommended outside of controlled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Lactation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There are no data on the presence of OPDIVO or YERVOY in human milk, the effects on the breastfed child, or the effects on milk production. Because of the potential for serious adverse reactions in breastfed children, advise women not to breastfeed during treatment and for 5 months after the last dose.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Serious Adverse Reactions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Checkmate 037, serious adverse reactions occurred in 41% of patients receiving OPDIVO (n=268). Grade 3 and 4 adverse reactions occurred in 42% of patients receiving OPDIVO. The most frequent Grade 3 and 4 adverse drug reactions reported in 2% to &lt;5% of patients receiving OPDIVO were abdominal pain, hyponatremia, increased aspartate aminotransferase, and increased lipase. In Checkmate 066, serious adverse reactions occurred in 36% of patients receiving OPDIVO (n=206). Grade 3 and 4 adverse reactions occurred in 41% of patients receiving OPDIVO. The most frequent Grade 3 and 4 adverse reactions reported in ≥2% of patients receiving OPDIVO were gamma-glutamyltransferase increase (3.9%) and diarrhea (3.4%). In Checkmate 067, serious adverse reactions (74% and 44%), adverse reactions leading to permanent discontinuation (47% and 18%) or to dosing delays (58% and 36%), and Grade 3 or 4 adverse reactions (72% and 51%) all occurred more frequently in the OPDIVO plus YERVOY arm (n=313) relative to the OPDIVO arm (n=313). The most frequent (≥10%) serious adverse reactions in the OPDIVO plus YERVOY arm and the OPDIVO arm, respectively, were diarrhea (13% and 2.2%), colitis (10% and 1.9%), and pyrexia (10% and 1.0%). In Checkmate 238, serious adverse reactions occurred in 18% of patients receiving OPDIVO (n=452). Grade 3 or 4 adverse reactions occurred in 25% of OPDIVO-treated patients (n=452). The most frequent Grade 3 and 4 adverse reactions reported in ≥2% of OPDIVO-treated patients were diarrhea and increased lipase and amylase. In Checkmate 816, serious adverse reactions occurred in 30% of patients (n=176) who were treated with OPDIVO in combination with platinum-doublet chemotherapy. Serious adverse reactions in &gt;2% included pneumonia and vomiting. No fatal adverse reactions occurred in patients who received OPDIVO in combination with platinum-doublet chemotherapy. In Checkmate 227, serious adverse reactions occurred in 58% of patients (n=576). The most frequent (≥2%) serious adverse reactions were pneumonia, diarrhea/colitis, pneumonitis, hepatitis, pulmonary embolism, adrenal insufficiency, and hypophysitis. Fatal adverse reactions occurred in 1.7% of patients; these included events of pneumonitis (4 patients), myocarditis, acute kidney injury, shock, hyperglycemia, multi-system organ failure, and renal failure. In Checkmate 9LA, serious adverse reactions occurred in 57% of patients (n=358). The most frequent (&gt;2%) serious adverse reactions were pneumonia, diarrhea, febrile neutropenia, anemia, acute kidney injury, musculoskeletal pain, dyspnea, pneumonitis, and respiratory failure. Fatal adverse reactions occurred in 7 (2%) patients, and included hepatic toxicity, acute renal failure, sepsis, pneumonitis, diarrhea with hypokalemia, and massive hemoptysis in the setting of thrombocytopenia. In Checkmate 017 and 057, serious adverse reactions occurred in 46% of patients receiving OPDIVO (n=418). The most frequent serious adverse reactions reported in ≥2% of patients receiving OPDIVO were pneumonia, pulmonary embolism, dyspnea, pyrexia, pleural effusion, pneumonitis, and respiratory failure. In Checkmate 057, fatal adverse reactions occurred; these included events of infection (7 patients, including one case of </w:t>
      </w:r>
      <w:r>
        <w:rPr>
          <w:rFonts w:ascii="Times New Roman" w:cs="Times New Roman" w:eastAsia="Times New Roman" w:hAnsi="Times New Roman"/>
          <w:sz w:val="18"/>
          <w:szCs w:val="18"/>
          <w:i w:val="1"/>
          <w:iCs w:val="1"/>
          <w:color w:val="auto"/>
        </w:rPr>
        <w:t>Pneumocystis jirovecii</w:t>
      </w:r>
      <w:r>
        <w:rPr>
          <w:rFonts w:ascii="Times New Roman" w:cs="Times New Roman" w:eastAsia="Times New Roman" w:hAnsi="Times New Roman"/>
          <w:sz w:val="18"/>
          <w:szCs w:val="18"/>
          <w:color w:val="auto"/>
        </w:rPr>
        <w:t xml:space="preserve"> pneumonia), pulmonary embolism (4 patients), and limbic encephalitis (1 patient). In Checkmate 743, serious adverse reactions occurred in 54% of patients receiving OPDIVO plus YERVOY. The most frequent serious adverse reactions reported in ≥2% of patients were pneumonia, pyrexia, diarrhea, pneumonitis, pleural effusion, dyspnea, acute kidney injury, infusion-related reaction, musculoskeletal pain, and pulmonary embolism. Fatal adverse reactions occurred in 4 (1.3%) patients and included pneumonitis, acute heart failure, sepsis, and encephalitis. In Checkmate 214, serious adverse reactions occurred in 59% of patients receiving OPDIVO plus YERVOY (n=547). The most frequent serious adverse reactions reported in ≥2% of patients were diarrhea, pyrexia, pneumonia, pneumonitis, hypophysitis, acute kidney injury, dyspnea, adrenal insufficiency, and colitis. In Checkmate 9ER, serious adverse reactions occurred in 48% of patients receiving OPDIVO and cabozantinib (n=320). The most frequent serious adverse reactions reported in ≥2% of patients were diarrhea, pneumonia, pneumonitis, pulmonary embolism, urinary tract infection, and hyponatremia. Fatal intestinal perforations occurred in 3 (0.9%) patients. In Checkmate 025, serious adverse reactions occurred in 47% of patients receiving OPDIVO (n=406). The most frequent serious adverse reactions reported in ≥2% of patients were acute kidney injury, pleural effusion, pneumonia, diarrhea, and hypercalcemia. In Checkmate 205 and 039, adverse reactions leading to discontinuation occurred in 7% and dose delays due to adverse reactions occurred in 34% of patients (n=266). Serious adverse reactions occurred in 26% of patients. The most frequent serious adverse reactions reported in ≥1% of patients were pneumonia, infusion-related reaction, pyrexia, colitis or diarrhea, pleural effusion, pneumonitis, and rash. Eleven patients died from causes other than disease progression: 3 from adverse reactions within 30 days of the last OPDIVO dose, 2 from infection 8 to 9 months after completing OPDIVO, and 6 from complications of allogeneic HSCT. In Checkmate 141, serious adverse reactions occurred in 49% of patients receiving OPDIVO (n=236). The most frequent serious adverse reactions reported in ≥2% of patients receiving OPDIVO were pneumonia, dyspnea, respiratory failure, respiratory tract infection, and sepsis. In Checkmate 275, serious adverse reactions occurred in 54% of patients receiving OPDIVO (n=270). The most frequent serious adverse reactions reported in ≥2% of patients receiving OPDIVO were urinary tract infection, sepsis, diarrhea, small intestine obstruction, and general physical health deterioration. In Checkmate 274, serious adverse reactions occurred in 30% of patients receiving OPDIVO (n=351). The most frequent serious adverse reaction reported in ≥2% of patients receiving OPDIVO was urinary tract infection. Fatal adverse reactions occurred in 1% of patients; these included events of pneumonitis (0.6%). In Checkmate 142 in MSI-H/dMMR mCRC patients receiving OPDIVO with YERVOY (n=119), serious adverse reactions occurred in 47% of patients. The most frequent serious adverse reactions reported in ≥2% of patients were colitis/diarrhea, hepatic events, abdominal pain, acute kidney injury, pyrexia, and dehydration. In Checkmate 040, serious adverse reactions occurred in 59% of patients receiving OPDIVO with YERVOY (n=49). Serious adverse reactions reported in ≥4% of patients were pyrexia, diarrhea, anemia, increased AST, adrenal insufficiency, ascites, esophageal varices hemorrhage, hyponatremia, increased blood bilirubin, and pneumonitis. In Attraction-3, serious adverse reactions occurred in 38% of patients receiving OPDIVO (n=209). Serious adverse reactions reported in ≥2% of patients who received OPDIVO were pneumonia, esophageal fistula, interstitial lung disease, and pyrexia. The following fatal adverse reactions occurred in patients who received OPDIVO: interstitial lung disease or pneumonitis (1.4%), pneumonia (1.0%), septic shock (0.5%), esophageal fistula (0.5%), gastrointestinal hemorrhage (0.5%), pulmonary embolism (0.5%), and sudden death (0.5%). In Checkmate 577, serious adverse reactions occurred in 33% of patients receiving OPDIVO (n=532). A serious adverse reaction reported in ≥2% of patients who received OPDIVO was pneumonitis. A fatal reaction of myocardial infarction occurred in one patient who received OPDIVO. In Checkmate 649, serious adverse reactions occurred in 52% of patients treated with OPDIVO in combination with chemotherapy (n=782). The most frequent serious adverse reactions reported in ≥2% of patients treated with OPDIVO in combination with chemotherapy were vomiting (3.7%), pneumonia (3.6%), anemia (3.6%), pyrexia (2.8%), diarrhea (2.7%), febrile neutropenia (2.6%), and pneumonitis (2.4%). Fatal adverse reactions occurred in 16 (2.0%) patients who were treated with OPDIVO in combination with chemotherapy; these included pneumonitis (4 patients), febrile neutropenia (2 patients), stroke (2 patients), gastrointestinal toxicity, intestinal mucositis, septic shock, pneumonia, infection, gastrointestinal bleeding, mesenteric vessel thrombosis, and disseminated intravascular coagulation.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Common Adverse Reactions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Checkmate 037, the most common adverse reaction (≥20%) reported with OPDIVO (n=268) was rash (21%). In Checkmate 066, the most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adverse reactions (≥20%) reported with OPDIVO (n=206) vs dacarbazine (n=205) were fatigue (49% vs 39%), musculoskeletal pain (32% vs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rash (28% vs 12%), and pruritus (23% vs 12%). In Checkmate 067, the most common (≥20%) adverse reactions in the OPDIVO plus YERVOY arm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(n=313) were fatigue (62%), diarrhea (54%), rash (53%), nausea (44%), pyrexia (40%), pruritus (39%), musculoskeletal pain (32%), vomiting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appetite (29%), cough (27%), headache (26%), dyspnea (24%), upper respiratory tract infection (23%), arthralgia (21%), and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transaminases (25%). In Checkmate 067, the most common (≥20%) adverse reactions in the OPDIVO arm (n=313) were fatigue (59%), rash (40%),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musculoskeletal pain (42%), diarrhea (36%), nausea (30%), cough (28%), pruritus (27%), upper respiratory tract infection (22%), decreased appetite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headache (22%), constipation (21%), arthralgia (21%), and vomiting (20%). In Checkmate 238, the most common adverse reactions (≥20%)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OPDIVO- treated patients (n=452) vs ipilimumab-treated patients (n=453) were fatigue (57% vs 55%), diarrhea (37% vs 55%), rash (35% vs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musculoskeletal pain (32% vs 27%), pruritus (28% vs 37%), headache (23% vs 31%), nausea (23% vs 28%), upper respiratory infection (22% vs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and abdominal pain (21% vs 23%). The most common immune-mediated adverse reactions were rash (16%), diarrhea/colitis (6%), and hepatitis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In Checkmate 816, the most common (&gt;20%) adverse reactions in the OPDIVO plus chemotherapy arm (n=176) were nausea (38%), constipation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fatigue (26%), decreased appetite (20%), and rash (20%). In Checkmate 227, the most common (≥20%) adverse reactions were fatigue (44%), rash</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(34%), decreased appetite (31%), musculoskeletal pain (27%), diarrhea/colitis (26%), dyspnea (26%), cough (23%), hepatitis (21%), nausea (21%), and pruritus (21%). In Checkmate 9LA, the most common (&gt;20%) adverse reactions were fatigue (49%), musculoskeletal pain (39%), nausea (32%), diarrhea (31%), rash (30%), decreased appetite (28%), constipation (21%), and pruritus (21%). In Checkmate 017 and 057, the most common adverse reactions (≥20%) in patients receiving OPDIVO (n=418) were fatigue, musculoskeletal pain, cough, dyspnea, and decreased appetite. In Checkmate 743, the most common adverse reactions (≥20%) in patients receiving OPDIVO plus YERVOY were fatigue (43%), musculoskeletal pain (38%), rash (34%), diarrhea (32%), dyspnea (27%), nausea (24%), decreased appetite (24%), cough (23%), and pruritus (21%). In Checkmate 214, the most common adverse reactions (≥20%) reported in patients treated with OPDIVO plus YERVOY (n=547) were fatigue (58%), rash (39%), diarrhea (38%), musculoskeletal pain (37%), pruritus (33%), nausea (30%), cough (28%), pyrexia (25%), arthralgia (23%), decreased appetite (21%), dyspnea (20%), and vomiting (20%). In Checkmate 9ER, the most common adverse reactions (≥20%) in patients receiving OPDIVO and cabozantinib (n=320) were diarrhea (64%), fatigue (51%), hepatotoxicity (44%), palmar-plantar erythrodysaesthesia syndrome (40%), stomatitis (37%), rash (36%), hypertension (36%), hypothyroidism (34%), musculoskeletal pain (33%), decreased appetite (28%), nausea (27%), dysgeusia (24%), abdominal pain (22%), cough (20%) and upper respiratory tract infection (20%). In Checkmate 025, the most common adverse reactions (≥20%) reported in patients receiving OPDIVO (n=406) vs everolimus (n=397) were fatigue (56% vs 57%), cough (34% vs 38%), nausea (28% vs 29%), rash (28% vs 36%), dyspnea (27% vs 31%), diarrhea (25% vs 32%), constipation (23% vs 18%), decreased appetite (23% vs 30%), back pain (21% vs 16%), and arthralgia (20% vs 14%). In Checkmate 205 and 039, the most common adverse reactions (≥20%) reported in patients receiving OPDIVO (n=266) were upper respiratory tract infection (44%), fatigue (39%), cough (36%), diarrhea (33%), pyrexia (29%), musculoskeletal pain (26%), rash (24%), nausea (20%) and pruritus (20%). In Checkmate 141, the most common adverse reactions (≥10%) in patients receiving OPDIVO (n=236) were cough (14%) and dyspnea (14%) at a higher incidence than investigator’s choice. In Checkmate 275, the most common adverse reactions (≥20%) reported in patients receiving OPDIVO (n=270) were fatigue (46%), musculoskeletal pain (30%), nausea (22%), and decreased appetite (22%). In Checkmate 274, the most common adverse reactions (≥20%) reported in patients receiving OPDIVO (n=351) were rash (36%), fatigue (36%), diarrhea (30%), pruritus (30%), musculoskeletal pain (28%), and urinary tract infection (22%). In Checkmate 142 in MSI-H/dMMR mCRC patients receiving OPDIVO as a single agent (n=74), the most common adverse reactions (≥20%) were fatigue (54%), diarrhea (43%), abdominal pain (34%), nausea (34%), vomiting (28%), musculoskeletal pain (28%), cough (26%), pyrexia (24%), rash (23%), constipation (20%), and upper respiratory tract infection (20%). In Checkmate 142 in MSI-H/dMMR mCRC patients receiving OPDIVO with YERVOY (n=119), the most common adverse reactions (≥20%) were fatigue (49%), diarrhea (45%), pyrexia (36%), musculoskeletal pain (36%), abdominal pain (30%), pruritus (28%), nausea (26%), rash (25%), decreased appetite (20%), and vomiting (20%). In Checkmate 040, the most common adverse reactions (≥20%) in patients receiving OPDIVO with YERVOY (n=49), were rash (53%), pruritus (53%), musculoskeletal pain (41%), diarrhea (39%), cough (37%), decreased appetite (35%), fatigue (27%), pyrexia (27%), abdominal pain (22%), headache (22%), nausea (20%), dizziness (20%), hypothyroidism (20%), and weight decreased (20%). In Attraction-3, the most common adverse reactions (≥20%) in OPDIVO-treated patients (n=209) were rash (22%) and decreased appetite (21%). In Checkmate 577, the most common adverse reactions (≥20%) in patients receiving OPDIVO (n=532) were fatigue (34%), diarrhea (29%), nausea (23%), rash (21%), musculoskeletal pain (21%), and cough (20%). In Checkmate 649, the most common adverse reactions (≥20%) in patients treated with OPDIVO in combination with chemotherapy (n=782) were peripheral neuropathy (53%), nausea (48%), fatigue (44%), diarrhea (39%), vomiting (31%), decreased appetite (29%), abdominal pain (27%), constipation (25%), and musculoskeletal pain (20%).</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US Full Prescribing Information for OPDIVO and YERVOY.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Clinical Trials and Patient Populations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Checkmate 037–previously treated metastatic melanoma; Checkmate 066-previously untreated metastatic melanoma; Checkmate 067–previously untreated metastatic melanoma, as a single agent or in combination with YERVOY; Checkmate 238–adjuvant treatment of melanoma; Checkmate 816– neoadjuvant non-small cell lung cancer, in combination with platinum-doublet chemotherapy; Checkmate 227-previously untreated metastatic non-small cell lung cancer, in combination with YERVOY; Checkmate 9LA–previously untreated recurrent or metastatic non-small cell lung cancer in combination with YERVOY and 2 cycles of platinum-doublet chemotherapy by histology; Checkmate 017–second-line treatment of metastatic squamous non-small cell lung cancer; Checkmate 057–second-line treatment of metastatic non-squamous non-small cell lung cancer; Checkmate 743–previously untreated unresectable malignant pleural mesothelioma, in combination with YERVOY; Checkmate 214–previously untreated renal cell carcinoma, in combination with YERVOY; Checkmate 9ER–previously untreated renal cell carcinoma, in combination with cabozantinib; Checkmate 025–previously treated renal cell carcinoma; Checkmate 205/039–classical Hodgkin lymphoma; Checkmate 141–recurrent or metastatic squamous cell carcinoma of the head and neck; Checkmate 275–previously treated advanced or metastatic urothelial carcinoma; Checkmate 274–adjuvant treatment of urothelial carcinoma; Checkmate 142– MSI-H or dMMR metastatic colorectal cancer, as a single agent or in combination with YERVOY; Checkmate 142–MSI-H or dMMR metastatic colorectal cancer, as a single agent or in combination with YERVOY; Checkmate 040–hepatocellular carcinoma, in combination with YERVOY; Attraction-3–esophageal squamous cell carcinoma; Checkmate 577–adjuvant treatment of esophageal or gastroesophageal junction cancer; Checkmate 649– previously untreated advanced or metastatic gastric or gastroesophageal junction or esophageal adenocarcinoma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the Bristol Myers Squibb and Ono Pharmaceutical Collaboration</w:t>
      </w:r>
    </w:p>
    <w:p>
      <w:pPr>
        <w:spacing w:after="0" w:line="229"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2011, through a collaboration agreement with Ono Pharmaceutical Co., Bristol Myers Squibb expanded its territorial rights to develop and commercialize </w:t>
      </w:r>
      <w:r>
        <w:rPr>
          <w:rFonts w:ascii="Times New Roman" w:cs="Times New Roman" w:eastAsia="Times New Roman" w:hAnsi="Times New Roman"/>
          <w:sz w:val="18"/>
          <w:szCs w:val="18"/>
          <w:i w:val="1"/>
          <w:iCs w:val="1"/>
          <w:color w:val="auto"/>
        </w:rPr>
        <w:t>Opdivo</w:t>
      </w:r>
      <w:r>
        <w:rPr>
          <w:rFonts w:ascii="Times New Roman" w:cs="Times New Roman" w:eastAsia="Times New Roman" w:hAnsi="Times New Roman"/>
          <w:sz w:val="18"/>
          <w:szCs w:val="18"/>
          <w:color w:val="auto"/>
        </w:rPr>
        <w:t xml:space="preserve"> globally, except in Japan, South Korea and Taiwan, where Ono had retained all rights to the compound at the time. On July 23, 2014, Ono and Bristol Myers Squibb further expanded the companies’ strategic collaboration agreement to jointly develop and commercialize multiple immunotherapies – as single agents and combination regimens – for patients with cancer in Japan, South Korea and Taiwan.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Bristol Myers Squibb</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Bristol Myers Squibb is a global biopharmaceutical company whose mission is to discover, develop and deliver innovative medicines that help patients prevail over serious diseases. For more information about Bristol Myers Squibb, visit us at BMS.com or follow us on LinkedIn, Twitter, YouTube, Facebook and Instagram.</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Celgene and Juno Therapeutics are wholly owned subsidiaries of Bristol-Myers Squibb Company. In certain countries outside the U.S., due to local laws, Celgene and Juno Therapeutics are referred to as, Celgene, a Bristol Myers Squibb company and Juno Therapeutics, a Bristol Myers Squibb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Bristol Myers Squibb Cautionary Statement Regarding Forward-Looking Statements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within the meaning of the Private Securities Litigation Reform Act of 1995 regarding, among other things, the research, development and commercialization of pharmaceutical products. All statements that are not statements of historical facts are, or may be deemed to be, forward-looking statements. Such forward-looking statements are based on current expectations and projections about our future financial results, goals, plans and objectives and involve inherent risks, assumptions and uncertainties, including internal or external factors that could delay, divert or change any of them in the next several years, that are difficult to predict, may be beyond our control and could cause our future financial results, goals, plans and objectives to differ materially from those expressed in, or implied by, the statements. Among other risks, there can be no guarantee that the collaboration with Nektar will progress as contemplated in this release or that NKTR-214, alone or in combination with Opdivo or Opdivo plus Yervoy will receive regulatory approval for the treatment of cancer.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2021, as updated by our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Nektar Therapeutics Cautionary Statement Regarding Forward-Looking Statements</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which can be identified by words such as: “will,” “may,” “plan,” “advance” and similar references to future periods. Examples of forward-looking statements include, among others, statements we make regarding the future plans regarding bempegaldesleukin, approaches for winding down clinical trials and future research efforts.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among others: (i) our statements regarding the therapeutic potential of bempegaldesleukin are subject to change; (ii) winding down clinical trials is complicated and time-consuming, and may incur difficulties and expenses due to a number of factors outside of our control; and (iii) certain other important risks and uncertainties set forth in our Annual Report on Form 10-K filed with the Securities and Exchange Commission on February 28, 2022. Any forward-looking statement made by us in this press release is based only on information currently available to us and speaks only as of the date on which it is made. We undertake no obligation to update any forward-looking statement, whether written or oral, that may be made from time to time, whether as a result of new information, future developments or otherwise.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Bristol Myers Squibb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investor.relations@bms.com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Nektar: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 of 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973-271-6085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dan@1abmedia.com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Vivian Wu of Nektar Therapeutics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628-895-0661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vwu@nektar.com</w:t>
      </w:r>
    </w:p>
    <w:p>
      <w:pPr>
        <w:spacing w:after="0" w:line="200" w:lineRule="exact"/>
        <w:rPr>
          <w:sz w:val="20"/>
          <w:szCs w:val="20"/>
          <w:color w:val="auto"/>
        </w:rPr>
      </w:pPr>
    </w:p>
    <w:p>
      <w:pPr>
        <w:spacing w:after="0" w:line="22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2022-04-14T15:45:43Z</dcterms:created>
  <dcterms:modified xsi:type="dcterms:W3CDTF">2022-04-14T15:45:43Z</dcterms:modified>
</cp:coreProperties>
</file>