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28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3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40"/>
          <w:szCs w:val="40"/>
          <w:b w:val="1"/>
          <w:bCs w:val="1"/>
          <w:color w:val="auto"/>
        </w:rPr>
        <w:t>Nektar Therapeutics</w:t>
      </w:r>
    </w:p>
    <w:p>
      <w:pPr>
        <w:spacing w:after="0" w:line="4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71"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204470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264795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93345</wp:posOffset>
            </wp:positionV>
            <wp:extent cx="168021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NEKTAR THERAPEUTICS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455 Mission Bay Boulevard South</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San Francisco, California 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75565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NOTICE OF ANNUAL MEETING OF STOCKHOLDERS</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TO BE HELD ON JUNE 8, 2023</w:t>
      </w:r>
    </w:p>
    <w:p>
      <w:pPr>
        <w:spacing w:after="0" w:line="1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color w:val="auto"/>
        </w:rPr>
        <w:t>AT 2:00 P.M.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75565</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Dear Stockholder:</w:t>
      </w:r>
    </w:p>
    <w:p>
      <w:pPr>
        <w:spacing w:after="0" w:line="127"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6"/>
          <w:szCs w:val="16"/>
          <w:color w:val="auto"/>
        </w:rPr>
        <w:t>You are cordially invited to attend the 2023 Annual Meeting of Stockholders of Nektar Therapeutics, a Delaware corporation, which will be held by live webcast only. The 2023 Annual Meeting will be held on Thursday, June 8, 2023, at 2:00 p.m. Pacific Time for the following purposes:</w:t>
      </w:r>
    </w:p>
    <w:p>
      <w:pPr>
        <w:spacing w:after="0" w:line="69"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two directors with terms to expire at the 2026 Annual Meeting of Stockholders.</w:t>
      </w:r>
    </w:p>
    <w:p>
      <w:pPr>
        <w:spacing w:after="0" w:line="126" w:lineRule="exact"/>
        <w:rPr>
          <w:rFonts w:ascii="Times New Roman" w:cs="Times New Roman" w:eastAsia="Times New Roman" w:hAnsi="Times New Roman"/>
          <w:sz w:val="16"/>
          <w:szCs w:val="16"/>
          <w:color w:val="auto"/>
        </w:rPr>
      </w:pPr>
    </w:p>
    <w:p>
      <w:pPr>
        <w:ind w:left="1000" w:right="479" w:hanging="348"/>
        <w:spacing w:after="0" w:line="298"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an amendment to our Amended and Restated 2017 Performance Incentive Plan to increase the aggregate number of shares of common stock authorized for issuance under the plan by 12,000,000 shares.</w:t>
      </w:r>
    </w:p>
    <w:p>
      <w:pPr>
        <w:spacing w:after="0" w:line="56" w:lineRule="exact"/>
        <w:rPr>
          <w:rFonts w:ascii="Times New Roman" w:cs="Times New Roman" w:eastAsia="Times New Roman" w:hAnsi="Times New Roman"/>
          <w:sz w:val="16"/>
          <w:szCs w:val="16"/>
          <w:color w:val="auto"/>
        </w:rPr>
      </w:pPr>
    </w:p>
    <w:p>
      <w:pPr>
        <w:ind w:left="1000" w:right="439" w:hanging="348"/>
        <w:spacing w:after="0" w:line="298"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selection of Ernst &amp; Young LLP as our independent registered public accounting firm for the fiscal year ending December 31, 2023.</w:t>
      </w:r>
    </w:p>
    <w:p>
      <w:pPr>
        <w:spacing w:after="0" w:line="56" w:lineRule="exact"/>
        <w:rPr>
          <w:rFonts w:ascii="Times New Roman" w:cs="Times New Roman" w:eastAsia="Times New Roman" w:hAnsi="Times New Roman"/>
          <w:sz w:val="16"/>
          <w:szCs w:val="16"/>
          <w:color w:val="auto"/>
        </w:rPr>
      </w:pPr>
    </w:p>
    <w:p>
      <w:pPr>
        <w:ind w:left="1000" w:hanging="348"/>
        <w:spacing w:after="0"/>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 non-binding advisory resolution regarding our executive compensation (a “say-on-pay” vote).</w:t>
      </w:r>
    </w:p>
    <w:p>
      <w:pPr>
        <w:spacing w:after="0" w:line="126" w:lineRule="exact"/>
        <w:rPr>
          <w:rFonts w:ascii="Times New Roman" w:cs="Times New Roman" w:eastAsia="Times New Roman" w:hAnsi="Times New Roman"/>
          <w:sz w:val="16"/>
          <w:szCs w:val="16"/>
          <w:color w:val="auto"/>
        </w:rPr>
      </w:pPr>
    </w:p>
    <w:p>
      <w:pPr>
        <w:ind w:left="1000" w:right="379" w:hanging="348"/>
        <w:spacing w:after="0" w:line="281" w:lineRule="auto"/>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request in a non-binding advisory vote of stockholders the frequency with which the stockholders will be provided a “say-on-pay” vote. You will have the opportunity to request a “say-on-pay” vote every year, every two years, or every three years or to abstain.</w:t>
      </w:r>
    </w:p>
    <w:p>
      <w:pPr>
        <w:spacing w:after="0" w:line="69" w:lineRule="exact"/>
        <w:rPr>
          <w:rFonts w:ascii="Times New Roman" w:cs="Times New Roman" w:eastAsia="Times New Roman" w:hAnsi="Times New Roman"/>
          <w:sz w:val="16"/>
          <w:szCs w:val="16"/>
          <w:color w:val="auto"/>
        </w:rPr>
      </w:pPr>
    </w:p>
    <w:p>
      <w:pPr>
        <w:ind w:left="1000" w:hanging="348"/>
        <w:spacing w:after="0"/>
        <w:tabs>
          <w:tab w:leader="none" w:pos="10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conduct any other business properly brought before the 2023 Annual Meeting.</w:t>
      </w:r>
    </w:p>
    <w:p>
      <w:pPr>
        <w:spacing w:after="0" w:line="127" w:lineRule="exact"/>
        <w:rPr>
          <w:sz w:val="20"/>
          <w:szCs w:val="20"/>
          <w:color w:val="auto"/>
        </w:rPr>
      </w:pPr>
    </w:p>
    <w:p>
      <w:pPr>
        <w:ind w:left="300" w:right="499" w:firstLine="360"/>
        <w:spacing w:after="0" w:line="281" w:lineRule="auto"/>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 of Annual Meeting of Stockholders. The record date for the 2023 Annual Meeting is April 10, 2023. Only stockholders of record at the close of business on that date are entitled to notice of, and to vote at, the 2023 Annual Meeting or any adjournment thereof.</w:t>
      </w:r>
    </w:p>
    <w:p>
      <w:pPr>
        <w:spacing w:after="0" w:line="69" w:lineRule="exact"/>
        <w:rPr>
          <w:sz w:val="20"/>
          <w:szCs w:val="20"/>
          <w:color w:val="auto"/>
        </w:rPr>
      </w:pPr>
    </w:p>
    <w:p>
      <w:pPr>
        <w:ind w:left="300" w:right="1119" w:firstLine="360"/>
        <w:spacing w:after="0" w:line="298" w:lineRule="auto"/>
        <w:rPr>
          <w:sz w:val="20"/>
          <w:szCs w:val="20"/>
          <w:color w:val="auto"/>
        </w:rPr>
      </w:pPr>
      <w:r>
        <w:rPr>
          <w:rFonts w:ascii="Times New Roman" w:cs="Times New Roman" w:eastAsia="Times New Roman" w:hAnsi="Times New Roman"/>
          <w:sz w:val="16"/>
          <w:szCs w:val="16"/>
          <w:color w:val="auto"/>
        </w:rPr>
        <w:t>For the convenience of our stockholders, we have elected to hold the 2023 Annual Meeting by means of remote communication. The live webcast of the Annual Meeting will begin promptly at 2:00 p.m. Pacific Time.</w:t>
      </w:r>
    </w:p>
    <w:p>
      <w:pPr>
        <w:spacing w:after="0" w:line="54" w:lineRule="exact"/>
        <w:rPr>
          <w:sz w:val="20"/>
          <w:szCs w:val="20"/>
          <w:color w:val="auto"/>
        </w:rPr>
      </w:pPr>
    </w:p>
    <w:p>
      <w:pPr>
        <w:jc w:val="both"/>
        <w:ind w:left="300" w:right="499" w:firstLine="360"/>
        <w:spacing w:after="0" w:line="273" w:lineRule="auto"/>
        <w:rPr>
          <w:sz w:val="20"/>
          <w:szCs w:val="20"/>
          <w:color w:val="auto"/>
        </w:rPr>
      </w:pPr>
      <w:r>
        <w:rPr>
          <w:rFonts w:ascii="Times New Roman" w:cs="Times New Roman" w:eastAsia="Times New Roman" w:hAnsi="Times New Roman"/>
          <w:sz w:val="16"/>
          <w:szCs w:val="16"/>
          <w:b w:val="1"/>
          <w:bCs w:val="1"/>
          <w:color w:val="auto"/>
        </w:rPr>
        <w:t>To participate in the live webcast, please visit www.virtualshareholdermeeting.com/NKTR2023. You will need the control number included on your Notice of Availability of Proxy Materials, proxy card, or voting instruction form. We encourage you to access the meeting prior to the start time to allow time for check-in procedures. If you experience any technical difficulties during the check-in process or during the meeting, please call the number provided on the meeting website for technical support.</w:t>
      </w:r>
    </w:p>
    <w:p>
      <w:pPr>
        <w:spacing w:after="0" w:line="76"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6"/>
          <w:szCs w:val="16"/>
          <w:color w:val="auto"/>
        </w:rPr>
        <w:t>Your vote is very important. Whether or not you participate in the 2023 Annual Meeting, which will be held by live webcast on the day of the meeting, it is important that your shares be represented. You may vote your proxy on the Internet, by phone or by mail in accordance with the instructions in the Notice of Availability of Proxy Materials.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participation in this important annual process.</w:t>
      </w:r>
    </w:p>
    <w:p>
      <w:pPr>
        <w:spacing w:after="0" w:line="1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3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/s/ Mark A. Wilson</w:t>
      </w:r>
    </w:p>
    <w:p>
      <w:pPr>
        <w:spacing w:after="0" w:line="10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Mark A. Wilson</w:t>
      </w:r>
    </w:p>
    <w:p>
      <w:pPr>
        <w:spacing w:after="0" w:line="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i w:val="1"/>
          <w:iCs w:val="1"/>
          <w:color w:val="auto"/>
        </w:rPr>
        <w:t>Senior Vice President, Chief Legal Officer and Secretary</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April 28, 2023</w:t>
      </w:r>
    </w:p>
    <w:p>
      <w:pPr>
        <w:spacing w:after="0" w:line="181"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6"/>
          <w:szCs w:val="16"/>
          <w:color w:val="auto"/>
        </w:rPr>
        <w:t>YOU ARE CORDIALLY INVITED TO ATTEND THE 2023 ANNUAL MEETING OF STOCKHOLDERS VIA LIVE WEBCAST ON THE DAY OF THE MEETING. WHETHER OR NOT YOU EXPECT TO ATTEND THE ANNUAL MEETING, PLEASE VOTE ON THE INTERNET, BY PHONE OR BY MAIL AS INSTRUCTED IN THE NOTICE OF AVAILABILITY OF PROXY MATERIALS, AS PROMPTLY AS POSSIBLE IN ORDER TO ENSURE YOUR REPRESENTATION AT THE 2023 ANNUAL MEETING. EVEN IF YOU HAVE VOTED BY PROXY, YOU MAY STILL VOTE DURING THE LIVE WEBCAST IF YOU ATTEND THE ANNUAL MEETING. PLEASE NOTE, HOWEVER, THAT IF YOUR SHARES ARE HELD OF RECORD BY A BROKER, BANK OR OTHER NOMINEE AND YOU WISH TO VOTE AT THE 2023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103505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0" w:type="dxa"/>
            <w:vAlign w:val="bottom"/>
            <w:gridSpan w:val="27"/>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 PROCEDURES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240" w:type="dxa"/>
            <w:vAlign w:val="bottom"/>
            <w:tcBorders>
              <w:bottom w:val="single" w:sz="8" w:color="0000EE"/>
            </w:tcBorders>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PROPOSAL 2 APPROVAL OF AN AMENDMENT TO OUR AMENDED AND RESTATED 2017</w:t>
            </w:r>
          </w:p>
        </w:tc>
        <w:tc>
          <w:tcPr>
            <w:tcW w:w="98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40" w:type="dxa"/>
            <w:vAlign w:val="bottom"/>
            <w:gridSpan w:val="3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PERFORMANCE INCENTIVE PLAN</w:t>
            </w:r>
          </w:p>
        </w:tc>
        <w:tc>
          <w:tcPr>
            <w:tcW w:w="200" w:type="dxa"/>
            <w:vAlign w:val="bottom"/>
            <w:tcBorders>
              <w:right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PROPOSAL 3 RATIFICATION OF SELECTION OF INDEPENDENT REGISTERED PUBLIC</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1220" w:type="dxa"/>
            <w:vAlign w:val="bottom"/>
            <w:gridSpan w:val="5"/>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17</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4 ADVISORY VOTE ON EXECUTIVE COMPENSATION</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18</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PROPOSAL 5 ADVISORY VOTE ON THE FREQUENCY OF SAY-ON-PAY VOTE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19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INFORMATION ABOUT THE BOARD OF DIRECTORS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THE BOARD OF DIRECTORS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CONTINUING IN OFFICE UNTIL THE 2024 ANNUAL MEETING</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DIRECTORS CONTINUING IN OFFICE UNTIL THE 2025 ANNUAL MEETING</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CONTINUING IN OFFICE UNTIL THE 2026 ANNUAL MEETING</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CURRENT DIRECTORS NOMINATED FOR REELECTION TO SERVE UNTIL THE 2026 ANNUAL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42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620" w:type="dxa"/>
            <w:vAlign w:val="bottom"/>
            <w:gridSpan w:val="2"/>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MEETINGS OF THE BOARD OF DIRECTORS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RISK OVERSIGHT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INDEPENDENCE OF THE BOARD OF DIRECTORS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INFORMATION REGARDING THE COMMITTEES OF THE BOARD OF DIRECTORS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28</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 COMMUNICATIONS WITH THE BOARD OF DIRECTORS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35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680" w:type="dxa"/>
            <w:vAlign w:val="bottom"/>
            <w:tcBorders>
              <w:bottom w:val="single" w:sz="8" w:color="0000EE"/>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ORGANIZATION AND COMPENSATION COMMITTEE INTERLOCKS AND INSIDER</w:t>
            </w:r>
          </w:p>
        </w:tc>
        <w:tc>
          <w:tcPr>
            <w:tcW w:w="1540" w:type="dxa"/>
            <w:vAlign w:val="bottom"/>
            <w:tcBorders>
              <w:bottom w:val="single" w:sz="8" w:color="CCEEFF"/>
            </w:tcBorders>
            <w:gridSpan w:val="7"/>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40" w:type="dxa"/>
            <w:vAlign w:val="bottom"/>
            <w:gridSpan w:val="3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PARTICIPATION</w:t>
            </w:r>
          </w:p>
        </w:tc>
        <w:tc>
          <w:tcPr>
            <w:tcW w:w="200" w:type="dxa"/>
            <w:vAlign w:val="bottom"/>
            <w:tcBorders>
              <w:right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35</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DIRECTOR COMPENSATION TABLE—FISCAL 2022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36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38</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59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COMPENSATION TABLE—FISCAL 2020</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60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DESCRIPTION OF EMPLOYMENT AGREEMENTS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61</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GRANTS OF PLAN BASED AWARDS IN 2022</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62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FOR 2022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64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OPTION EXERCISES AND STOCK VESTED IN 2022</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67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 OF CONTROL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67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INFORMATION ABOUT OUR INDEPENDENT REGISTERED PUBLIC ACCOUNTING FIRM</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PRE-APPROVAL POLICIES AND PROCEDURES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78</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79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w w:val="88"/>
              </w:rPr>
              <w:t>79</w:t>
            </w:r>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800" w:type="dxa"/>
            <w:vAlign w:val="bottom"/>
            <w:tcBorders>
              <w:top w:val="single" w:sz="8" w:color="0000EE"/>
              <w:bottom w:val="single" w:sz="8" w:color="auto"/>
            </w:tcBorders>
          </w:tcPr>
          <w:p>
            <w:pPr>
              <w:spacing w:after="0"/>
              <w:rPr>
                <w:sz w:val="22"/>
                <w:szCs w:val="22"/>
                <w:color w:val="auto"/>
              </w:rPr>
            </w:pPr>
          </w:p>
        </w:tc>
        <w:tc>
          <w:tcPr>
            <w:tcW w:w="4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300" w:type="dxa"/>
            <w:vAlign w:val="bottom"/>
            <w:tcBorders>
              <w:top w:val="single" w:sz="8" w:color="0000EE"/>
              <w:bottom w:val="single" w:sz="8" w:color="auto"/>
            </w:tcBorders>
          </w:tcPr>
          <w:p>
            <w:pPr>
              <w:spacing w:after="0"/>
              <w:rPr>
                <w:sz w:val="22"/>
                <w:szCs w:val="22"/>
                <w:color w:val="auto"/>
              </w:rPr>
            </w:pPr>
          </w:p>
        </w:tc>
        <w:tc>
          <w:tcPr>
            <w:tcW w:w="4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2"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93345</wp:posOffset>
            </wp:positionV>
            <wp:extent cx="168021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455 Mission Bay Boulevard South</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HELD ON JUNE 8,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 2:00 P.M.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PROCEDURES</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For the convenience of our stockholders, we have elected to hold the 2023 Annual Meeting of Stockholders solely by means of remote communication.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sent you a Notice of Availability of Proxy Materials (the “Notice”) because the board of directors of Nektar Therapeutics, a Delaware corporation (“Nektar,” the “Company,” “we” or “us”), is soliciting your proxy to vote at our 2023 Annual Meeting of Stockholders (the “Annual Meeting”) to be held solely by live webcast on June 8, 2023 at 2:00 p.m. Pacific Time. There will be no in-person meeting. We invite you to attend the Annual Meeting by live webcast to vote on the proposals described in this proxy statement. However, you do not need to attend the live webcast meeting to vote your shares. Instead, you may vote by proxy over the Internet or by phone by following the instructions provided in the Notice or, if you request printed copies of the proxy materials by mail, you may vote by mail. Please visit our website at www.nektar.com for updated information related to the Annual Meeting. As always, we encourage you to vote your shares prior to the Annual Meeting.</w:t>
      </w:r>
    </w:p>
    <w:p>
      <w:pPr>
        <w:spacing w:after="0" w:line="8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webcast of the Annual Meeting will begin promptly at 2:00 p.m. Pacific Time. To participate in the live webcast, </w:t>
      </w:r>
      <w:r>
        <w:rPr>
          <w:rFonts w:ascii="Times New Roman" w:cs="Times New Roman" w:eastAsia="Times New Roman" w:hAnsi="Times New Roman"/>
          <w:sz w:val="18"/>
          <w:szCs w:val="18"/>
          <w:b w:val="1"/>
          <w:bCs w:val="1"/>
          <w:color w:val="auto"/>
        </w:rPr>
        <w:t>please visit www.virtualshareholdermeeting.com/NKTR2023.</w:t>
      </w:r>
      <w:r>
        <w:rPr>
          <w:rFonts w:ascii="Times New Roman" w:cs="Times New Roman" w:eastAsia="Times New Roman" w:hAnsi="Times New Roman"/>
          <w:sz w:val="18"/>
          <w:szCs w:val="18"/>
          <w:color w:val="auto"/>
        </w:rPr>
        <w:t xml:space="preserve"> You will need the control number included on your Notice, proxy card, or voting instruction form. We encourage you to access the meeting prior to the start time to allow time for check-in procedures. If you experience any technical difficulties during the check-in process or during the meeting, please call the number provided on the meeting website for technical support.</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may submit a question during the live webcast of the Annual Meeting by visiting </w:t>
      </w:r>
      <w:r>
        <w:rPr>
          <w:rFonts w:ascii="Times New Roman" w:cs="Times New Roman" w:eastAsia="Times New Roman" w:hAnsi="Times New Roman"/>
          <w:sz w:val="18"/>
          <w:szCs w:val="18"/>
          <w:b w:val="1"/>
          <w:bCs w:val="1"/>
          <w:color w:val="auto"/>
        </w:rPr>
        <w:t xml:space="preserve">www.virtualshareholdermeeting.com/NKTR2023. </w:t>
      </w:r>
      <w:r>
        <w:rPr>
          <w:rFonts w:ascii="Times New Roman" w:cs="Times New Roman" w:eastAsia="Times New Roman" w:hAnsi="Times New Roman"/>
          <w:sz w:val="18"/>
          <w:szCs w:val="18"/>
          <w:color w:val="auto"/>
        </w:rPr>
        <w:t>We will endeavor to answer as many questions received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allows that comply with our Annual Meeting rules of conduct. If we receive substantially similar questions, we may group such questions together and provide a single response to avoid repetition. We also reserve the right to exclude questions regarding topics that are not relevant to the meeting matters. Information regarding the rules and procedures for participating in the Annual Meeting will be set forth in our Annual Meeting rules of conduct, which will be available during the meeting on the meeting website.</w:t>
      </w:r>
    </w:p>
    <w:p>
      <w:pPr>
        <w:spacing w:after="0" w:line="8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Notice was first sent or made available on or about April 28, 2023 to all stockholders of record entitled to vote at the Annual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10, 2023 will be entitled to vote at the Annual Meeting. On this record date, there were 189,235,157 shares of common stock outstanding and entitled to vote.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on April 10, 2023, your shares were registered directly in your name with our transfer agent, Computershare Inc., then you are a stockholder of record. The Notice will be sent to you by mail directly by us. As a stockholder of record, you may vote remotely at the Annual Meeting or vote by proxy. Whether or not you plan to attend the Annual Meeting remotely, we urge you to vote on the Internet or by phone as instructed in the Notice or by proxy by mail by requesting a paper copy of the proxy materials as instructed in the Notice to ensure your vote is counted.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on April 10, 2023, your shares were held in an account at a brokerage firm, bank or other agent,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agent on how to vote the shares in your account. Your brokerage firm, bank or other agent will not be able to vote in the election of directors unless they have your voting instructions, so it is very important that you indicate your voting instructions to the institution holding your shares.</w:t>
      </w:r>
    </w:p>
    <w:p>
      <w:pPr>
        <w:spacing w:after="0" w:line="8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You are also invited to attend the Annual Meeting by live webcast. However, since you are not the stockholder of record, you may not vote your shares remotely at the Annual Meeting by live webcast unless you request and obtain a valid proxy from your broker, bank or other agent.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five matters scheduled for a vote:</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To elect two directors with terms to expire at the 2026 Annual Meeting of Stockholders.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To approve an amendment to our Amended and Restated 2017 Performance Incentive Plan to increase the aggregate number of shares of common stock authorized for issuance under the plan by 12,000,000 shares.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ratify the selection of Ernst &amp; Young LLP as our independent registered public accounting firm for our fiscal year ending December 31, 2023.</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a non-binding advisory resolution regarding our executive compensation (a “say-on-pay” vote).</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To request in a non-binding advisory vote of stockholders the frequency with which the stockholders will be provided a “say-on-pay” vote. You will have the opportunity to request a “say-on-pay” vote every year, every two years, or every three years or to abstain.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PROXY MATERIALS DISTRIBUTED?</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Under rules adopted by the Securities and Exchange Commission (“SEC”), we are sending the Notice to our stockholders of record and beneficial owners as of April 10, 2023. Stockholders will have the ability to access the proxy materials, including this proxy statement and our Annual Report on Form 10-K for the fiscal year ended December 31, 2022, on the Internet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 xml:space="preserve"> or to request a printed or electronic set of the proxy materials at no charge. Instructions on how to access the proxy materials over the Internet and how to request a printed copy may be found on the Notice.</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of annual meetings on the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the stockholder terminates it.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599" w:firstLine="360"/>
        <w:spacing w:after="0" w:line="289" w:lineRule="auto"/>
        <w:rPr>
          <w:sz w:val="20"/>
          <w:szCs w:val="20"/>
          <w:color w:val="auto"/>
        </w:rPr>
      </w:pPr>
      <w:r>
        <w:rPr>
          <w:rFonts w:ascii="Times New Roman" w:cs="Times New Roman" w:eastAsia="Times New Roman" w:hAnsi="Times New Roman"/>
          <w:sz w:val="17"/>
          <w:szCs w:val="17"/>
          <w:color w:val="auto"/>
        </w:rPr>
        <w:t>You may either vote “For” or “Against” or abstain from voting with respect to each nominee to the board of directors. For Proposals 2, 3, and 4 you may vote “For” or “Against” or abstain from voting. For Proposal 5, you may vote for “every year”, “every two years”, “every three years”, or abstain. The procedures for voting are: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as of April 10, 2023, you may vote remotely at the Annual Meeting by live webcast, vote by proxy over the Internet or by phone by following the instructions provided in the Notice or, if you request printed copies of the proxy materials by mail, you may vote by mail. If your proxy is properly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executed in time to be voted at the Annual Meeting, the shares represented by the proxy will be voted in accordance with the instructions you provide. Whether or not you plan to attend the Annual Meeting, we urge you to vote by proxy to ensure your vote is counted. You may still attend the Annual Meeting and vote remotely if you have already voted by proxy.</w:t>
      </w:r>
    </w:p>
    <w:p>
      <w:pPr>
        <w:spacing w:after="0" w:line="72" w:lineRule="exact"/>
        <w:rPr>
          <w:sz w:val="20"/>
          <w:szCs w:val="20"/>
          <w:color w:val="auto"/>
        </w:rPr>
      </w:pPr>
    </w:p>
    <w:p>
      <w:pPr>
        <w:ind w:left="1000" w:right="29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during the meeting, attend the Annual Meeting which will be held by live webcast. To attend the live meeting go to </w:t>
      </w:r>
      <w:r>
        <w:rPr>
          <w:rFonts w:ascii="Times New Roman" w:cs="Times New Roman" w:eastAsia="Times New Roman" w:hAnsi="Times New Roman"/>
          <w:sz w:val="18"/>
          <w:szCs w:val="18"/>
          <w:b w:val="1"/>
          <w:bCs w:val="1"/>
          <w:color w:val="auto"/>
        </w:rPr>
        <w:t>www.virtualshareholdermeeting.com/NKTR2023</w:t>
      </w:r>
      <w:r>
        <w:rPr>
          <w:rFonts w:ascii="Times New Roman" w:cs="Times New Roman" w:eastAsia="Times New Roman" w:hAnsi="Times New Roman"/>
          <w:sz w:val="18"/>
          <w:szCs w:val="18"/>
          <w:color w:val="auto"/>
        </w:rPr>
        <w:t xml:space="preserve"> on the day and time of the meeting. You will need the control number included on your Notice, proxy card, or voting instruction form. We encourage you to access the meeting prior to the start time.</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on the Internet prior to the Annual Meeting, go to www.proxyvote.com to complete an electronic proxy card. You will be asked to provide the 16-digit control number from the Notice and follow the instructions. Your vote must be received by 11:59 p.m. Eastern Time on June 7, 2023 to be counted.</w:t>
      </w:r>
    </w:p>
    <w:p>
      <w:pPr>
        <w:spacing w:after="0" w:line="49" w:lineRule="exact"/>
        <w:rPr>
          <w:rFonts w:ascii="Times New Roman" w:cs="Times New Roman" w:eastAsia="Times New Roman" w:hAnsi="Times New Roman"/>
          <w:sz w:val="17"/>
          <w:szCs w:val="17"/>
          <w:color w:val="auto"/>
        </w:rPr>
      </w:pPr>
    </w:p>
    <w:p>
      <w:pPr>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phone, request a paper or email copy of the proxy materials by following the instructions on the Notice and call the number provided with the proxy materials to transmit your voting instructions. Your vote must be received by 11:59 p.m. Eastern Time on June 7, 2023 to be counted.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request a paper copy of the proxy materials by following the instructions on the Notice and complete, sign and date the proxy card enclosed with the paper copy of the proxy materials and return it promptly in the envelope provided. If you return your signed proxy card to us before the Annual Meeting, we will vote your shares as you direct.</w:t>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and voting instructions from that organization rather than from us. Simply follow the instructions to ensure that your vote is counted. To vote by live webcast at the Annual Meeting, you must obtain a valid proxy from your broker, bank or other agent. Follow the instructions from your broker, bank or other agent included with the Notice, or contact your broker, bank or other agent.</w:t>
      </w:r>
    </w:p>
    <w:p>
      <w:pPr>
        <w:spacing w:after="0" w:line="71" w:lineRule="exact"/>
        <w:rPr>
          <w:sz w:val="20"/>
          <w:szCs w:val="20"/>
          <w:color w:val="auto"/>
        </w:rPr>
      </w:pPr>
    </w:p>
    <w:p>
      <w:pPr>
        <w:ind w:left="300" w:right="5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April 10, 2023.</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take any action during the meeting (other than to adjourn the meeting). The presence, by live webcast, or by proxy duly authorized, of the holders of a majority of the outstanding shares of stock entitled to vote will constitute a quorum. On April 10, 2023, there were 189,235,157 shares outstanding and entitled to vote.</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vote during the live webcast at the Annual Meeting. Even if your valid proxy card indicates that you abstain from voting or if a broker indicates on a proxy that it lacks discretionary authority to vote your shares on a particular matter, commonly referred to as “broker non-votes,” your shares will still be counted for purposes of determining the presence of a quorum at the Annual Meeting. If there is no quorum, the chairman of the Annual Meeting or a majority of the votes present at the Annual Meeting may adjourn the Annual Meeting to another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you return a proxy card without marking any voting selections, your shares will be voted:</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“For” election of the two nominees for director.</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“For” the approval of an amendment to the Amended and Restated 2017 Performance Incentive Plan to increase the aggregate number of shares of common stock authorized for issuance under the plan by 12,000,000.</w:t>
      </w:r>
    </w:p>
    <w:p>
      <w:pPr>
        <w:spacing w:after="0" w:line="6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“For” the ratification of the Audit Committee’s selection of Ernst &amp; Young LLP as our independent registered public accounting firm for our fiscal year ending December 31, 2023.</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“For” the approval of a non-binding advisory resolution regarding our executive compensation (a “say-on-pay” vote).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“For” the request that we hold a “say-on-pay” vote every year.</w:t>
      </w:r>
    </w:p>
    <w:p>
      <w:pPr>
        <w:spacing w:after="0" w:line="117"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 (one of the individuals named on your proxy card) will vote your shares using his best judgment.</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your shares are held by your broker, bank or other agent as your nominee (that is, in “street name”) and you will need to obtain a proxy form from the organization that holds your shares and follow the instructions included on that form regarding how to instruct the organization to vote your shares. If you do not give instructions to your broker, bank or other agent, it can vote your shares with respect to “discretionary” items but not with respect to “non-discretionary” items. Discretionary items are proposals considered routine under the rules of various national securities exchanges, and, in the absence of your voting instructions, your broker, bank or other agent may vote your shares held in street name on such proposals. Non-discretionary items are proposals considered non-routine under the rules of various national securities exchanges, and, in the absence of your voting instructions, your broker, bank or other agent may not vote your shares held in street name on such proposals and the shares will be treated as broker non-votes. Proposals 1, 2, 4 and 5 are matters considered non-routine under the applicable rules. If you do not give your broker specific instructions, the broker will not vote your shares on Proposals 1, 2, 4 and 5 and your shares will constitute broker non-votes which will be counted for purposes of determining whether a quorum exists, but will not affect the outcome of these proposals. Proposal 3 involves a matter we believe to be routine and thus if you do not give instructions to your broker, the broker may vote your shares in its discretion on Proposal 3 and therefore no broker non-votes are expected to exist in connection with Proposal 3.</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with respect to Proposal 1, “For” votes, “Against” votes, abstentions and broker non-votes for each nominee, with respect to Proposal 2 and 4, “For” votes, “Against” votes, abstentions and broker non-votes, with respect to Proposal 5, separate votes for each of “every year”, “every two years” and “every three years”, abstentions and broker non-votes, and with respect to Proposal 3, “For” votes, “Against” votes and abstentions.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SERVE AS INSPECTOR OF ELECTIONS?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will serve as the inspector of elections.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000" w:right="319" w:hanging="348"/>
        <w:spacing w:after="0" w:line="281"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Proposal 1 electing two members of the board of directors, each director must receive a “For” vote from a majority of the votes cast during the live webcast or by proxy at the Annual Meeting on the election of the director. A majority of the votes cast shall mean that the number of shares voted “For” a director’s election exceeds fifty percent (50%) of the number of the votes cast with respect to that director’s election.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5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2 approving an amendment to our Amended and Restated 2017 Performance Incentive Plan to increase the aggregate number of shares of common stock authorized for issuance under the plan, the proposal must receive a “For” vote from a majority of the votes cast either during the live webcast or by proxy at the Annual Meeting.</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3 ratifying the Audit Committee’s selection of Ernst &amp; Young LLP as our independent registered public accounting firm for our fiscal year ending December 31, 2023, the proposal must receive a “For” vote from a majority of the votes cast either during the live webcast or by proxy at the Annual Meeting.</w:t>
      </w:r>
    </w:p>
    <w:p>
      <w:pPr>
        <w:spacing w:after="0" w:line="71"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4 approving the resolution regarding executive compensation, the proposal must receive a “For” vote from a majority of the votes cast either during the live webcast or by proxy at the Annual Meeting.</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5 requesting the frequency of our “say-on-pay” vote, the frequency receiving the most votes cast either during the live webcast or by proxy will be considered requested by stockholders.</w:t>
      </w:r>
    </w:p>
    <w:p>
      <w:pPr>
        <w:spacing w:after="0" w:line="54"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For purposes of all proposals above, votes cast shall include any shares voted “Against” and shall exclude abstentions and, to the extent applicable, broker non-votes.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 Notice and the proxy materials, our directors and employees may also solicit proxies during the live webcast, by telephone or by other means of communication. We have retained Georgeson LLC (“Georgeson”) to assist in the distribution of proxy materials and the solicitation of proxies from brokerage firms, fiduciaries, custodians, and other similar organizations representing beneficial owners of shares for the Annual Meeting. We have agreed to pay Georgeson a fee of approximately $15,500 plus customary costs and expenses for these services. We will not pay our directors and employees any additional compensation for soliciting proxies. We may also reimburse brokerage firms, banks and other agents for the cost of forwarding the Notice and any other proxy materials to beneficial owners.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are registered in more than one name or are registered in different accounts. Please vote by proxy according to each Notice to ensure that all of your shares are voted.</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300" w:right="1159" w:firstLine="36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three ways:</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proxy card with a later date or time than the previously submitted proxy;</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that you are revoking your proxy to our Secretary, care of Nektar Therapeutics, at 455 Mission Bay Boulevard South, San Francisco, California 94158; or</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later-dated vote on the Internet or by phone or a ballot cast during the live webcast at the Annual Meeting (simply attending the Annual Meeting will not, by itself, revoke your proxy).</w:t>
      </w:r>
    </w:p>
    <w:p>
      <w:pPr>
        <w:spacing w:after="0" w:line="5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you may revoke your proxy by submitting new instructions to your broker, bank or other agent, or if you have received a proxy from your broker, bank or other agent giving you the right to vote your shares at the Annual Meeting, by attending the meeting and voting during the live webcast.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Pursuant to Rule 14a-8 under the Securities Exchange Act of 1934, as amended (the “Exchange Act”), some stockholder proposals may be eligible for inclusion in our 2024 proxy statement. Any such proposal must be submitted in writing by December 29, 2023, to our Secretary, care of Nektar Therapeutics, 455 Mission Bay Boulevard South, San Francisco, California 94158. If we change the date of our 2024 annual meeting by more than 30 days from the date of the previous year’s annual meeting, the deadline shall be a reasonable time before we begin to print and send our proxy materials. Stockholders interested in submitting such a proposal are advised to contact knowledgeable counsel with regard to the detailed requirements of the applicable securities laws and our bylaws. The submission of a stockholder proposal does not guarantee that it will be included in our proxy statement.</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Alternatively, under our bylaws, if you wish to submit a proposal that is not to be included in next year’s proxy statement or nominate a director, you must provide specific information to us no earlier than March 11, 2024 and no later than the close of business on April 9, 2024. If we change the date of our 2024 annual meeting by more than 30 days from the date of the previous year’s annual meeting, the deadline shall be changed to not later than the sixtieth day prior to such annual meeting and no earlier than the close of business on the ninetieth day prior to such annual meeting. The public announcement of an adjournment or postponement of the 2024 annual meeting does not commence a new time period (or extend any time period) for the giving of a stockholder’s notice as described in this proxy statement. You are advised to review our bylaws, which contain additional requirements with respect to advance notice of stockholder proposals and director nominees.</w:t>
      </w:r>
    </w:p>
    <w:p>
      <w:pPr>
        <w:spacing w:after="0" w:line="80"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 stockholder’s submission must include certain specific information concerning the proposal or nominee, as the case may be, and information as to the stockholder’s ownership of our common stock. Proposals or nominations not meeting these requirements will not be entertained at any annual meeting.</w:t>
      </w:r>
    </w:p>
    <w:p>
      <w:pPr>
        <w:spacing w:after="0" w:line="6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relation to stockholder proposals and nominations, in certain instances we may exercise discretionary voting authority under proxies held by the board of directors. For instance, if we do not receive a stockholder proposal by April 9, 2024, we may exercise discretionary voting authority under proxies held by the board of directors on such stockholder proposal. If we change the date of our 2023 annual meeting by more than 30 days from the date of the previous year’s annual meeting, the deadline will change to a reasonable time before we begin to print and send our proxy materials. In addition, even if we are notified of a stockholder proposal within the time requirements discussed above, if the stockholder does not comply with certain requirements of the Exchange Act, we may exercise discretionary voting authority under proxies held by the board of directors on such stockholder proposal if we include advice in our proxy statement on the nature of the matter and how we intend to exercise our discretion to vote on the matter.</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who have the same address may receive only one copy of the Notice, unless one or more of these stockholders notifies us that they wish to receive individual copies of the Notice and, if requested, other proxy materials. This process potentially means extra convenience for stockholders and cost savings for companies.</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our common stock, once you receive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separate Notices or other proxy materials, please notify your broker, bank or other agent, direct your written request to Nektar Therapeutics, Secretary, 455 Mission Bay Boulevard South, San Francisco, California 94158 or contact our Secretary at (415) 482-5300. Stockholders who currently receive multiple copies of the Notice or other proxy materials at their address and would like to request householding of their communications should contact their broker, bank or other agent.</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filed with the SEC within four business days following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is presently comprised of eight (8) directors and is divided into three (3) classes. Class I and Class II each currently consist of three directors and Class I currently consists of two directors. Each class has a three (3) year term. The three (3) current directors in Class I are Myriam J. Curet, M.D., Karin Eastham, and Howard W. Robin, whose term expires in 2023. Each of the current directors in Class I was previously elected by the stockholders at the 2020 Annual Meeting of Stockholders. Ms. Eastham will not seek reelection upon the expiration of her current term at the Annual Meeting. Dr. Curet and Mr. Robin have each been nominated for reelection at the Annual Meeting.</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Vacancies on the board, including vacancies created by an increase in the number of directors, are filled only by persons elected by a majority of the remaining directors. A director elected by the board to fill a vacancy in a class serves until the earliest of the end of the remaining term of that class, the election and qualification of his or her successor or such director’s death, resignation or removal.</w:t>
      </w:r>
    </w:p>
    <w:p>
      <w:pPr>
        <w:spacing w:after="0" w:line="7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Directors are elected by a majority of the votes cast at the Annual Meeting on the election of directors. A majority of votes cast shall mean that the number of shares voted “For” a director’s election exceeds fifty percent (50%) of the number of votes cast with respect to that director’s election, with votes cast including votes “Against” in each case but excluding abstentions and broker non-votes with respect to that director’s election. Shares represented by executed proxies by stockholders of record will be voted for the election of the two nominees named below, unless the “Against” or “Abstain” voting selection has been marked on the proxy card. Neither abstentions nor broker non-votes will have an effect on the outcome of the vote.</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any nominee becomes unavailable for election as a result of an unexpected occurrence, shares that would otherwise be voted for such nominee will be voted for the election of a substitute nominee proposed by the Nominating and Corporate Governance Committee and nominated by the board of directors. Each person nominated for election has agreed to serve if elected. Our management has no reason to believe that any nominee will be unable to serve. If elected at the Annual Meeting, each of the nominees will serve until the earliest of the 2026 annual meeting of our stockholders, the election and qualification of his or her successor or his or her death, resignation or removal.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biography of each nominee.</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Myriam J. Curet, M.D.</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Myriam Curet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M.D.</w:t>
      </w:r>
      <w:r>
        <w:rPr>
          <w:rFonts w:ascii="Times New Roman" w:cs="Times New Roman" w:eastAsia="Times New Roman" w:hAnsi="Times New Roman"/>
          <w:sz w:val="18"/>
          <w:szCs w:val="18"/>
          <w:color w:val="auto"/>
        </w:rPr>
        <w:t>, age 66, was appointed to serve as a member of our board of directors in December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Curet currently serves as the Executive Vice President and Chief Medical Officer of Intuitive Surgical, Inc. Prior to being promoted as Executive Vice President and Chief Medical Officer in November 2017, Dr. Curet served as the Chief Medical Advisor for Intuitive Surgical from December 2005 to February 2014 and as Intuitive Surgical’s Senior Vice President and Chief Medical Officer from February 2014 to November 2017. Since July 2021, Dr. Curet has served on the board of directors of Stereotaxis, Inc. Dr. Curet also has a faculty position as Professor of Surgery at Stanford University School of Medicine. Since October 2010, she has served as a Consulting Professor of Surgery at Stanford University with a part time clinical appointment at the Palo Alto Veteran’s Administration Medical Center. She was also on the faculty at the University of New Mexico for six years prior to joining Stanford University in 2000. Dr. Curet received her M.D. from Harvard Medical School and completed her general surgery residency program at the University of Chicago and her Surgical Endoscopy fellowship at the University of New Mexico.</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Howard W. Robin, </w:t>
      </w:r>
      <w:r>
        <w:rPr>
          <w:rFonts w:ascii="Times New Roman" w:cs="Times New Roman" w:eastAsia="Times New Roman" w:hAnsi="Times New Roman"/>
          <w:sz w:val="18"/>
          <w:szCs w:val="18"/>
          <w:color w:val="auto"/>
        </w:rPr>
        <w:t>age 70, has served as our President and Chief Executive Officer since January 2007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our board of directors since February 2007. Mr. Robin served as Chief Executive Officer, President and a director of Sirna Therapeutics, Inc., a biotechnology company, from July 2001 to November 2006 and from January 2001 to June 2001, served as their Chief Operating Officer, President and as a director. From 1991 to 2001, Mr. Robin was Corporate Vice President and General Manager at Berlex Laboratories, Inc. (“Berlex”), a pharmaceutical products company that is a subsidiary of Schering, AG, and from 1987 to 1991 he served as Vice President of Finance and Business Development and Chief Financial Officer.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From 1984 to 1987, Mr. Robin was Director of Business Planning and Development at Berlex. He was a Senior Associate with Arthur Andersen &amp; Co. prior to joining Berlex. He received his B.S. in Accounting and Finance from Fairleigh Dickinson University and serves as a member of its Board of Trustees.</w:t>
      </w:r>
    </w:p>
    <w:p>
      <w:pPr>
        <w:spacing w:after="0" w:line="64" w:lineRule="exact"/>
        <w:rPr>
          <w:sz w:val="20"/>
          <w:szCs w:val="20"/>
          <w:color w:val="auto"/>
        </w:rPr>
      </w:pPr>
    </w:p>
    <w:p>
      <w:pPr>
        <w:ind w:left="300" w:right="8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EACH NAMED NOMINEE.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OUR AMENDED AND RESTATED 2017 PERFORMANCE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99" w:lineRule="exact"/>
        <w:rPr>
          <w:sz w:val="20"/>
          <w:szCs w:val="20"/>
          <w:color w:val="auto"/>
        </w:rPr>
      </w:pPr>
    </w:p>
    <w:p>
      <w:pPr>
        <w:ind w:left="300" w:right="559" w:firstLine="360"/>
        <w:spacing w:after="0" w:line="290" w:lineRule="auto"/>
        <w:rPr>
          <w:sz w:val="20"/>
          <w:szCs w:val="20"/>
          <w:color w:val="auto"/>
        </w:rPr>
      </w:pPr>
      <w:r>
        <w:rPr>
          <w:rFonts w:ascii="Times New Roman" w:cs="Times New Roman" w:eastAsia="Times New Roman" w:hAnsi="Times New Roman"/>
          <w:sz w:val="17"/>
          <w:szCs w:val="17"/>
          <w:color w:val="auto"/>
        </w:rPr>
        <w:t>At the Annual Meeting, our stockholders will be asked to approve an amendment to the Nektar Therapeutics Amended and Restated 2017 Performance Incentive Plan (the “2017 Plan” and as amended, the “Amended 2017</w:t>
      </w: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Plan”) to increase the authorized shares under the Amended 2017 Plan by 12,000,000 shares. The 2017 Plan was originally approved by our board of directors on March 28, 2017, subject to stockholder approval which was received on June 14, 2017, and was previously amended on June 26, 2018, June 17, 2020, June 10, 2021 and June 8, 2022. Our board of directors approved the Amended 2017 Plan on March 29, 2023, subject to stockholder approval at the Annual Meeting.</w:t>
      </w:r>
    </w:p>
    <w:p>
      <w:pPr>
        <w:spacing w:after="0" w:line="75"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Prior to the adoption of the 2017 Plan, the Company maintained the Nektar Therapeutics 2012 Plan, as amended (the “2012 Plan”), the Nektar Therapeutics 2008 Equity Incentive Plan, as amended (the “2008 Plan”), the Nektar Therapeutics 2000 Equity Incentive Plan, as amended (the “2000 Plan”), and the Nektar therapeutics 2000 Non-Officer Equity Incentive Plan, as amended (the (“2000 Non-Officer Plan”). The 2000 Non-Officer Plan together with the 2012 Plan, the 2008 Plan and 2000 Plan, are referred to as the “Prior Plans.” Following stockholder approval of the 2017 Plan, no further awards were made under the Prior Plans. As of April 3, 2023, 21,146,396 shares were subject to outstanding stock options and restricted stock units granted under the 2017 Plan and 3,457,777 shares remained available for future grants under the 2017 Plan. In addition, under the terms of the 2017 Plan, the reserve pool under the 2017 Plan may be increased by shares subject to awards granted under the Prior Plans that were outstanding as of December 31, 2017 in the event that such awards expire, or for any reason are cancelled or terminated, without being exercised. As of April 3, 2023, 1,397,986 shares remained subject to outstanding stock options and restricted stock units granted under the Prior Plans. If stockholders approve the amendment to the 2017 Plan, as of April 3, 2023, the number of shares available for future awards under the Amended 2017 Plan will increase by 12,000,000 shares to 15,457,777 shares.</w:t>
      </w:r>
    </w:p>
    <w:p>
      <w:pPr>
        <w:spacing w:after="0" w:line="342" w:lineRule="exact"/>
        <w:rPr>
          <w:sz w:val="20"/>
          <w:szCs w:val="20"/>
          <w:color w:val="auto"/>
        </w:rPr>
      </w:pPr>
    </w:p>
    <w:p>
      <w:pPr>
        <w:ind w:left="300" w:right="719"/>
        <w:spacing w:after="0" w:line="286" w:lineRule="auto"/>
        <w:rPr>
          <w:sz w:val="20"/>
          <w:szCs w:val="20"/>
          <w:color w:val="auto"/>
        </w:rPr>
      </w:pPr>
      <w:r>
        <w:rPr>
          <w:rFonts w:ascii="Times New Roman" w:cs="Times New Roman" w:eastAsia="Times New Roman" w:hAnsi="Times New Roman"/>
          <w:sz w:val="18"/>
          <w:szCs w:val="18"/>
          <w:b w:val="1"/>
          <w:bCs w:val="1"/>
          <w:color w:val="auto"/>
        </w:rPr>
        <w:t>Additional Information on Outstanding Awards and Available Shares under the 2017 Plan and the Prior Plans</w:t>
      </w:r>
    </w:p>
    <w:p>
      <w:pPr>
        <w:spacing w:after="0" w:line="5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provides additional information on the total equity compensation awards outstanding and available shares.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 2023</w:t>
            </w:r>
          </w:p>
        </w:tc>
      </w:tr>
      <w:tr>
        <w:trPr>
          <w:trHeight w:val="50"/>
        </w:trPr>
        <w:tc>
          <w:tcPr>
            <w:tcW w:w="7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311"/>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Outstanding and Available for Grant under the 2017 Plan and the Prior Plans</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subject to outstanding stock options</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13,948,325</w:t>
            </w:r>
          </w:p>
        </w:tc>
      </w:tr>
      <w:tr>
        <w:trPr>
          <w:trHeight w:val="54"/>
        </w:trPr>
        <w:tc>
          <w:tcPr>
            <w:tcW w:w="7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2"/>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subject to outstanding deferred restricted stock, restricted stock units, and performance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8"/>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8,596,057</w:t>
            </w:r>
          </w:p>
        </w:tc>
      </w:tr>
      <w:tr>
        <w:trPr>
          <w:trHeight w:val="27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 under all stock incentive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16.15</w:t>
            </w:r>
          </w:p>
        </w:tc>
      </w:tr>
      <w:tr>
        <w:trPr>
          <w:trHeight w:val="54"/>
        </w:trPr>
        <w:tc>
          <w:tcPr>
            <w:tcW w:w="7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304"/>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contractual life of outstanding stock options (years)</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5.51</w:t>
            </w:r>
          </w:p>
        </w:tc>
      </w:tr>
      <w:tr>
        <w:trPr>
          <w:trHeight w:val="43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available for grant under all stock incentive plans but not yet granted</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3,457,777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-1457325</wp:posOffset>
            </wp:positionV>
            <wp:extent cx="26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available for purchase under ESPP (840,976)</w:t>
      </w:r>
    </w:p>
    <w:p>
      <w:pPr>
        <w:spacing w:after="0" w:line="100"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Based solely on the closing price of our common stock as reported by the NASDAQ Global Select Market on April 3, 2023 and the maximum number of shares that would have been available for awards as of such date, taking into account the proposed increase described herein, the maximum aggregate market value of the common stock that could potentially be issued under the Amended 2017 Plan is $11,284,177.</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Given the limited number of shares that currently remain available under the 2017 Plan, our board of directors and management believe it is important that this amendment be approved in order to maintain the Company’s ability to grant stock-based awards to retain employees and continue to provide them with strong incentives to contribute to the Company’s future success. The Company believes that incentives and stock-based awards focus employees on the objective of creating stockholder value and promoting the success of the Company, and that incentive compensation plans like the 2017 Plan are an important attraction, retention and motivation tool for participants in the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312" w:lineRule="auto"/>
        <w:rPr>
          <w:sz w:val="20"/>
          <w:szCs w:val="20"/>
          <w:color w:val="auto"/>
        </w:rPr>
      </w:pPr>
      <w:r>
        <w:rPr>
          <w:rFonts w:ascii="Times New Roman" w:cs="Times New Roman" w:eastAsia="Times New Roman" w:hAnsi="Times New Roman"/>
          <w:sz w:val="17"/>
          <w:szCs w:val="17"/>
          <w:color w:val="auto"/>
        </w:rPr>
        <w:t>All members of the board of directors and all of the Company’s executive officers will be eligible for awards under the Amended 2017 Plan and thus have a personal interest in the approval of the amendment to the 2017 Plan.</w:t>
      </w:r>
    </w:p>
    <w:p>
      <w:pPr>
        <w:spacing w:after="0" w:line="3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Stockholders are requested in this Proposal 2 to approve the amendment to the 2017 Plan. Approval of the amendment to the 2017 Plan requires the affirmative vote of a majority of the votes cast, in person during the live webcast or by proxy, and entitled to vote at the Annual Meeting. Abstentions and broker non-votes, to the extent applicable, are not included in the tabulation of the voting results and therefore will not have an effect on the outcome of the vote. If stockholders do not approve this amendment, the 2017 Plan will continue in accordance with its current terms.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2.</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essential features of the 2017 Plan, as proposed to be amended, are outlined below:</w:t>
      </w:r>
    </w:p>
    <w:p>
      <w:pPr>
        <w:spacing w:after="0" w:line="117"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principal terms of the Amended 2017 Plan are summarized below. The following summary is qualified in its entirety by the full text of the 2017 Plan and the amendment to the 2017 Plan, which appears as Exhibit A to this proxy statement.</w:t>
      </w:r>
    </w:p>
    <w:p>
      <w:pPr>
        <w:spacing w:after="0" w:line="64"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w:t>
      </w:r>
      <w:r>
        <w:rPr>
          <w:rFonts w:ascii="Times New Roman" w:cs="Times New Roman" w:eastAsia="Times New Roman" w:hAnsi="Times New Roman"/>
          <w:sz w:val="18"/>
          <w:szCs w:val="18"/>
          <w:color w:val="auto"/>
        </w:rPr>
        <w:t>The purpose of the Amended 2017 Plan is to promote the success of the Company and the interests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stockholders by providing an additional means for us to attract, motivate, retain and reward directors, officers, employees and other eligible persons through the grant of awards. Equity-based awards are also intended to further align the interests of award recipients and our stockholders.</w:t>
      </w:r>
    </w:p>
    <w:p>
      <w:pPr>
        <w:spacing w:after="0" w:line="68"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Our board of directors or one or more committees appointed by our board of directors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 the Amended 2017 Plan. Our board of directors has delegated general administrative authority for the Amended 2017 Plan to the organization and compensation committee of our board of directors. The organization and compensation committee may delegate some or all of its authority with respect to the Amended 2017 Plan to another committee of directors, and certain limited authority to grant awards to employees may be delegated to one or more officers of the Company. (The appropriate acting body, be it the board of directors, a committee within its delegated authority, or an officer within his or her delegated authority, is referred to in this proposal as the “Administrator”).</w:t>
      </w:r>
    </w:p>
    <w:p>
      <w:pPr>
        <w:spacing w:after="0" w:line="8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The Administrator has broad authority under the Amended 2017 Plan with respect to award grants including, without limitation, the authority:</w:t>
      </w:r>
    </w:p>
    <w:p>
      <w:pPr>
        <w:spacing w:after="0" w:line="54"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participants and determine the type(s) of award(s) that they are to receive;</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that are to be subject to awards and the terms and conditions of awards, including the price (if any) to be paid for the shares or the award;</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modify, or waive the Company’s rights with respect to, or modify, discontinue, suspend, or terminate any or all outstanding awards, subject to any required consents;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or extend the vesting or exercisability or extend the term of any or all outstanding awards;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Amended 2017 Plan, to make certain adjustments to an outstanding award and to authorize the termination, conversion, succession or substitution of an award; and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purchase price of an award or shares of the Company’s common stock to be paid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7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In no case (except due to an adjustment to reflect a stock split or other events referred to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below, or any repricing that may be approved by stockholders) will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Eligibility. </w:t>
      </w:r>
      <w:r>
        <w:rPr>
          <w:rFonts w:ascii="Times New Roman" w:cs="Times New Roman" w:eastAsia="Times New Roman" w:hAnsi="Times New Roman"/>
          <w:sz w:val="17"/>
          <w:szCs w:val="17"/>
          <w:color w:val="auto"/>
        </w:rPr>
        <w:t>Persons eligible to receive awards under the Amended 2017 Plan include officers or employees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or any of its subsidiaries, directors of the Company or any of its subsidiaries, and certain consultants and advisors to the Company or any of its subsidiaries. As of April 3, 2023, approximately 209 employees (including executive officers) and seven non-employee directors would be eligible to participate in the 2017 Plan.</w:t>
      </w:r>
    </w:p>
    <w:p>
      <w:pPr>
        <w:spacing w:after="0" w:line="53"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Shares; Limits on Awards. </w:t>
      </w:r>
      <w:r>
        <w:rPr>
          <w:rFonts w:ascii="Times New Roman" w:cs="Times New Roman" w:eastAsia="Times New Roman" w:hAnsi="Times New Roman"/>
          <w:sz w:val="18"/>
          <w:szCs w:val="18"/>
          <w:color w:val="auto"/>
        </w:rPr>
        <w:t>Subject to the adjustment provisions included in the 2017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maximum number of shares of the Company’s common stock initially available for issuance pursuant to awards under the 2017 Plan equaled 8,300,000 shares of the Company’s common stock (reduced by the number of shares of common stock subject to awards granted under the 2012 Plan on or after March 31, 2017 and prior to the adoption of the 2017 Plan), which was increased to 19,200,000 by stockholder approval in June 2018, was increased to 29,200,000 by stockholder approval in June 2020,was increased to 34,200,000 by stockholder approval in June 2021, and was increased to 39,200,000 by stockholder approval in June 2022. The proposed amendment to the 2017 Plan would increase the total available shares to 51,200,000. Shares issued in respect of any “full-value award” granted under the Amended 2017 Plan will be counted against the share limit described in the preceding sentence as 1.50 shares for every one share actually issued in connection with the award. For example, if the Company granted 100 restricted stock units under the Amended 2017 Plan, 150 shares would be charged against the share limit with respect to that award. For this purpose, a “full-value award” generally means any award granted under the plan other than a stock option or stock appreciation right.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other limits are also contained in the Amended 2017 Plan:</w:t>
      </w:r>
    </w:p>
    <w:p>
      <w:pPr>
        <w:spacing w:after="0" w:line="117" w:lineRule="exact"/>
        <w:rPr>
          <w:sz w:val="20"/>
          <w:szCs w:val="20"/>
          <w:color w:val="auto"/>
        </w:rPr>
      </w:pPr>
    </w:p>
    <w:p>
      <w:pPr>
        <w:ind w:left="1000" w:right="6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delivered pursuant to options qualified as incentive stock options granted under the plan is 51,200,000;</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subject to options and stock appreciation rights that are granted during any calendar year to any individual under the plan is 3,000,000 shares;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Section 5.2 of the Amended 2017 Plan granted to a participant in any one calendar year will not provide for payment of more than (1) in the case of awards payable only in cash and not related to shares, $5,000,000, and (2) in the case of awards related to shares (and in addition to options and stock appreciation rights which are subject to the limit referred to above), 3,000,000 shares; and</w:t>
      </w:r>
    </w:p>
    <w:p>
      <w:pPr>
        <w:spacing w:after="0" w:line="75"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cash compensation and the grant date fair value (computed in accordance with generally accepted accounting principles) of shares of common stock that may be paid or granted during any calendar year to any non-employee director shall not exceed $1,200,000 for existing non-employee directors and $2,200,000 for new non-employee directors.</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Except as described in the next sentence, shares that are subject to or underlie awards which expire or for any reason are cancelled or terminated, are forfeited, fail to vest, or for any other reason are not paid or delivered under the Amended 2017 Plan or the Prior Plans will again be available for subsequent awards under the Amended 2017 Plan (with any such shares subject to full-value awards increasing the Amended 2017 Plan’s share limit based on the full-value award ratio described above or, in the case of an award granted under a Prior Plan, the full-value award ratio set forth in such Prior Plan). Shares that are exchanged by a participant or withheld by the Company to pay the exercise price of an award granted under the Amended 2017 Plan, as well as any shares exchanged or withheld to satisfy the tax withholding obligations related to any award, will not be available for subsequent awards under the Amended 2017 Plan. To the extent that an award granted under the Amended 2017 Plan or a Prior Plan is settled in cash or a form other than shares, the shares that would have been delivered had there been no such cash or other settlement will again be available for subsequent awards under the Amended 2017 Plan (with any such shares subject to full-value awards increasing the Amended 2017 Plan’s share limit based on the full-value award ratio described above or, in the case of an award granted under a Prior Plan, the full-value award ratio set forth in such Prior Plan). In the event that shares are delivered in respect of a dividend equivalent right, the actual number of shares delivered with respect to the award shall be counted against the share limits of the Amended 2017 Plan. (For purposes of clarity, if 1,000 dividend equivalent rights are granted and outstanding when the Company pays a dividend, and 50 shares are delivered in payment of those rights with respect to that dividend, 75 shares (after adjustment for the full-value award share counting ratio described above) shall be counted against the share limits of the plan.) To the extent that shares are delivered pursuant to the exercise of a stock appreciation right or stock option, the number of underlying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as to which the exercise related shall be counted against the applicable share limits, as opposed to only counting the shares issued. (For purposes of clarity, if a stock appreciation right relates to 100,000 shares and is exercised at a time when the payment due to the participant is 15,000 shares, 100,000 shares shall be charged against the applicable share limits with respect to such exercise.) In addition, the Amended 2017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Amended 2017 Plan. The Company may not increase the applicable share limits of the Amended 2017 Plan by repurchasing shares of common stock on the market (by using cash received through the exercise of stock options or otherwise).</w:t>
      </w:r>
    </w:p>
    <w:p>
      <w:pPr>
        <w:spacing w:after="0" w:line="76"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Amended 2017 Plan authorizes stock options, stock appreciation rights, stock bonuses,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performance stock, stock units, phantom stock or similar rights to purchase or acquire shares, whether at a fixed or variable price or ratio related to the common stock, upon the passage of time, the occurrence of one or more events or the satisfaction of performance criteria or other conditions, awards of any similar securities with a value derived from the value of or related to the common stock and/or returns thereon, or cash awards. The Amended 2017 Plan retains flexibility to offer competitive incentives and to tailor benefits to specific needs and circumstances. Awards granted under the Amended 2017 Plan will be subject to such terms and conditions as established by the Administrator and set forth in the underlying award agreement, including terms relating to the treatment of an award upon a termination of employment. Any award may be paid or settled in cash.</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A stock option is the right to purchase shares of the Company’s common stock at a future date at a specified price per share (the “exercise price”). The per share exercise price of an option may not be less than the fair market value of a share of the Company’s common stock on the date of grant. The maximum term of an option is eight years from the date of grant. An option may either be an incentive stock option or a nonqualified stock option. Incentive stock option benefits are taxed differently from nonqualified stock options, as described under “Federal Income Tax Consequences of Awards Under the Amended 2017 Plan” below. Incentive stock options are also subject to more restrictive terms and are limited in amount by the U.S. Internal Revenue Code of 1986, as amended (the “Code”) and the Amended 2017 Plan. Incentive stock options may only be granted to employees of the Company or a subsidiary.</w:t>
      </w:r>
    </w:p>
    <w:p>
      <w:pPr>
        <w:spacing w:after="0" w:line="80"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 stock appreciation right is the right to receive payment of an amount equal to the excess of the fair market value of share of the Company’s common stock on the date of exercise of the stock appreciation right over the base price of the stock appreciation right. The base price will be established by the Administrator at the time of grant of the stock appreciation right and may not be less than the fair market value of a share of the Company’s common stock on the date of grant. Stock appreciation rights may be granted in connection with other awards or independently. The maximum term of a stock appreciation right is eight years from the date of grant.</w:t>
      </w:r>
    </w:p>
    <w:p>
      <w:pPr>
        <w:spacing w:after="0" w:line="75"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Performance-Based Awards. </w:t>
      </w:r>
      <w:r>
        <w:rPr>
          <w:rFonts w:ascii="Times New Roman" w:cs="Times New Roman" w:eastAsia="Times New Roman" w:hAnsi="Times New Roman"/>
          <w:sz w:val="18"/>
          <w:szCs w:val="18"/>
          <w:color w:val="auto"/>
        </w:rPr>
        <w:t>The Administrator may grant performance-based awards under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Plan. Performance-based awards are in addition to any of the other types of awards that may be granted under the Amended 2017 Plan. Performance-based awards may be in the form of restricted stock, performance stock, stock units, other rights, or cash bonus opportunities.</w:t>
      </w:r>
    </w:p>
    <w:p>
      <w:pPr>
        <w:spacing w:after="0" w:line="72"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The vesting or payment of performance-based awards may depend on the absolute or relative performance of the Company on a consolidated, subsidiary, segment, division, or business unit basis. The Administrator will establish the criterion or criteria and target(s) on which performance will be measured. The criteria that the Administrator may use for this purpose may include, without limitation, any one or more of the following: earnings per share; cash flow (which means cash and cash equivalents derived from either net cash flow from operations or net cash flow from operations, financing and investing activities); working capital; stock price; total stockholder return; revenue; gross profit; operating income; net earnings (before or after interest, taxes, depreciation and/or amortization); gross margin; operating margin; net margin; return on equity or on assets or on net investment; cost containment or reduction; regulatory submissions or approvals; manufacturing production; completion of strategic partnerships; research milestones; any other measure selected by the Administrator or any combination thereof. As applicable, these terms are used as applied under generally accepted accounting principles or in the financial reporting of the Company or of its subsidiaries. The applicable performance goals may be applied on a pre- or post-tax basis and may be adjusted to include or exclude determinable components of any performance goal, including, without limitation, foreign exchange gains and losses, asset write-downs,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w:t>
      </w:r>
    </w:p>
    <w:p>
      <w:pPr>
        <w:spacing w:after="0" w:line="72"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The performance measurement period with respect to an award may range from three months to ten years. Performance-based awards may be paid in stock or in cash (in either case, subject to the limits described under the heading “Authorized Shares; Limits on Awards” above). The Administrator has discretion to determine the performance target or targets and any other restrictions or other limitations of performance-based awards and may reserve discretion to reduce payments below maximum award limits.</w:t>
      </w:r>
    </w:p>
    <w:p>
      <w:pPr>
        <w:spacing w:after="0" w:line="7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Equivalents; Deferrals. </w:t>
      </w:r>
      <w:r>
        <w:rPr>
          <w:rFonts w:ascii="Times New Roman" w:cs="Times New Roman" w:eastAsia="Times New Roman" w:hAnsi="Times New Roman"/>
          <w:sz w:val="18"/>
          <w:szCs w:val="18"/>
          <w:color w:val="auto"/>
        </w:rPr>
        <w:t>The Administrator may provide for the deferred payment of awards, and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other terms applicable to deferrals. The Administrator may provide that awards under the Amended 2017 Plan (other than options or stock appreciation rights), and/or deferrals, earn dividends or dividend equivalents based on the amount of dividends paid on outstanding shares of common stock, provided that as to any dividends or dividend equivalent rights granted in connection with an award granted under the Amended 2017 Plan that is subject to vesting requirements, no dividends or dividend equivalent payments will be made unless the related vesting conditions of the award are satisfied.</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Agreements. </w:t>
      </w:r>
      <w:r>
        <w:rPr>
          <w:rFonts w:ascii="Times New Roman" w:cs="Times New Roman" w:eastAsia="Times New Roman" w:hAnsi="Times New Roman"/>
          <w:sz w:val="18"/>
          <w:szCs w:val="18"/>
          <w:color w:val="auto"/>
        </w:rPr>
        <w:t>Each award shall be evidenced by either (1) a written award agreement in a form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Administrator and executed by the Company by an officer duly authorized to act on its behalf, or (2) an electronic notice of award grant in a form approved by the Administrator. The award agreement shall set forth the material terms and conditions of the award as established by the Administrator consistent with the express limitations of the Amended 2017 Plan. Notwithstanding anything in the Amended 2017 Plan to the contrary, the Administrator may approve an award agreement that, upon the termination of a participant’s employment or service, provides that, or may, in its sole discretion based on a review of all relevant facts and circumstances, otherwise take action regarding an award agreement such that (i) any or all outstanding stock options and stock appreciation rights will become exercisable in part or in full, (ii) all or a portion of the restriction or vesting period applicable to any outstanding award will lapse, (iii) all or a portion of the performance measurement period applicable to any outstanding award will lapse and (iv) the performance goals applicable to any outstanding award (if any) will be deemed to be satisfied at the target, maximum or any other interim level.</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Assumption and Termination of Awards. </w:t>
      </w:r>
      <w:r>
        <w:rPr>
          <w:rFonts w:ascii="Times New Roman" w:cs="Times New Roman" w:eastAsia="Times New Roman" w:hAnsi="Times New Roman"/>
          <w:sz w:val="17"/>
          <w:szCs w:val="17"/>
          <w:color w:val="auto"/>
        </w:rPr>
        <w:t>Generally, and subject to limited exceptions set forth in the Amended</w:t>
      </w:r>
    </w:p>
    <w:p>
      <w:pPr>
        <w:spacing w:after="0" w:line="43"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2017 Plan, upon the occurrence of a “change in control,” as defined in the Amended 2017 Plan, the Administrator may provide for the cash payment in settlement of, or for the termination, assumption, substitution or exchange of any or all outstanding awards granted under the Amended 2017 Plan. To the extent the administrator does not provide for the assumption, substitution or other continuation of the awards, then all awards then-outstanding under the Amended 2017 Plan will become fully vested or paid, as applicable, and will terminate or be terminated in such circumstances, provided that the holder of a stock option or stock appreciation right would be given reasonable advance (but no more than ten days’) notice of the impending termination and a reasonable opportunity to exercise his or her vested stock option or stock appreciation right (after giving effect to any accelerated vesting required in the circumstances) in accordance with their terms before the termination of such awards. The Administrator also has the discretion to establish other change in control provisions with respect to awards granted under the Amended 2017 Plan. For example, the Administrator could provide for the acceleration of vesting or payment of an award in connection with a change in control and provide that any such acceleration shall be automatic upon the occurrence of any such event, including a termination of employment within a limited period of time following a corporate transaction.</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Subject to certain exceptions contained in the Amended 2017 Plan, awards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2017 Plan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w:t>
      </w:r>
      <w:r>
        <w:rPr>
          <w:rFonts w:ascii="Times New Roman" w:cs="Times New Roman" w:eastAsia="Times New Roman" w:hAnsi="Times New Roman"/>
          <w:sz w:val="18"/>
          <w:szCs w:val="18"/>
          <w:color w:val="auto"/>
        </w:rPr>
        <w:t>As is customary in incentive plans of this nature, each share limit and the number and kind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available under the Amended 2017 Plan 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w:t>
      </w:r>
    </w:p>
    <w:p>
      <w:pPr>
        <w:spacing w:after="0" w:line="74"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Limit on Other Authority. </w:t>
      </w:r>
      <w:r>
        <w:rPr>
          <w:rFonts w:ascii="Times New Roman" w:cs="Times New Roman" w:eastAsia="Times New Roman" w:hAnsi="Times New Roman"/>
          <w:sz w:val="18"/>
          <w:szCs w:val="18"/>
          <w:color w:val="auto"/>
        </w:rPr>
        <w:t>The Amended 2017 Plan does not limit the authority of the board of directors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committee to grant awards or authorize any other compensation, with or without reference to the Company’s common stock, under any other plan or authority.</w:t>
      </w:r>
    </w:p>
    <w:p>
      <w:pPr>
        <w:spacing w:after="0" w:line="63"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or Changes to the Amended 2017 Plan. </w:t>
      </w:r>
      <w:r>
        <w:rPr>
          <w:rFonts w:ascii="Times New Roman" w:cs="Times New Roman" w:eastAsia="Times New Roman" w:hAnsi="Times New Roman"/>
          <w:sz w:val="18"/>
          <w:szCs w:val="18"/>
          <w:color w:val="auto"/>
        </w:rPr>
        <w:t>The board of directors may amend or terminate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2017 Plan at any time and in any manner. Stockholder approval for an amendment will be required only to the extent then required by applicable law or any applicable listing agency or required under Sections 422 or 424 of the Code to preserve the intended tax consequences of the plan. Unless terminated earlier by the board of directors, the authority to grant new awards under the 2017 Plan will terminate on March 27, 2027.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80" w:lineRule="exact"/>
        <w:rPr>
          <w:sz w:val="20"/>
          <w:szCs w:val="20"/>
          <w:color w:val="auto"/>
        </w:rPr>
      </w:pPr>
    </w:p>
    <w:p>
      <w:pPr>
        <w:ind w:left="300" w:right="9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The awards under the Amended 2017 Plan are subject to the terms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clawback policy as it may be in effect from time to time.</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Income Tax Consequences of Awards under the Amended 2017 Plan</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U.S. federal income tax consequences of the Amended 2017 Plan under current federal law, which is subject to change, are summarized in the following discussion of the general tax principles applicable to the Amended 2017 Plan.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75"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With respect to nonqualified stock options, the Company is generally entitled to deduct, except to the extent limited by Section 162(m) of the Code,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if the participant is subject to the U.S. federal alternative minimum tax, the difference between the option exercise price and the fair market value of the shares at the time of exercise is includible for purposes of such alternative minimum tax. If the shares acquired by exercise of an incentive stock option are held for at least two years from the date the option was granted and one year from the date it was exercised, any gain or loss arising from a subsequent disposition of those shares will be taxed as long-term capital gain or loss, and the Company will not be entitled to any deduction. If, however, such shares are disposed of within the above-described period, then in the year of that disposition the participant will recognize compensation taxable as ordinary income equal to the excess of the lesser of (i) the amount realized upon that disposition and</w:t>
      </w:r>
    </w:p>
    <w:p>
      <w:pPr>
        <w:spacing w:after="0" w:line="1" w:lineRule="exact"/>
        <w:rPr>
          <w:sz w:val="20"/>
          <w:szCs w:val="20"/>
          <w:color w:val="auto"/>
        </w:rPr>
      </w:pPr>
    </w:p>
    <w:p>
      <w:pPr>
        <w:ind w:left="300" w:right="399" w:hanging="8"/>
        <w:spacing w:after="0" w:line="290" w:lineRule="auto"/>
        <w:tabs>
          <w:tab w:leader="none" w:pos="56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the fair market value of those shares on the date of exercise over the purchase price, and the Company will be entitled to a corresponding deduction, except to the extent limited by Section 162(m) of the Code.</w:t>
      </w:r>
    </w:p>
    <w:p>
      <w:pPr>
        <w:spacing w:after="0" w:line="4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Amended 2017 Plan generally follow certain basic patterns: nontransferable restricted stock subject to a substantial risk of forfeiture results in income recognition equal to the excess of the fair market value over the price paid (if any) only at the time the restrictions constituting a substantial risk of forfeiture lapse (unless the recipient elects to accelerate recognition as of the date of grant); bonuses, restricted stock units,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 except to the extent limited by Section 162(m) of the Code.</w:t>
      </w:r>
    </w:p>
    <w:p>
      <w:pPr>
        <w:spacing w:after="0" w:line="80"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 award is accelerated under the Amended 2017 Plan in connection with a “change in control” (as defined in the Amended 2017 Plan), the Company may not be permitted to deduct the portion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70" w:lineRule="auto"/>
        <w:rPr>
          <w:sz w:val="20"/>
          <w:szCs w:val="20"/>
          <w:color w:val="auto"/>
        </w:rPr>
      </w:pPr>
      <w:r>
        <w:rPr>
          <w:rFonts w:ascii="Times New Roman" w:cs="Times New Roman" w:eastAsia="Times New Roman" w:hAnsi="Times New Roman"/>
          <w:sz w:val="17"/>
          <w:szCs w:val="17"/>
          <w:color w:val="auto"/>
        </w:rPr>
        <w:t>compensation attributable to the acceleration (“parachute payments”) if it exceeds certain threshold limits under Section 280G of the Code (and certain related excise taxes may be triggered). Furthermore, Section 162(m) of the Code limits to $1 million the amount that a publicly held corporation is allowed each year to deduct for compensation paid to the corporation’s “covered employees.” “Covered employees” include the corporation’s chief executive officer, chief financial officer and three next most highly compensated executive officers. If an individual is determined to be a covered employee for any year beginning after December 31, 2017, then that individual will continue to be a covered employee for future years, regardless of changes in the individual’s compensation or position. Beginning on or after January 1, 2027, the American Rescue Plan Act of 2021 (the “ARPA”) expands the applicability of Section 162(m) of the Code to also include the next five highest paid corporate officers so that the total number of covered employees subject to the $1 million deduction limitation will at least be 10.</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Company has not approved any awards that are conditioned upon stockholder approval of the amendment to the 2017 Plan. The Administrator has the discretion to grant awards under the Amended 2017 Plan and, therefore, it is not possible as of the date of this proxy statement to determine future awards that will be received by the Company’s named executive officers or others under the Amended 2017 Plan. Accordingly, in lieu of providing information regarding benefits that will be received under the Amended 2017 Plan, the following table provides information concerning the benefits that were received by the following person and groups during 2022: each named executive officer; all named executive offers, as a group; all current directors who are not named executive officers, as a group; and all current employees who are not named executive officers, as a group.</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6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0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50"/>
        </w:trPr>
        <w:tc>
          <w:tcPr>
            <w:tcW w:w="4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gridSpan w:val="2"/>
            <w:vMerge w:val="continue"/>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75"/>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45"/>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1,642,500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821,250</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4,032,338</w:t>
            </w:r>
          </w:p>
        </w:tc>
        <w:tc>
          <w:tcPr>
            <w:tcW w:w="0" w:type="dxa"/>
            <w:vAlign w:val="bottom"/>
          </w:tcPr>
          <w:p>
            <w:pPr>
              <w:spacing w:after="0"/>
              <w:rPr>
                <w:sz w:val="1"/>
                <w:szCs w:val="1"/>
                <w:color w:val="auto"/>
              </w:rPr>
            </w:pPr>
          </w:p>
        </w:tc>
      </w:tr>
      <w:tr>
        <w:trPr>
          <w:trHeight w:val="268"/>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Jillian B. Thomsen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663,750</w:t>
            </w:r>
          </w:p>
        </w:tc>
        <w:tc>
          <w:tcPr>
            <w:tcW w:w="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331,876</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1,629,511</w:t>
            </w:r>
          </w:p>
        </w:tc>
        <w:tc>
          <w:tcPr>
            <w:tcW w:w="0" w:type="dxa"/>
            <w:vAlign w:val="bottom"/>
          </w:tcPr>
          <w:p>
            <w:pPr>
              <w:spacing w:after="0"/>
              <w:rPr>
                <w:sz w:val="1"/>
                <w:szCs w:val="1"/>
                <w:color w:val="auto"/>
              </w:rPr>
            </w:pPr>
          </w:p>
        </w:tc>
      </w:tr>
      <w:tr>
        <w:trPr>
          <w:trHeight w:val="234"/>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Wilson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331,876</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1,629,511</w:t>
            </w:r>
          </w:p>
        </w:tc>
        <w:tc>
          <w:tcPr>
            <w:tcW w:w="0" w:type="dxa"/>
            <w:vAlign w:val="bottom"/>
          </w:tcPr>
          <w:p>
            <w:pPr>
              <w:spacing w:after="0"/>
              <w:rPr>
                <w:sz w:val="1"/>
                <w:szCs w:val="1"/>
                <w:color w:val="auto"/>
              </w:rPr>
            </w:pPr>
          </w:p>
        </w:tc>
      </w:tr>
      <w:tr>
        <w:trPr>
          <w:trHeight w:val="268"/>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Zalevsky, Ph.D.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1,325,700</w:t>
            </w:r>
          </w:p>
        </w:tc>
        <w:tc>
          <w:tcPr>
            <w:tcW w:w="0" w:type="dxa"/>
            <w:vAlign w:val="bottom"/>
          </w:tcPr>
          <w:p>
            <w:pPr>
              <w:spacing w:after="0"/>
              <w:rPr>
                <w:sz w:val="1"/>
                <w:szCs w:val="1"/>
                <w:color w:val="auto"/>
              </w:rPr>
            </w:pPr>
          </w:p>
        </w:tc>
      </w:tr>
      <w:tr>
        <w:trPr>
          <w:trHeight w:val="234"/>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Research and Development Officer</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Named Executive Officer Group (4 persons)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3,510,000</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1,755,002</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8,617,060</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Director Group (7 persons other than Mr. Robin)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142,800</w:t>
            </w:r>
          </w:p>
        </w:tc>
        <w:tc>
          <w:tcPr>
            <w:tcW w:w="160" w:type="dxa"/>
            <w:vAlign w:val="bottom"/>
          </w:tcPr>
          <w:p>
            <w:pPr>
              <w:spacing w:after="0"/>
              <w:rPr>
                <w:sz w:val="23"/>
                <w:szCs w:val="23"/>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71,400</w:t>
            </w: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247,758</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Group (other than named executive officers)</w:t>
            </w: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4.76</w:t>
            </w:r>
            <w:r>
              <w:rPr>
                <w:rFonts w:ascii="Times New Roman" w:cs="Times New Roman" w:eastAsia="Times New Roman" w:hAnsi="Times New Roman"/>
                <w:sz w:val="29"/>
                <w:szCs w:val="29"/>
                <w:color w:val="auto"/>
                <w:w w:val="88"/>
                <w:vertAlign w:val="superscript"/>
              </w:rPr>
              <w:t>(2)</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(approximately 209 persons)*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6,275,750</w:t>
            </w:r>
          </w:p>
        </w:tc>
        <w:tc>
          <w:tcPr>
            <w:tcW w:w="160" w:type="dxa"/>
            <w:vAlign w:val="bottom"/>
            <w:shd w:val="clear" w:color="auto" w:fill="CCEEFF"/>
          </w:tcPr>
          <w:p>
            <w:pPr>
              <w:spacing w:after="0"/>
              <w:rPr>
                <w:sz w:val="24"/>
                <w:szCs w:val="24"/>
                <w:color w:val="auto"/>
              </w:rPr>
            </w:pPr>
          </w:p>
        </w:tc>
        <w:tc>
          <w:tcPr>
            <w:tcW w:w="600" w:type="dxa"/>
            <w:vAlign w:val="bottom"/>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5,309,176</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19,410,855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-2133600</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-2133600</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-2133600</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-2133600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3, 2023</w:t>
      </w:r>
    </w:p>
    <w:p>
      <w:pPr>
        <w:spacing w:after="0" w:line="42" w:lineRule="exact"/>
        <w:rPr>
          <w:sz w:val="20"/>
          <w:szCs w:val="20"/>
          <w:color w:val="auto"/>
        </w:rPr>
      </w:pPr>
    </w:p>
    <w:p>
      <w:pPr>
        <w:ind w:left="640" w:right="35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stock awards is based on the grant date fair value computed in accordance with FASB ASC Topic 718. For a discussion of the assumptions used in calculating these values, see Note 12 to our consolidated financial statements in our annual report on Form 10-K for the fiscal year ended December 31, 2022.</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exercise price for the group.</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for the group.</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The following table presents aggregate summary information as of December 31, 2022, regarding the common stock that may be issued upon the exercise of options and rights under all of our existing equity compensation plans:</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8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Amended 2017 Plan</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 &amp; Vesting of</w:t>
            </w:r>
          </w:p>
        </w:tc>
        <w:tc>
          <w:tcPr>
            <w:tcW w:w="1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4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190"/>
        </w:trPr>
        <w:tc>
          <w:tcPr>
            <w:tcW w:w="3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780" w:type="dxa"/>
            <w:vAlign w:val="bottom"/>
          </w:tcPr>
          <w:p>
            <w:pPr>
              <w:spacing w:after="0"/>
              <w:rPr>
                <w:sz w:val="16"/>
                <w:szCs w:val="16"/>
                <w:color w:val="auto"/>
              </w:rPr>
            </w:pPr>
          </w:p>
        </w:tc>
        <w:tc>
          <w:tcPr>
            <w:tcW w:w="14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50"/>
        </w:trPr>
        <w:tc>
          <w:tcPr>
            <w:tcW w:w="3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34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22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(3)</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23,589,000</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$16.40</w:t>
            </w:r>
          </w:p>
        </w:tc>
        <w:tc>
          <w:tcPr>
            <w:tcW w:w="160" w:type="dxa"/>
            <w:vAlign w:val="bottom"/>
            <w:shd w:val="clear" w:color="auto" w:fill="CCEEFF"/>
          </w:tcPr>
          <w:p>
            <w:pPr>
              <w:spacing w:after="0"/>
              <w:rPr>
                <w:sz w:val="24"/>
                <w:szCs w:val="24"/>
                <w:color w:val="auto"/>
              </w:rPr>
            </w:pPr>
          </w:p>
        </w:tc>
        <w:tc>
          <w:tcPr>
            <w:tcW w:w="2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2,973,000</w:t>
            </w:r>
          </w:p>
        </w:tc>
        <w:tc>
          <w:tcPr>
            <w:tcW w:w="0" w:type="dxa"/>
            <w:vAlign w:val="bottom"/>
          </w:tcPr>
          <w:p>
            <w:pPr>
              <w:spacing w:after="0"/>
              <w:rPr>
                <w:sz w:val="1"/>
                <w:szCs w:val="1"/>
                <w:color w:val="auto"/>
              </w:rPr>
            </w:pPr>
          </w:p>
        </w:tc>
      </w:tr>
      <w:tr>
        <w:trPr>
          <w:trHeight w:val="25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23,589,000</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$16.40</w:t>
            </w:r>
          </w:p>
        </w:tc>
        <w:tc>
          <w:tcPr>
            <w:tcW w:w="160" w:type="dxa"/>
            <w:vAlign w:val="bottom"/>
            <w:shd w:val="clear" w:color="auto" w:fill="CCEEFF"/>
          </w:tcPr>
          <w:p>
            <w:pPr>
              <w:spacing w:after="0"/>
              <w:rPr>
                <w:sz w:val="24"/>
                <w:szCs w:val="24"/>
                <w:color w:val="auto"/>
              </w:rPr>
            </w:pPr>
          </w:p>
        </w:tc>
        <w:tc>
          <w:tcPr>
            <w:tcW w:w="2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2,973,000</w:t>
            </w:r>
          </w:p>
        </w:tc>
        <w:tc>
          <w:tcPr>
            <w:tcW w:w="0" w:type="dxa"/>
            <w:vAlign w:val="bottom"/>
          </w:tcPr>
          <w:p>
            <w:pPr>
              <w:spacing w:after="0"/>
              <w:rPr>
                <w:sz w:val="1"/>
                <w:szCs w:val="1"/>
                <w:color w:val="auto"/>
              </w:rPr>
            </w:pPr>
          </w:p>
        </w:tc>
      </w:tr>
      <w:tr>
        <w:trPr>
          <w:trHeight w:val="27"/>
        </w:trPr>
        <w:tc>
          <w:tcPr>
            <w:tcW w:w="30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-950595</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-950595</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-950595</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left="300" w:right="7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IN FAVOR OF PROPOSAL 2 FOR APPROVAL OF THE AMENDMENT TO OUR AMENDED AND RESTATED 2017 PERFORMANCE INCENTIVE PLAN AS DESCRIBED ABOVE AND SET FORTH IN EXHIBIT A HERETO.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Ernst &amp; Young LLP as our independent registered public accounting firm for the fiscal year ending December 31, 2023, and has further directed that management submit the selection of our independent registered public accounting firm for ratification by the stockholders at the Annual Meeting. Ernst &amp; Young LLP has audited our consolidated financial statements since our inception. Representatives of Ernst &amp; Young LLP are expected to be present at the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Ernst &amp; Young LLP as our independent registered public accounting firm. However, the Audit Committee is submitting the selection of Ernst &amp; Young LLP to the stockholders for ratification as a matter of good corporate practice. If the stockholders fail to ratify the selection, the Audit Committee will reconsider whether or not to retain Ernst &amp; Young LLP. Even if the selection is ratified, the Audit Committee, in its discretion, may direct the appointment of a different independent registered public accounting firm at any time during the year if the committee determines that such a change would be in our best interests and our stockholders’ best interest.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affirmative vote of the holders of a majority of the votes cast during the live webcast or by proxy at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will be required to ratify the selection of Ernst &amp; Young LLP for our fiscal year ending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2023. Abstentions are treated as shares represented during the live webcast or by proxy and entitled to</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vote at the Annual Meeting and, therefore, will have the effect of a vote against the ratification of Ernst &amp; Young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LLP as our independent registered public accounting firm. No broker non-votes are expected to exist in connection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this proposal.</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99"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is committed to excellence in governance and is aware of the significant interest in executive compensation matters by investors and the general public.</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have designed our executive compensation program to attract, motivate, reward and retain the senior management talent required to achieve our corporate objectives and increase stockholder value. We believe that our compensation policies and procedures are centered on pay-for-performance principles and are strongly aligned with the long-term interests of our stockholders.</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urge you to carefully review the Compensation Discussion and Analysis section of this proxy statement for details on our executive compensation, including our compensation philosophy and objectives and the 2022 compensation of the named executive officers (“NEOs”).</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presenting this proposal, which gives you as a stockholder the opportunity to endorse or not endorse our compensation program for the NEOs by voting for or against the following resolution (a “say-on-pay” vote), as required pursuant to Section 14A of the Exchange Act:</w:t>
      </w:r>
    </w:p>
    <w:p>
      <w:pPr>
        <w:spacing w:after="0" w:line="68"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“RESOLVED, that the compensation paid to the Company’s NEOs, as disclosed pursuant to Item 402 of Regulation S-K promulgated by the SEC, including the Compensation Discussion and Analysis, compensation tables and related narrative discussion contained in the proxy statement for the Company’s 2023 Annual Meeting is hereby APPROVED.”</w:t>
      </w:r>
    </w:p>
    <w:p>
      <w:pPr>
        <w:spacing w:after="0" w:line="72"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While the vote on the resolution is advisory in nature and therefore will not bind us to take any particular action, our board of directors and our Organization and Compensation Committee intend to carefully consider the stockholder vote resulting from the proposal in making future decisions regarding our compensation program.</w:t>
      </w:r>
    </w:p>
    <w:p>
      <w:pPr>
        <w:spacing w:after="0" w:line="5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the votes cast by holders of the shares of common stock present during the live webcast or represented by proxy at the Annual Meeting is required (on a non-binding advisory basis) for approval of this proposal. Abstentions are treated as shares represented during the live webcast or by proxy and entitled to vote at the Annual Meeting and, therefore, will have the effect of a vote against this proposal. Broker non-votes will have no effect on the outcome of the vote.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4.</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THE FREQUENCY OF SAY-ON-PAY VOTE</w:t>
      </w:r>
    </w:p>
    <w:p>
      <w:pPr>
        <w:spacing w:after="0" w:line="9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are presenting this proposal, as required pursuant to Section 14A of the Exchange Act, which gives you as a stockholder the opportunity to inform us as to how often you would prefer us to include a “say-on-pay” proposal, similar to Proposal 4, in our proxy statement (a “say-on-frequency” vote). While this say-on-frequency vote is advisory in nature and therefore will not bind us to adopt any particular frequency, our board of directors intends to carefully consider the stockholder vote resulting from the proposal in determining how frequently we will hold “say-on-pay” votes.</w:t>
      </w:r>
    </w:p>
    <w:p>
      <w:pPr>
        <w:spacing w:after="0" w:line="7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Please note that as a stockholder you have the choice to vote for one of the following choices, as indicated on the proxy card: to hold the advisory vote on executive compensation every year, every second year or every third year or to abstain. You are not being asked to approve or disapprove the frequency recommended by our board of directors.</w:t>
      </w:r>
    </w:p>
    <w:p>
      <w:pPr>
        <w:spacing w:after="0" w:line="7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values constructive dialogue on executive compensation and other important governance topics with our stockholders. After careful consideration of the strengths and weaknesses of the various potential say-on-pay vote frequency intervals, the board of directors believes an advisory vote every year will provide an effective way to obtain information on stockholder sentiment about our executive compensation program by allowing adequate time for us to respond to stockholders’ feedback and engage with stockholders to understand and respond to the vote results.</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choice of every year, every two years or every three years that receives the greatest number of votes from stockholders will be the frequency for the advisory vote on executive compensation that has been selected by stockholders. Abstentions and broker non-votes will have no effect on the outcome of the vote. As an advisory vote, the vote on this Proposal 5 is not binding on us. However, the board of directors values the opinions of our stockholders and will consider the outcome of the vote when setting the frequency of the advisory vote on executive compensation.</w:t>
      </w:r>
    </w:p>
    <w:p>
      <w:pPr>
        <w:spacing w:after="0" w:line="75"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AN ANNUAL“ONE YEAR” ADVISORY VOTE ON THE COMPENSATION OF THE COMPANY’S NAMED EXECUTIVE OFFICERS AS DISCLOSED IN ITS PROXY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10, 2023, by: (i) each director and nominee for director; (ii) each of our NEOs; (iii) all of our executive officers and directors as a group; and (iv) all those known by us to be beneficial owners of more than five percent of our common stock.</w:t>
      </w:r>
    </w:p>
    <w:p>
      <w:pPr>
        <w:spacing w:after="0" w:line="72" w:lineRule="exact"/>
        <w:rPr>
          <w:sz w:val="20"/>
          <w:szCs w:val="20"/>
          <w:color w:val="auto"/>
        </w:rPr>
      </w:pPr>
    </w:p>
    <w:p>
      <w:pPr>
        <w:ind w:left="300" w:right="12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Nektar Therapeutics, 455 Mission Bay Boulevard South, San Francisco, California 94158.</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Beneficial Ownership **</w:t>
            </w:r>
          </w:p>
        </w:tc>
        <w:tc>
          <w:tcPr>
            <w:tcW w:w="0" w:type="dxa"/>
            <w:vAlign w:val="bottom"/>
          </w:tcPr>
          <w:p>
            <w:pPr>
              <w:spacing w:after="0"/>
              <w:rPr>
                <w:sz w:val="1"/>
                <w:szCs w:val="1"/>
                <w:color w:val="auto"/>
              </w:rPr>
            </w:pPr>
          </w:p>
        </w:tc>
      </w:tr>
      <w:tr>
        <w:trPr>
          <w:trHeight w:val="51"/>
        </w:trPr>
        <w:tc>
          <w:tcPr>
            <w:tcW w:w="6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6680" w:type="dxa"/>
            <w:vAlign w:val="bottom"/>
            <w:gridSpan w:val="2"/>
            <w:vMerge w:val="continue"/>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64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Ltd.</w:t>
            </w:r>
            <w:r>
              <w:rPr>
                <w:rFonts w:ascii="Times New Roman" w:cs="Times New Roman" w:eastAsia="Times New Roman" w:hAnsi="Times New Roman"/>
                <w:sz w:val="29"/>
                <w:szCs w:val="29"/>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37,327,473</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36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35,928,093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365"/>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23,065,775</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36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PRIMECAP Management Company</w:t>
            </w:r>
            <w:r>
              <w:rPr>
                <w:rFonts w:ascii="Times New Roman" w:cs="Times New Roman" w:eastAsia="Times New Roman" w:hAnsi="Times New Roman"/>
                <w:sz w:val="29"/>
                <w:szCs w:val="29"/>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15,659,053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364"/>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 Track Capital, LP</w:t>
            </w:r>
            <w:r>
              <w:rPr>
                <w:rFonts w:ascii="Times New Roman" w:cs="Times New Roman" w:eastAsia="Times New Roman" w:hAnsi="Times New Roman"/>
                <w:sz w:val="29"/>
                <w:szCs w:val="29"/>
                <w:color w:val="auto"/>
                <w:vertAlign w:val="superscript"/>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12,302,237</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36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Ajer</w:t>
            </w:r>
            <w:r>
              <w:rPr>
                <w:rFonts w:ascii="Times New Roman" w:cs="Times New Roman" w:eastAsia="Times New Roman" w:hAnsi="Times New Roman"/>
                <w:sz w:val="29"/>
                <w:szCs w:val="29"/>
                <w:color w:val="auto"/>
                <w:vertAlign w:val="superscript"/>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159,262</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Brainard, M.D.</w:t>
            </w:r>
            <w:r>
              <w:rPr>
                <w:rFonts w:ascii="Times New Roman" w:cs="Times New Roman" w:eastAsia="Times New Roman" w:hAnsi="Times New Roman"/>
                <w:sz w:val="29"/>
                <w:szCs w:val="29"/>
                <w:color w:val="auto"/>
                <w:vertAlign w:val="superscript"/>
              </w:rPr>
              <w:t>(7)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Chess</w:t>
            </w:r>
            <w:r>
              <w:rPr>
                <w:rFonts w:ascii="Times New Roman" w:cs="Times New Roman" w:eastAsia="Times New Roman" w:hAnsi="Times New Roman"/>
                <w:sz w:val="29"/>
                <w:szCs w:val="29"/>
                <w:color w:val="auto"/>
                <w:vertAlign w:val="superscript"/>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Myriam Curet, M.D.</w:t>
            </w:r>
            <w:r>
              <w:rPr>
                <w:rFonts w:ascii="Times New Roman" w:cs="Times New Roman" w:eastAsia="Times New Roman" w:hAnsi="Times New Roman"/>
                <w:sz w:val="29"/>
                <w:szCs w:val="29"/>
                <w:color w:val="auto"/>
                <w:vertAlign w:val="superscript"/>
              </w:rPr>
              <w:t>(9)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97,177</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 Eastham</w:t>
            </w:r>
            <w:r>
              <w:rPr>
                <w:rFonts w:ascii="Times New Roman" w:cs="Times New Roman" w:eastAsia="Times New Roman" w:hAnsi="Times New Roman"/>
                <w:sz w:val="29"/>
                <w:szCs w:val="29"/>
                <w:color w:val="auto"/>
                <w:vertAlign w:val="superscript"/>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Scott Greer</w:t>
            </w:r>
            <w:r>
              <w:rPr>
                <w:rFonts w:ascii="Times New Roman" w:cs="Times New Roman" w:eastAsia="Times New Roman" w:hAnsi="Times New Roman"/>
                <w:sz w:val="29"/>
                <w:szCs w:val="29"/>
                <w:color w:val="auto"/>
                <w:vertAlign w:val="superscript"/>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410,574</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W. Robin</w:t>
            </w:r>
            <w:r>
              <w:rPr>
                <w:rFonts w:ascii="Times New Roman" w:cs="Times New Roman" w:eastAsia="Times New Roman" w:hAnsi="Times New Roman"/>
                <w:sz w:val="29"/>
                <w:szCs w:val="29"/>
                <w:color w:val="auto"/>
                <w:vertAlign w:val="superscript"/>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2,282,376</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364"/>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A. Whitfield</w:t>
            </w:r>
            <w:r>
              <w:rPr>
                <w:rFonts w:ascii="Times New Roman" w:cs="Times New Roman" w:eastAsia="Times New Roman" w:hAnsi="Times New Roman"/>
                <w:sz w:val="29"/>
                <w:szCs w:val="29"/>
                <w:color w:val="auto"/>
                <w:vertAlign w:val="superscript"/>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Jillian B. Thomsen</w:t>
            </w:r>
            <w:r>
              <w:rPr>
                <w:rFonts w:ascii="Times New Roman" w:cs="Times New Roman" w:eastAsia="Times New Roman" w:hAnsi="Times New Roman"/>
                <w:sz w:val="29"/>
                <w:szCs w:val="29"/>
                <w:color w:val="auto"/>
                <w:vertAlign w:val="superscript"/>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564,427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Wilson</w:t>
            </w:r>
            <w:r>
              <w:rPr>
                <w:rFonts w:ascii="Times New Roman" w:cs="Times New Roman" w:eastAsia="Times New Roman" w:hAnsi="Times New Roman"/>
                <w:sz w:val="29"/>
                <w:szCs w:val="29"/>
                <w:color w:val="auto"/>
                <w:vertAlign w:val="superscript"/>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541,243</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Zalevsky, Ph.D.</w:t>
            </w:r>
            <w:r>
              <w:rPr>
                <w:rFonts w:ascii="Times New Roman" w:cs="Times New Roman" w:eastAsia="Times New Roman" w:hAnsi="Times New Roman"/>
                <w:sz w:val="29"/>
                <w:szCs w:val="29"/>
                <w:color w:val="auto"/>
                <w:vertAlign w:val="superscript"/>
              </w:rPr>
              <w:t>(16)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1,108,318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5,807,513</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54"/>
        </w:trPr>
        <w:tc>
          <w:tcPr>
            <w:tcW w:w="64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-3925570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-3925570</wp:posOffset>
            </wp:positionV>
            <wp:extent cx="154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ownership percentage less than 1%.</w:t>
      </w:r>
    </w:p>
    <w:p>
      <w:pPr>
        <w:spacing w:after="0" w:line="42" w:lineRule="exact"/>
        <w:rPr>
          <w:sz w:val="20"/>
          <w:szCs w:val="20"/>
          <w:color w:val="auto"/>
        </w:rPr>
      </w:pPr>
    </w:p>
    <w:p>
      <w:pPr>
        <w:ind w:left="640" w:right="399"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the table has sole voting and investment power with respect to the shares indicated as beneficially owned. Applicable percentages are based on 189,235,157 shares outstanding on April 10, 2023, adjusted as required by rules promulgated by the SEC.</w:t>
      </w:r>
    </w:p>
    <w:p>
      <w:pPr>
        <w:spacing w:after="0" w:line="153" w:lineRule="exact"/>
        <w:rPr>
          <w:sz w:val="20"/>
          <w:szCs w:val="20"/>
          <w:color w:val="auto"/>
        </w:rPr>
      </w:pPr>
    </w:p>
    <w:p>
      <w:pPr>
        <w:ind w:left="640" w:right="399" w:hanging="348"/>
        <w:spacing w:after="0" w:line="23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13G/A (Amendment No. 4) filed with the SEC on February 2, 2023 by Invesco Ltd. a registered investment adviser in accordance with Rule 240.13d-1(b)(1)(ii)(E) and as a parent holding company or control person in accordance with Rule 13d-1(b)(1)(ii)(G). Invesco Ltd. has the sole voting power with respect to 37,248,887 shares of our common stock and sole dispositive power with respect to 37,327,473 shares of our common stock. The address of Invesco Ltd. is 1555 Peachtree Street NE, Suite 1800, Atlanta, GA 30309. Invesco Advisers, Inc. is a subsidiary of Invesco Ltd. and it advises the Invesco Global Opportunities Fund which owns 19.03% of the security reported herein.</w:t>
      </w:r>
    </w:p>
    <w:p>
      <w:pPr>
        <w:spacing w:after="0" w:line="15" w:lineRule="exact"/>
        <w:rPr>
          <w:rFonts w:ascii="Times New Roman" w:cs="Times New Roman" w:eastAsia="Times New Roman" w:hAnsi="Times New Roman"/>
          <w:sz w:val="14"/>
          <w:szCs w:val="14"/>
          <w:color w:val="auto"/>
        </w:rPr>
      </w:pPr>
    </w:p>
    <w:p>
      <w:pPr>
        <w:ind w:left="640" w:right="299" w:hanging="348"/>
        <w:spacing w:after="0" w:line="236"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13G/A (Amendment No. 17) filed with the SEC on January 23, 2023 by BlackRock, Inc., a parent holding company or control person in accordance with Rule 13d-1(b)(1)(ii)(G). BlackRock, Inc. has the sole voting power with respect to 34,751,757 shares of our common stock and the sole dispositive power with respect to 35,928,093 shares of our common stock. The address of BlackRock, Inc. is 55 East 52nd Street, New York, NY 10055.</w:t>
      </w:r>
    </w:p>
    <w:p>
      <w:pPr>
        <w:spacing w:after="0" w:line="14" w:lineRule="exact"/>
        <w:rPr>
          <w:rFonts w:ascii="Times New Roman" w:cs="Times New Roman" w:eastAsia="Times New Roman" w:hAnsi="Times New Roman"/>
          <w:sz w:val="14"/>
          <w:szCs w:val="14"/>
          <w:color w:val="auto"/>
        </w:rPr>
      </w:pPr>
    </w:p>
    <w:p>
      <w:pPr>
        <w:ind w:left="640" w:right="339"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13G/A (Amendment No. 11) filed with the SEC on February 9, 2023 by The Vanguard Group Inc., a registered investment adviser in accordance with Rule 240.13d-1(b)(1)(ii)(E). The Vanguard Group has shared voting power with respect to 121,216 shares of our common stock, sole dispositive power with respect to 22,776,382 shares of our common stock and shared dispositive power with respect to 289,393 shares of our common stock. The address of The Vanguard Group is 100 Vanguard Blvd., Malvern, PA 19355.</w:t>
      </w:r>
    </w:p>
    <w:p>
      <w:pPr>
        <w:spacing w:after="0" w:line="152" w:lineRule="exact"/>
        <w:rPr>
          <w:rFonts w:ascii="Times New Roman" w:cs="Times New Roman" w:eastAsia="Times New Roman" w:hAnsi="Times New Roman"/>
          <w:sz w:val="14"/>
          <w:szCs w:val="14"/>
          <w:color w:val="auto"/>
        </w:rPr>
      </w:pPr>
    </w:p>
    <w:p>
      <w:pPr>
        <w:ind w:left="640" w:right="339" w:hanging="348"/>
        <w:spacing w:after="0" w:line="236"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13G/A (Amendment No. 12) filed with the SEC on February 9, 2023 by PRIMECAP Management Company, a registered investment adviser in accordance with Rule 240.13d-1(b)(1)(ii)(E). PRIMECAP Management Company has the sole voting power with respect to 15,511,053 shares of our common stock and sole dispositive power with respect 15,659,053 shares of our common stock. The address of PRIMECAP Management Company is 177 East Colorado Blvd., 11th floor, Pasadena, CA 91105.</w:t>
      </w:r>
    </w:p>
    <w:p>
      <w:pPr>
        <w:spacing w:after="0" w:line="14"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April 14, 2023 by Deep Track Capital, LP, Deep Track Biotechnology Master Fund, Ltd. and David Kroin. Each of Deep Track Capital, LP, Deep Track Biotechnology Master Fund, Ltd. and David Kroin have shared voting and dispositive power over 12,302,237 shares of our common stock. The address for Deep Track Capital, LP and David Kroin is 200 Greenwich Ave, 3rd Floor, Greenwich, CT 06830. The address for Deep Track Biotechnology Master Fund, Ltd. is c/o Walkers Corporate Limited, 190 Elgin Ave, George Town, KY1-9001, Cayman Islands.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130,950 shares issuable upon exercise of stock options exercisable within 60 days of April 10,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31,960 shares issuable upon exercise of stock options exercisable within 60 days of April 10,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129,700 shares issuable upon exercise of stock options exercisable within 60 days of April 10, 2023.</w:t>
      </w:r>
    </w:p>
    <w:p>
      <w:pPr>
        <w:spacing w:after="0" w:line="41"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75,600 shares issuable upon exercise of stock options exercisable within 60 days of April 10, 2023. (10)Includes 82,200 shares issuable upon exercise of stock options exercisable within 60 days of April 10, 2023.</w:t>
      </w:r>
    </w:p>
    <w:p>
      <w:pPr>
        <w:spacing w:after="0" w:line="1"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117,200 shares issuable upon exercise of stock options exercisable within 60 days of April 10, 2023.</w:t>
      </w:r>
    </w:p>
    <w:p>
      <w:pPr>
        <w:spacing w:after="0" w:line="41" w:lineRule="exact"/>
        <w:rPr>
          <w:rFonts w:ascii="Times New Roman" w:cs="Times New Roman" w:eastAsia="Times New Roman" w:hAnsi="Times New Roman"/>
          <w:sz w:val="14"/>
          <w:szCs w:val="14"/>
          <w:color w:val="auto"/>
        </w:rPr>
      </w:pPr>
    </w:p>
    <w:p>
      <w:pPr>
        <w:jc w:val="both"/>
        <w:ind w:left="640" w:right="39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1,690,942 shares issuable upon exercise of stock options exercisable within 60 days of April 10, 2023, (ii) 53,612 shares from RSU awards that are scheduled to vest and be released within 60 days of April 10, 2023 and (iii) 410 shares owned by Mr. Robin’s spouse.</w:t>
      </w:r>
    </w:p>
    <w:p>
      <w:pPr>
        <w:ind w:left="640" w:right="39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129,700 shares issuable upon exercise of stock options exercisable within 60 days of April 10, 2023 and (i) 71,500 shares held in trusts for Mr. Whitfield’s children under which Mr. Whitfield is the sole trustee.</w:t>
      </w:r>
    </w:p>
    <w:p>
      <w:pPr>
        <w:ind w:left="640" w:right="37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378,384 shares issuable upon exercise of stock options exercisable within 60 days of April 10, 2023, (ii) 16,928 shares from RSU awards that are scheduled to vest and be released within 60 days of April 10, 2023, (iii) 988 issued pursuant to our 401(k) Retirement Plan and (iv) 6,690 shares issued pursuant to our Amended and Restated Employee Stock Purchase Plan.</w:t>
      </w:r>
    </w:p>
    <w:p>
      <w:pPr>
        <w:spacing w:after="0" w:line="14" w:lineRule="exact"/>
        <w:rPr>
          <w:rFonts w:ascii="Times New Roman" w:cs="Times New Roman" w:eastAsia="Times New Roman" w:hAnsi="Times New Roman"/>
          <w:sz w:val="14"/>
          <w:szCs w:val="14"/>
          <w:color w:val="auto"/>
        </w:rPr>
      </w:pPr>
    </w:p>
    <w:p>
      <w:pPr>
        <w:ind w:left="640" w:right="53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415,858 shares issuable upon exercise of stock options exercisable within 60 days of April 10, 2023, (ii) 19,357 shares from RSU awards that are scheduled to vest and be released within 60 days of April 10, 2023 and (iii) 5,107 shares issued pursuant to our Amended and Restated Employee Stock Purchase Plan.</w:t>
      </w:r>
    </w:p>
    <w:p>
      <w:pPr>
        <w:spacing w:after="0" w:line="14"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929,047 shares issuable upon exercise of stock options exercisable within 60 days of April 10, 2023 and (ii) 18,996 shares from RSU awards that are scheduled to vest and be released within 60 days of April 10, 2023.</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16(A) REPORTS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ten percent of a registered class of our equity securities, to file with the SEC initial reports of ownership and reports of changes in ownership of our common stock and other equity securities. Officers, directors and greater than ten percent beneficial owners are required by SEC regulations to furnish us with copies of all Section 16(a) forms they file.</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our review of Forms 3, 4 and 5, and any amendments thereto, furnished to us or written representations that no Form 5 was required, we believe that during the fiscal year ended December 31, 2022, all filing requirements applicable to our executive officers and directors under the Exchange Act were met in a timely manner.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review all relationships and transactions between us and (i) any of our directors or executive officers,</w:t>
      </w:r>
    </w:p>
    <w:p>
      <w:pPr>
        <w:spacing w:after="0" w:line="27" w:lineRule="exact"/>
        <w:rPr>
          <w:sz w:val="20"/>
          <w:szCs w:val="20"/>
          <w:color w:val="auto"/>
        </w:rPr>
      </w:pPr>
    </w:p>
    <w:p>
      <w:pPr>
        <w:ind w:left="300" w:right="319" w:hanging="8"/>
        <w:spacing w:after="0" w:line="251" w:lineRule="auto"/>
        <w:tabs>
          <w:tab w:leader="none" w:pos="5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nominee for election as a director, (iii) any security holder who is known to us to own beneficially or of record more than five percent of our common stock or (iv) any member of the immediate family of any of the foregoing. Our legal staff is primarily responsible for the development and implementation of processes and controls to obtain information with respect to related person transactions and for then determining, based on the facts and circumstances, whether the Company or a related person has a direct or indirect material interest in the transaction. In addition, the Audit Committee reviews and approves or ratifies any related person transaction that is required to be disclosed. In the course of its review and approval or ratification of a disclosable related party transaction, the committee considers:</w:t>
      </w:r>
    </w:p>
    <w:p>
      <w:pPr>
        <w:spacing w:after="0" w:line="8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transaction, including, without limitation, the dollar amount and type of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related person;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Company;</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judgment of a director or executive officer to act in the best interest of the Company;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the committee deems appropriate.</w:t>
      </w:r>
    </w:p>
    <w:p>
      <w:pPr>
        <w:spacing w:after="0" w:line="117"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may not participate in the deliberations or vote respecting approval or ratification of the transaction; however, such director may be counted in determining the presence of a quorum at a meeting where the Audit Committee reviews the transaction.</w:t>
      </w:r>
    </w:p>
    <w:p>
      <w:pPr>
        <w:spacing w:after="0" w:line="72"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As required under SEC rules, related party transactions that are determined to be directly or indirectly material to us or the related party are disclosed in our proxy statement. Historically, we have not entered into transactions with related parties. Michael Robin, the child of Howard W. Robin, our President and Chief Executive Officer, was formerly employed by the Company in a non-executive officer capacity as a vice-president in our project management group. As part of the restructuring plan announced by the Company on April 25, 2022, Michael Robin separated from the Company in June 2022. During 2022, prior to and in connection with Michael Robin’s departure from the Company, Michael Robin received a total compensation of approximately $514,645 including base salary, standard severance pay, RSUs and benefits. Michael Robin’s 2022 compensation was comprised of 15% equity-based compensation. Michael Robin’s compensation was established by the Company in accordance with its compensation practices applicable to employees with equivalent qualifications and responsibilities and holding similar positions, without the direct involvement of Howard W. Robin.</w:t>
      </w:r>
    </w:p>
    <w:p>
      <w:pPr>
        <w:spacing w:after="0" w:line="8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During the 2022 fiscal year, there were no other relationships or transactions between us and any related party for which disclosure is required under the rules of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current director, including each nominee for reelection at the Annual Meeting to a new term of office and each director whose current term of office continues through the Annual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2024 ANNUAL MEETING</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Jeff Ajer</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Jeff Ajer</w:t>
      </w:r>
      <w:r>
        <w:rPr>
          <w:rFonts w:ascii="Times New Roman" w:cs="Times New Roman" w:eastAsia="Times New Roman" w:hAnsi="Times New Roman"/>
          <w:sz w:val="18"/>
          <w:szCs w:val="18"/>
          <w:color w:val="auto"/>
        </w:rPr>
        <w:t>, age 60, was appointed to our board of directors in September 2017. Mr. Ajer currently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and Chief Commercial Officer at BioMarin Pharmaceutical Inc. (“BioMarin”), a global biotechnology company that develops and commercializes innovative therapies for people with serious and life-threatening rare disorders. From October 2012 to January 2014, Mr. Ajer served as Senior Vice President and Chief Commercial Officer of BioMarin. From April 2009 to October 2012, Mr. Ajer served as BioMarin’s Vice President, Commercial Operations, The Americas, where he had responsibility for commercial operations throughout the Americas and led product marketing, reimbursement, and sales operations for BioMarin. Prior to joining BioMarin, Mr. Ajer served in various roles at Genzyme Corporation (“Genzyme”) beginning in November 2003, most recently as Vice President, Global Transplant Operations from December 2004 to August 2005. Mr. Ajer’s experience prior to Genzyme includes roles in sales, marketing and operations at SangStat Medical Corporation and ICN Pharmaceuticals. Mr. Ajer also served on the board of directors of True North Therapeutics until June 2017. Mr. Ajer received both a B.S. in chemistry and an M.B.A. from the University of California, Irvine.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Robert Chess</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Robert B. Chess</w:t>
      </w:r>
      <w:r>
        <w:rPr>
          <w:rFonts w:ascii="Times New Roman" w:cs="Times New Roman" w:eastAsia="Times New Roman" w:hAnsi="Times New Roman"/>
          <w:sz w:val="18"/>
          <w:szCs w:val="18"/>
          <w:color w:val="auto"/>
        </w:rPr>
        <w:t>, age 66, is the Chairman of our board of directors and has served as a director since May 1992.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2006 until January 2007, Mr. Chess served as our Acting President and Chief Executive Officer, and from April 1999 to January 2007, served as Executive Chairman. He also served as our Co-Chief Executive Officer from August 1998 to April 2000, as President from December 1991 to August 1998, and as Chief Executive Officer from May 1992 to August 1998. Mr. Chess was previously the co-founder and President of Penederm, Inc., a publicly-traded dermatological pharmaceutical company that was sold to Mylan Laboratories. He has held management positions at Intel Corporation and Metaphor Computer Systems (now part of IBM), and was a member of the first President Bush’s White House staff as a White House Fellow and Associate Director of the White House Office of Economic and Domestic Policy. From 1997 until his retirement in 2009, Mr. Chess served on the board of directors of the Biotechnology Industry Organization (“BIO”). Mr. Chess served as Chairman of BIO’s Emerging Companies Section and Co-Chairman of BIO’s Intellectual Property Committee. Mr. Chess was the initial Chairman of Bio Ventures for Global Health and continues to serve on its board. He also serves on the Board of Trustees of the California Institute of Technology where he chairs the Technology Transfer Committee. Mr. Chess serves on the board of directors and is the lead director of Twist Biosciences, a publicly-traded company in the synthetic biology field. He is currently a member of the faculty of the Stanford Graduate School of Business, where he teaches courses in the MBA program on the healthcare industry and the business opportunity created by aging demographics and increased longevity. Mr. Chess received his B.S. degree in Engineering with honors from the California Institute of Technology and an M.B.A. from Harvard University.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Roy A. Whitfield</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 A. Whitfield, </w:t>
      </w:r>
      <w:r>
        <w:rPr>
          <w:rFonts w:ascii="Times New Roman" w:cs="Times New Roman" w:eastAsia="Times New Roman" w:hAnsi="Times New Roman"/>
          <w:sz w:val="18"/>
          <w:szCs w:val="18"/>
          <w:color w:val="auto"/>
        </w:rPr>
        <w:t>age 69, has served as our director since August 2000 and as Lead Independent Director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2019. Mr. Whitfield is the former Chairman of the Board and Chief Executive Officer of Incyte Corporation (“Incyte”), a drug discovery and development company he co-founded in 1991. From January 1993 to November 2001, Mr. Whitfield served as its Chief Executive Officer and from November 2001 until June 2003 as its Chairman. He also served as a director of Incyte from 1991 to January 2014. From 1984 to 1989, Mr. Whitfield held senior operating and business development positions with Technicon Instruments Corporation (“Technicon”), a medical instrumentation company, and its predecessor company, Cooper Biomedical, Inc., a biotechnology and medical diagnostics company. Prior to his work at Technicon, Mr. Whitfield spent seven years with the Boston Consulting Group’s international consulting practice. Mr. Whitfield received a B.S. in mathematics from Oxford University and an M.B.A. from Stanford University.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2025 ANNUAL MEETING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Diana M. Brainard, M.D.</w:t>
      </w:r>
    </w:p>
    <w:p>
      <w:pPr>
        <w:spacing w:after="0" w:line="119"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Diana M. Brainard, M.D., </w:t>
      </w:r>
      <w:r>
        <w:rPr>
          <w:rFonts w:ascii="Times New Roman" w:cs="Times New Roman" w:eastAsia="Times New Roman" w:hAnsi="Times New Roman"/>
          <w:sz w:val="18"/>
          <w:szCs w:val="18"/>
          <w:color w:val="auto"/>
        </w:rPr>
        <w:t>age 52, was appointed to our board of directors in November 2021. Dr. Brainard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the Chief Executive Officer and a member of the board of directors of AlloVir, Inc., a late clinical-stage cell therapy company. Prior to joining AlloVir, Inc., Dr. Brainard served as Senior Vice President and Virology Therapeutic Area Head at Gilead Sciences, Inc. from 2018 to April 2021. From 2015 to 2018, Dr. Brainard served as Vice President of Clinical Research, Liver Diseases at Gilead Sciences, Inc. Dr. Brainard obtained her B.A. degree from Brown University and her M.D. from Tulane University School of Medicine.</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 Scott Greer</w:t>
      </w:r>
    </w:p>
    <w:p>
      <w:pPr>
        <w:spacing w:after="0" w:line="11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 Scott Greer, </w:t>
      </w:r>
      <w:r>
        <w:rPr>
          <w:rFonts w:ascii="Times New Roman" w:cs="Times New Roman" w:eastAsia="Times New Roman" w:hAnsi="Times New Roman"/>
          <w:sz w:val="18"/>
          <w:szCs w:val="18"/>
          <w:color w:val="auto"/>
        </w:rPr>
        <w:t>age 64, has served as our director since February 2010. Mr. Greer currently serves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Numenor Ventures, LLC, a venture capital firm. In 1996, Mr. Greer co-founded Abgenix, Inc., a company that specialized in the discovery, development and manufacture of human therapeutic antibodies, and from June 1996 through May 2002, he served as its Chief Executive Officer. He also served as a director of Abgenix from 1996 and Chairman of the board of directors from 2000 until the acquisition of Abgenix by Amgen, Inc. in April 2006. Prior to Abgenix’s formation, Mr. Greer held senior management positions at Cell Genesys, Inc., a biotechnology company, initially as Chief Financial Officer and Vice President of Corporate Development and later as Senior Vice President of Corporate Development, and various positions at Genetics Institute, Inc., a biotechnology research and development company. He served on the board of directors of Inogen, Inc., a medical device company that develops and markets oxygen therapy products from 2015-2021, Sientra, Inc., a medical aesthetics company from 2014-2018,Versartis, Inc., an endocrine focused biopharmaceutical company from 2014-2018, Auspex Pharmaceuticals, a biopharmaceutical company developing drugs for patients with movement disorders and other rare diseases from 2014-2015, StemCells, Inc., a biopharmaceutical company focused on stem cell therapeutics from 2010-2016, Ablexis, an antibody technology company, as its Chairman of the board of directors from 2010-2016, Sirna Therapeutics, Inc., a biotechnology company, from 2003, and as its Chairman of the board of directors from 2005, through the closing of the acquisition of Sirna by Merck &amp; Co., Inc. in December 2006. Mr. Greer also previously served as a member of the board of directors of Illumina, Inc., a provider of integrated systems for the analysis of genetic variation and biological function from 2001-2005 and of the board of directors of CV Therapeutics, Inc., a biotechnology company from 2001-2004. Mr. Greer received a B.A. in Economics from Whitman College and an M.B.A. degree from Harvard University. He also was a certified public accountant.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Karin Eastham</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Karin Eastham</w:t>
      </w:r>
      <w:r>
        <w:rPr>
          <w:rFonts w:ascii="Times New Roman" w:cs="Times New Roman" w:eastAsia="Times New Roman" w:hAnsi="Times New Roman"/>
          <w:sz w:val="18"/>
          <w:szCs w:val="18"/>
          <w:color w:val="auto"/>
        </w:rPr>
        <w:t>, age 73, was appointed to serve as a member of our board of directors in September 2018.</w:t>
      </w:r>
    </w:p>
    <w:p>
      <w:pPr>
        <w:spacing w:after="0" w:line="29"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Ms. Eastham currently serves on the boards of directors of several life sciences companies. Ms. Eastham has served on the board of directors of Geron Corporation since March 2009, Veracyte, Inc. since December 2012, and Personalis, Inc. since November 2019. Ms. Eastham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From May 2004 to September 2008, Ms. Eastham served as Executive Vice President and Chief Operating Officer, and as a member of the Board of Trustees, of the Burnham Institute for Medical Research (now Sanford Burnham Prebys Medical Discovery Institute), a non-profit corporation engaged in biomedical research. From April 1999 to May 2004, Ms. Eastham served as Senior Vice President, Chief Financial Officer and Secretary of Diversa Corporation, a biotechnology company. Ms. Eastham previously held similar positions with CombiChem, Inc., a computational chemistry company, and Cytel Corporation, a biopharmaceutical company. Ms. Eastham also held several positions, including Vice President, Finance, at Boehringer Mannheim Diagnostics, from 1976 to 1988. Ms. Eastham received a B.S. in Accounting and an M.B.A. from Indiana University and is a Certified Public Accountant.</w:t>
      </w:r>
    </w:p>
    <w:p>
      <w:pPr>
        <w:spacing w:after="0" w:line="83"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Ms. Eastham will not be seeking reelection at the Annual Meeting upon the expiration of her term at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color w:val="auto"/>
        </w:rPr>
        <w:t>CURRENT DIRECTORS NOMINATED FOR REELECTION TO SERVE UNTIL THE 2026 ANNUAL MEETING</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Myriam J. Curet, M.D.</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Myriam Curet, M.D.</w:t>
      </w:r>
      <w:r>
        <w:rPr>
          <w:rFonts w:ascii="Times New Roman" w:cs="Times New Roman" w:eastAsia="Times New Roman" w:hAnsi="Times New Roman"/>
          <w:sz w:val="18"/>
          <w:szCs w:val="18"/>
          <w:color w:val="auto"/>
        </w:rPr>
        <w:t>, age 66, was appointed to serve as a member of our board of directors in December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Curet currently serves as the Executive Vice President and Chief Medical Officer of Intuitive Surgical, Inc. Prior to being promoted as Executive Vice President and Chief Medical Officer in November 2017, Dr. Curet served as the Chief Medical Advisor for Intuitive Surgical from December 2005 to February 2014 and as Intuitive Surgical’s Senior Vice President and Chief Medical Officer from February 2014 to November 2017. Since July 2021, Dr. Curet has served on the board of directors of Stereotaxis, Inc. Dr. Curet also has a faculty position as Professor of Surgery at Stanford University School of Medicine. Since October 2010, she has served as a Consulting Professor of Surgery at Stanford University with a part time clinical appointment at the Palo Alto Veteran’s Administration Medical Center. She was also on the faculty at the University of New Mexico for six years prior to joining Stanford University in 2000. Dr. Curet received her M.D. from Harvard Medical School and completed her general surgery residency program at the University of Chicago and her Surgical Endoscopy fellowship at the University of New Mexico.</w:t>
      </w: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Howard W. Robin, </w:t>
      </w:r>
      <w:r>
        <w:rPr>
          <w:rFonts w:ascii="Times New Roman" w:cs="Times New Roman" w:eastAsia="Times New Roman" w:hAnsi="Times New Roman"/>
          <w:sz w:val="18"/>
          <w:szCs w:val="18"/>
          <w:color w:val="auto"/>
        </w:rPr>
        <w:t>age 70, has served as our President and Chief Executive Officer since January 2007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our board of directors since February 2007. Mr. Robin served as Chief Executive Officer, President and a director of Sirna Therapeutics, Inc., a biotechnology company, from July 2001 to November 2006 and from January 2001 to June 2001, served as their Chief Operating Officer, President and as a director. From 1991 to 2001, Mr. Robin was Corporate Vice President and General Manager at Berlex Laboratories, Inc. (“Berlex”), a pharmaceutical products company that is a subsidiary of Schering, AG, and from 1987 to 1991 he served as Vice President of Finance and Business Development and Chief Financial Officer. From 1984 to 1987, Mr. Robin was Director of Business Planning and Development at Berlex. He was a Senior Associate with Arthur Andersen &amp; Co. prior to joining Berlex. He received his B.S. in Accounting and Finance from Fairleigh Dickinson University and serves as a member of its Board of Trustees.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met twelve (12) times during 2022. For the term of service during which he or she was a director in fiscal year 2021, each board member attended 75% or more of the aggregate of the board meetings and key committee meetings. All of our directors on our board attended our 2022 annual meeting of stockholders.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board of directors has documented our governance practices in our Corporate Governance Policy Statement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Policy Statement sets forth certain practices the board will follow with respect to board composition, board committees, board nomination, director qualifications and evaluation of the board and committees. The Corporate Governance Policy Statement also provides that the board of directors will include qualified candidates when filling positions for Chief Executive Officer vacancies and board membership from a variety of backgrounds and experiences, including candidates of gender, age and racial/ethnic diversity. In any retained search for Chief Executive Officer and board candidates, the board of directors will direct the third party search firm to identify and include candidates with gender and racial/ethnic diversity as part of the retained search. The Corporate Governance Policy Statement, as well as the charters for each committee of the board, may be viewed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positions of Chief Executive Officer and Chairman of the board of directors are currently held by Howard W. Robin and Robert B. Chess, respectively. The board of directors believes at this time having a separate chairman provides a more effective channel for the board of directors to express its views on management, by enhancing the board of director’s oversight of, and independence from, management, and allows the Chief Executive Officer to focus more on the strategy and operations of the Company.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Roy A. Whitfield serves as our Lead Independent Director. The board of directors believes that a robust Lead Independent Director role facilitates independent board oversight of management. In accordance with our Corporate Governance Policy Statement, the Lead Independent Director shall, among other things, (i) have authority to call meetings of the independent directors; (ii) chair meetings of the independent directors in the event the Chairman of the board of directors is not independent; (iii) serve as a liaison between the Chairman of the board and the independent directors; (iv) approve information sent to the board; (v) approve meeting agendas for the board;</w:t>
      </w:r>
    </w:p>
    <w:p>
      <w:pPr>
        <w:spacing w:after="0" w:line="5" w:lineRule="exact"/>
        <w:rPr>
          <w:sz w:val="20"/>
          <w:szCs w:val="20"/>
          <w:color w:val="auto"/>
        </w:rPr>
      </w:pPr>
    </w:p>
    <w:p>
      <w:pPr>
        <w:ind w:left="300" w:right="339" w:hanging="8"/>
        <w:spacing w:after="0" w:line="260" w:lineRule="auto"/>
        <w:tabs>
          <w:tab w:leader="none" w:pos="6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meeting schedules for the board to assure that there is sufficient time for discussion of all agenda items; and (vii) have such other duties and responsibilities as may be assigned by the board from time to time.</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monitors and assesses key business risks directly through deliberations of the board of directors and also by way of delegation of certain risk oversight functions to be performed by committees of the board of directors. The board of directors responsibilities include, among other matters:</w:t>
      </w:r>
    </w:p>
    <w:p>
      <w:pPr>
        <w:spacing w:after="0" w:line="68" w:lineRule="exact"/>
        <w:rPr>
          <w:sz w:val="20"/>
          <w:szCs w:val="20"/>
          <w:color w:val="auto"/>
        </w:rPr>
      </w:pPr>
    </w:p>
    <w:p>
      <w:pPr>
        <w:ind w:left="1000" w:right="999" w:hanging="348"/>
        <w:spacing w:after="0" w:line="312"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approval of the Company’s annual operating and capital spending plan and review of management’s updates as to the progress against the plan and any related risks and uncertainties.</w:t>
      </w:r>
    </w:p>
    <w:p>
      <w:pPr>
        <w:spacing w:after="0" w:line="31" w:lineRule="exact"/>
        <w:rPr>
          <w:rFonts w:ascii="Times New Roman" w:cs="Times New Roman" w:eastAsia="Times New Roman" w:hAnsi="Times New Roman"/>
          <w:sz w:val="17"/>
          <w:szCs w:val="17"/>
          <w:color w:val="auto"/>
        </w:rPr>
      </w:pPr>
    </w:p>
    <w:p>
      <w:pPr>
        <w:ind w:left="1000" w:right="63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consideration of the balance of risk and opportunities presented by the Company’s medium to long-term strategic plan and the potential implications of success and failure in one or more of the Company’s key drug development programs.</w:t>
      </w:r>
    </w:p>
    <w:p>
      <w:pPr>
        <w:spacing w:after="0" w:line="6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consideration of the risks and uncertainties presented by alternative clinical development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oversight of information technology (e.g., cybersecurity) risks and opportunities.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progress and results of the Company’s clinical development programs and early research efforts including but not limited to the strengths, weaknesses, opportunities and threats for these programs.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oversight of material outstanding litigation or threatened litigation.</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of material collaboration partnerships for the further development and commercial exploitation of the Company’s proprietary drug development programs and technologies.</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and approval of the annual corporate goals and an assessment of the Company’s level of achievement against these established goals.</w:t>
      </w:r>
    </w:p>
    <w:p>
      <w:pPr>
        <w:spacing w:after="0" w:line="53" w:lineRule="exact"/>
        <w:rPr>
          <w:rFonts w:ascii="Times New Roman" w:cs="Times New Roman" w:eastAsia="Times New Roman" w:hAnsi="Times New Roman"/>
          <w:sz w:val="18"/>
          <w:szCs w:val="18"/>
          <w:color w:val="auto"/>
        </w:rPr>
      </w:pPr>
    </w:p>
    <w:p>
      <w:pPr>
        <w:ind w:left="1000" w:right="11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Company’s financial position relative to the risk and opportunities for the Company’s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of the Company’s intellectual property estate.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assessment of CEO succession planning.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of the Company’s compensation programs.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assessment of the Company’s environment, social and governance-related policies.</w:t>
      </w:r>
    </w:p>
    <w:p>
      <w:pPr>
        <w:spacing w:after="0" w:line="117"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discussion above of risk oversight matters reviewed by the board of directors is intended to be illustrative only and not a complete list of all important matters reviewed and considered by the board of directors in providing oversight and direction for the Company’s senior management and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risk oversight function of the board of directors is also administered through various board committees. The Audit Committee oversees the management of financial, accounting, internal controls, disclosure controls and the engagement arrangement and regular oversight of the independent auditors. The Audit Committee also periodically reviews the Company’s investment policy for its cash reserves, corporate insurance policies, information technology infrastructure and general fraud monitoring practices and procedures, including the maintenance and monitoring of a whistleblower hotline and the segregation of duties and access controls across various functions. To assist the Audit Committee in its risk management oversight function, the internal auditor has a direct reporting relationship to the Audit Committee. The Company’s internal audit function is focused on internal control monitoring and activities in support of the Audit Committee’s risk oversight function.</w:t>
      </w:r>
    </w:p>
    <w:p>
      <w:pPr>
        <w:spacing w:after="0" w:line="8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Organization and Compensation Committee is responsible for the design and oversight of the Company’s compensation programs as well as succession planning for the chief executive officer position and other key executive positions. The Organization and Compensation Committee regularly considers whether the Company’s compensation policies and practices create risks that could have a material adverse impact on the Company and has concluded that they do not based on several design features of our compensation program that we believe reduces the likelihood of excessive risk-taking, including the following:</w:t>
      </w:r>
    </w:p>
    <w:p>
      <w:pPr>
        <w:spacing w:after="0" w:line="79" w:lineRule="exact"/>
        <w:rPr>
          <w:sz w:val="20"/>
          <w:szCs w:val="20"/>
          <w:color w:val="auto"/>
        </w:rPr>
      </w:pPr>
    </w:p>
    <w:p>
      <w:pPr>
        <w:ind w:left="1000" w:right="115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plan design provides a mix of base salary, short-term incentive compensation opportunity and equity compensation earned over multiple-year periods;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corporate performance rating under the annual bonus plan is based on our achievement of a diversified mix of development, research, organizational and financial objectives. Thus, the achievement of any single corporate objective does not have a disproportionate impact on the aggregate annual bonus awarded;</w:t>
      </w:r>
    </w:p>
    <w:p>
      <w:pPr>
        <w:spacing w:after="0" w:line="71"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employee’s annual cash bonus is determined by a combination of the corporate performance rating and a subjective determination of individual performance;</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payout levels for annual incentive bonuses are capped at 200% of each employee’s annual target bonus;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each executive’s compensation opportunity is in the form of long-term equity incentives, which help to further align the long-term interests of our executives with those of our stockholders;</w:t>
      </w:r>
    </w:p>
    <w:p>
      <w:pPr>
        <w:spacing w:after="0" w:line="67" w:lineRule="exact"/>
        <w:rPr>
          <w:rFonts w:ascii="Times New Roman" w:cs="Times New Roman" w:eastAsia="Times New Roman" w:hAnsi="Times New Roman"/>
          <w:sz w:val="18"/>
          <w:szCs w:val="18"/>
          <w:color w:val="auto"/>
        </w:rPr>
      </w:pPr>
    </w:p>
    <w:p>
      <w:pPr>
        <w:ind w:left="1000" w:right="679" w:hanging="348"/>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are subject to our security trading policy which prohibits trading in derivative securities (i.e., puts or calls), short selling, and any trading in the Company’s securities on margin; and</w:t>
      </w:r>
    </w:p>
    <w:p>
      <w:pPr>
        <w:spacing w:after="0" w:line="31" w:lineRule="exact"/>
        <w:rPr>
          <w:rFonts w:ascii="Times New Roman" w:cs="Times New Roman" w:eastAsia="Times New Roman" w:hAnsi="Times New Roman"/>
          <w:sz w:val="17"/>
          <w:szCs w:val="17"/>
          <w:color w:val="auto"/>
        </w:rPr>
      </w:pPr>
    </w:p>
    <w:p>
      <w:pPr>
        <w:ind w:left="1000" w:right="49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is subject to our claw-back policy which provides that any compensation received by an executive officer based upon the achievement of financial results that are subsequently revised is subject to cancellation or a reimbursement obligation.</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periodically reviews the Company’s corporate governance practices, including certain risks that those practices are intended to address. The committee periodically reviews the composition of the board of directors to help ensure that a diversity of skills and experiences is represented by the members of the board of directors taking into account the stage of growth of the Company and its strategic direction.</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carrying out their risk oversight functions, the board of directors and its committees routinely request, and review management updates, reports from the independent auditors and legal and regulatory advice from outside experts, as appropriate, to assist in discerning and managing important risks that may be faced by the Company. The board of directors is committed to continuing to ensure and evolve its risk oversight practices as appropriate given the stage of the Company’s evolution as a research-based development stage biopharmaceutical company and the fast-paced changes in the biopharmaceutical industry. In that regard, in 2022 the Company maintained a risk management committee composed of senior managers in charge of important functional areas that regularly reported to the board of directors or one of its designated committees.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As required under the NASDAQ Global Select Market listing standards, a majority of the members of a listed company’s board of directors must qualify as “independent,” as affirmatively determined by the board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directors. Our board consults with counsel to ensure that its determinations are consistent with all relevant securities and other laws and regulations regarding the definition of “independent,” including those set forth in pertinent NASDAQ listing standards, as in effect from time to time.</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Consistent with these standards, after review of all relevant transactions (if any) or relationships between each director, or any of his or her family members, and us, our senior management and our independent registered public accounting firm, the board has affirmatively determined that all of our directors are independent directors within the meaning of the applicable NASDAQ listing standards, except for Mr. Robin, our President and Chief Executive Officer.</w:t>
      </w:r>
    </w:p>
    <w:p>
      <w:pPr>
        <w:spacing w:after="0" w:line="75"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As required under applicable NASDAQ listing standards, in the 2022 fiscal year, our independent directors met seven times in regularly scheduled executive sessions. The Lead Director presided over such sessions at which only independent directors were present.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THE COMMITTEES OF THE BOARD OF DIRECTORS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three regularly constituted committees: an Audit Committee, an Organization and Compensation Committee, and a Nominating and Corporate Governance Committee. The following table provides membership and meeting information as of December 31, 2022, for each of the board committees: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3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4560" w:type="dxa"/>
            <w:vAlign w:val="bottom"/>
            <w:gridSpan w:val="2"/>
            <w:vMerge w:val="continue"/>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51"/>
        </w:trPr>
        <w:tc>
          <w:tcPr>
            <w:tcW w:w="43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Ajer</w:t>
            </w:r>
          </w:p>
        </w:tc>
        <w:tc>
          <w:tcPr>
            <w:tcW w:w="460" w:type="dxa"/>
            <w:vAlign w:val="bottom"/>
          </w:tcPr>
          <w:p>
            <w:pPr>
              <w:spacing w:after="0"/>
              <w:rPr>
                <w:sz w:val="24"/>
                <w:szCs w:val="24"/>
                <w:color w:val="auto"/>
              </w:rPr>
            </w:pPr>
          </w:p>
        </w:tc>
        <w:tc>
          <w:tcPr>
            <w:tcW w:w="8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1"/>
              </w:rPr>
              <w:t>X</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M. Brainard, M.D.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 Chess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Myriam J. Curet, M.D.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1"/>
              </w:rPr>
              <w:t>X</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 Eastham</w:t>
            </w:r>
          </w:p>
        </w:tc>
        <w:tc>
          <w:tcPr>
            <w:tcW w:w="1260" w:type="dxa"/>
            <w:vAlign w:val="bottom"/>
            <w:gridSpan w:val="4"/>
          </w:tcPr>
          <w:p>
            <w:pPr>
              <w:jc w:val="center"/>
              <w:ind w:right="200"/>
              <w:spacing w:after="0"/>
              <w:rPr>
                <w:sz w:val="20"/>
                <w:szCs w:val="20"/>
                <w:color w:val="auto"/>
              </w:rPr>
            </w:pPr>
            <w:r>
              <w:rPr>
                <w:rFonts w:ascii="Times New Roman" w:cs="Times New Roman" w:eastAsia="Times New Roman" w:hAnsi="Times New Roman"/>
                <w:sz w:val="35"/>
                <w:szCs w:val="35"/>
                <w:color w:val="auto"/>
                <w:w w:val="87"/>
                <w:vertAlign w:val="subscript"/>
              </w:rPr>
              <w:t>X</w:t>
            </w:r>
            <w:r>
              <w:rPr>
                <w:rFonts w:ascii="Times New Roman" w:cs="Times New Roman" w:eastAsia="Times New Roman" w:hAnsi="Times New Roman"/>
                <w:sz w:val="15"/>
                <w:szCs w:val="15"/>
                <w:color w:val="auto"/>
                <w:w w:val="87"/>
              </w:rPr>
              <w:t>(1)</w:t>
            </w:r>
          </w:p>
        </w:tc>
        <w:tc>
          <w:tcPr>
            <w:tcW w:w="440" w:type="dxa"/>
            <w:vAlign w:val="bottom"/>
          </w:tcPr>
          <w:p>
            <w:pPr>
              <w:spacing w:after="0"/>
              <w:rPr>
                <w:sz w:val="24"/>
                <w:szCs w:val="24"/>
                <w:color w:val="auto"/>
              </w:rPr>
            </w:pPr>
          </w:p>
        </w:tc>
        <w:tc>
          <w:tcPr>
            <w:tcW w:w="8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1"/>
              </w:rPr>
              <w:t>X</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Scott Greer</w:t>
            </w:r>
          </w:p>
        </w:tc>
        <w:tc>
          <w:tcPr>
            <w:tcW w:w="460" w:type="dxa"/>
            <w:vAlign w:val="bottom"/>
          </w:tcPr>
          <w:p>
            <w:pPr>
              <w:spacing w:after="0"/>
              <w:rPr>
                <w:sz w:val="24"/>
                <w:szCs w:val="24"/>
                <w:color w:val="auto"/>
              </w:rPr>
            </w:pPr>
          </w:p>
        </w:tc>
        <w:tc>
          <w:tcPr>
            <w:tcW w:w="8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1"/>
              </w:rPr>
              <w:t>X</w:t>
            </w:r>
          </w:p>
        </w:tc>
        <w:tc>
          <w:tcPr>
            <w:tcW w:w="1280" w:type="dxa"/>
            <w:vAlign w:val="bottom"/>
            <w:gridSpan w:val="4"/>
          </w:tcPr>
          <w:p>
            <w:pPr>
              <w:jc w:val="center"/>
              <w:ind w:right="180"/>
              <w:spacing w:after="0" w:line="364" w:lineRule="exact"/>
              <w:rPr>
                <w:sz w:val="20"/>
                <w:szCs w:val="20"/>
                <w:color w:val="auto"/>
              </w:rPr>
            </w:pPr>
            <w:r>
              <w:rPr>
                <w:rFonts w:ascii="Times New Roman" w:cs="Times New Roman" w:eastAsia="Times New Roman" w:hAnsi="Times New Roman"/>
                <w:sz w:val="35"/>
                <w:szCs w:val="35"/>
                <w:color w:val="auto"/>
                <w:w w:val="87"/>
                <w:vertAlign w:val="subscript"/>
              </w:rPr>
              <w:t>X</w:t>
            </w:r>
            <w:r>
              <w:rPr>
                <w:rFonts w:ascii="Times New Roman" w:cs="Times New Roman" w:eastAsia="Times New Roman" w:hAnsi="Times New Roman"/>
                <w:sz w:val="15"/>
                <w:szCs w:val="15"/>
                <w:color w:val="auto"/>
                <w:w w:val="87"/>
              </w:rPr>
              <w:t>(1)</w:t>
            </w:r>
          </w:p>
        </w:tc>
        <w:tc>
          <w:tcPr>
            <w:tcW w:w="500" w:type="dxa"/>
            <w:vAlign w:val="bottom"/>
          </w:tcPr>
          <w:p>
            <w:pPr>
              <w:spacing w:after="0"/>
              <w:rPr>
                <w:sz w:val="24"/>
                <w:szCs w:val="24"/>
                <w:color w:val="auto"/>
              </w:rPr>
            </w:pPr>
          </w:p>
        </w:tc>
        <w:tc>
          <w:tcPr>
            <w:tcW w:w="8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A. Whitfield</w:t>
            </w:r>
          </w:p>
        </w:tc>
        <w:tc>
          <w:tcPr>
            <w:tcW w:w="46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center"/>
              <w:ind w:right="520"/>
              <w:spacing w:after="0" w:line="364" w:lineRule="exact"/>
              <w:rPr>
                <w:sz w:val="20"/>
                <w:szCs w:val="20"/>
                <w:color w:val="auto"/>
              </w:rPr>
            </w:pPr>
            <w:r>
              <w:rPr>
                <w:rFonts w:ascii="Times New Roman" w:cs="Times New Roman" w:eastAsia="Times New Roman" w:hAnsi="Times New Roman"/>
                <w:sz w:val="35"/>
                <w:szCs w:val="35"/>
                <w:color w:val="auto"/>
                <w:w w:val="87"/>
                <w:vertAlign w:val="subscript"/>
              </w:rPr>
              <w:t>X</w:t>
            </w:r>
            <w:r>
              <w:rPr>
                <w:rFonts w:ascii="Times New Roman" w:cs="Times New Roman" w:eastAsia="Times New Roman" w:hAnsi="Times New Roman"/>
                <w:sz w:val="15"/>
                <w:szCs w:val="15"/>
                <w:color w:val="auto"/>
                <w:w w:val="87"/>
              </w:rPr>
              <w:t>(1)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2022 fiscal year</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5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of directors. The board of directors has determined that each member of each committee meets the applicable rules and regulations regarding “independence” and that each member is free of any relationship that would interfere with his or her individual exercise of independent judgment with regard to us.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oversees our corporate accounting and financial reporting process. For this purpose, the Audit Committee performs several functions. The Audit Committee:</w:t>
      </w:r>
    </w:p>
    <w:p>
      <w:pPr>
        <w:spacing w:after="0" w:line="54" w:lineRule="exact"/>
        <w:rPr>
          <w:sz w:val="20"/>
          <w:szCs w:val="20"/>
          <w:color w:val="auto"/>
        </w:rPr>
      </w:pPr>
    </w:p>
    <w:p>
      <w:pPr>
        <w:ind w:left="1000" w:right="10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and assesses the qualifications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to retain or terminate our independent registered public accounting firm or to appoint and engage a new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determines the engagement of the independent auditors, including the overall scope and plans for their respective audits, the adequacy of staffing and compensation, and negotiates and executes, on behalf of the Company, engagement letters with the independent auditors;</w:t>
      </w:r>
    </w:p>
    <w:p>
      <w:pPr>
        <w:spacing w:after="0" w:line="67" w:lineRule="exact"/>
        <w:rPr>
          <w:rFonts w:ascii="Times New Roman" w:cs="Times New Roman" w:eastAsia="Times New Roman" w:hAnsi="Times New Roman"/>
          <w:sz w:val="18"/>
          <w:szCs w:val="18"/>
          <w:color w:val="auto"/>
        </w:rPr>
      </w:pPr>
    </w:p>
    <w:p>
      <w:pPr>
        <w:ind w:left="1000" w:right="359" w:hanging="348"/>
        <w:spacing w:after="0" w:line="312"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guidelines and procedures with respect to the rotation of the lead or coordinating audit partners having primary responsibility for the audit and the audit partner responsible for reviewing the audit;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retention of the independent registered public accounting firm for any permissible non-audit services and, at least annually, discusses with our independent registered public accounting firm, and reviews, that firm’s independence;</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and reviews, at least annually, a formal written statement prepared by the independent registered public accounting firm delineating all relationships between the independent registered public accounting firm and the Company and discusses with the independent registered public accounting firm, and reviews, its independence from management and the Company;</w:t>
      </w:r>
    </w:p>
    <w:p>
      <w:pPr>
        <w:spacing w:after="0" w:line="71"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the independent registered public accounting firm any management or internal control letter issued or, to the extent practicable, proposed to be issued by the independent registered public accounting firm and management’s response;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management and the independent registered public accounting firm the scope, adequacy and effectiveness of our financial reporting controls;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Company’s risk management committee, the internal auditor and the independent registered public accounting firm, as appropriate, the Company’s major financial risks, the Company’s policies for assessment and management of such risks, and the steps to be taken to control such risks;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the Company’s information technology (e.g., cybersecurity) processes and risks;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9"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and maintains procedures for the receipt, retention and treatment of complaints regarding accounting, internal accounting controls or auditing matters, including procedures for the confidential and anonymous submission by employees of concerns regarding questionable accounting or auditing matters;</w:t>
      </w:r>
    </w:p>
    <w:p>
      <w:pPr>
        <w:spacing w:after="0" w:line="49" w:lineRule="exact"/>
        <w:rPr>
          <w:rFonts w:ascii="Times New Roman" w:cs="Times New Roman" w:eastAsia="Times New Roman" w:hAnsi="Times New Roman"/>
          <w:sz w:val="17"/>
          <w:szCs w:val="17"/>
          <w:color w:val="auto"/>
        </w:rPr>
      </w:pPr>
    </w:p>
    <w:p>
      <w:pPr>
        <w:ind w:left="1000" w:right="47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and resolves any disagreements between our management and the independent registered public accounting firm regarding our financial reporting, accounting practices or accounting policies and reviews with the independent registered public accounting firm any other problems or difficulties it may have encountered during the course of the audit work;</w:t>
      </w:r>
    </w:p>
    <w:p>
      <w:pPr>
        <w:spacing w:after="0" w:line="71"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with senior management and the independent registered public accounting firm in separate executive sessions;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consolidated financial statements to be included in our quarterly reports on Form 10-Q and our annual reports on Form 10-K;</w:t>
      </w:r>
    </w:p>
    <w:p>
      <w:pPr>
        <w:spacing w:after="0" w:line="53" w:lineRule="exact"/>
        <w:rPr>
          <w:rFonts w:ascii="Times New Roman" w:cs="Times New Roman" w:eastAsia="Times New Roman" w:hAnsi="Times New Roman"/>
          <w:sz w:val="18"/>
          <w:szCs w:val="18"/>
          <w:color w:val="auto"/>
        </w:rPr>
      </w:pPr>
    </w:p>
    <w:p>
      <w:pPr>
        <w:ind w:left="1000" w:right="339" w:hanging="348"/>
        <w:spacing w:after="0" w:line="277"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management and the independent registered public accounting firm the results of the independent registered public accounting firm’s review of our quarterly consolidated financial statements and the results of our annual audit and the disclosures contained under the caption “Management’s Discussion and Analysis of Financial Condition and Results of Operations” in our periodic reports and reviews the Company’s environmental, social and governance (“ESG”) disclosures in our periodic reports;</w:t>
      </w:r>
    </w:p>
    <w:p>
      <w:pPr>
        <w:spacing w:after="0" w:line="59" w:lineRule="exact"/>
        <w:rPr>
          <w:rFonts w:ascii="Times New Roman" w:cs="Times New Roman" w:eastAsia="Times New Roman" w:hAnsi="Times New Roman"/>
          <w:sz w:val="17"/>
          <w:szCs w:val="17"/>
          <w:color w:val="auto"/>
        </w:rPr>
      </w:pPr>
    </w:p>
    <w:p>
      <w:pPr>
        <w:ind w:left="1000" w:right="599" w:hanging="348"/>
        <w:spacing w:after="0" w:line="289"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discusses with management and the independent registered public accounting firm any material financial arrangements of the Company which do not appear on the financial statements of the Company and any significant transactions or courses of dealing with parties related to the Company;</w:t>
      </w:r>
    </w:p>
    <w:p>
      <w:pPr>
        <w:spacing w:after="0" w:line="49" w:lineRule="exact"/>
        <w:rPr>
          <w:rFonts w:ascii="Times New Roman" w:cs="Times New Roman" w:eastAsia="Times New Roman" w:hAnsi="Times New Roman"/>
          <w:sz w:val="17"/>
          <w:szCs w:val="17"/>
          <w:color w:val="auto"/>
        </w:rPr>
      </w:pPr>
    </w:p>
    <w:p>
      <w:pPr>
        <w:ind w:left="1000" w:right="5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management and the independent registered public accounting firm significant issues that arise regarding accounting principles and financial statement presentation;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internal audit function;</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any correspondence from or with regulators or governmental agencies, any employee complaints or any published reports that raise material issues regarding the Company’s consolidated financial statements, financial reporting process or accounting policies;</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preparation of the Audit Committee report to be included in the Company’s annual report or proxy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investment policy for its cash reserves, corporate insurance policies, information technology infrastructure and general fraud monitoring practices and procedures, including the maintenance and monitoring of a whistleblower hotline and the segregation of duties and access controls across various functions.</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the authority to retain special legal, accounting or other professional advisors to advise the committee as it deems necessary, at our expense, to carry out its duties and to determine the compensation of any such advisors.</w:t>
      </w:r>
    </w:p>
    <w:p>
      <w:pPr>
        <w:spacing w:after="0" w:line="68"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Ms. Eastham serves as the Chairperson of the Audit Committee. The board of directors annually reviews the NASDAQ listing standards definition of independence for Audit Committee members and has determined that all members of our Audit Committee are independent.</w:t>
      </w:r>
    </w:p>
    <w:p>
      <w:pPr>
        <w:spacing w:after="0" w:line="68" w:lineRule="exact"/>
        <w:rPr>
          <w:sz w:val="20"/>
          <w:szCs w:val="20"/>
          <w:color w:val="auto"/>
        </w:rPr>
      </w:pPr>
    </w:p>
    <w:p>
      <w:pPr>
        <w:ind w:left="300" w:right="379" w:firstLine="360"/>
        <w:spacing w:after="0" w:line="267" w:lineRule="auto"/>
        <w:rPr>
          <w:sz w:val="20"/>
          <w:szCs w:val="20"/>
          <w:color w:val="auto"/>
        </w:rPr>
      </w:pPr>
      <w:r>
        <w:rPr>
          <w:rFonts w:ascii="Times New Roman" w:cs="Times New Roman" w:eastAsia="Times New Roman" w:hAnsi="Times New Roman"/>
          <w:sz w:val="17"/>
          <w:szCs w:val="17"/>
          <w:color w:val="auto"/>
        </w:rPr>
        <w:t>During the 2022 fiscal year, the board of directors determined that Ms. Eastham also qualifies as an “Audit Committee financial expert” as defined in applicable SEC rules. The board of directors made a qualitative assessment of Ms. Eastham’s level of knowledge and experience based on a number of factors, including her formal education and experience as a Chief Financial Officer of a public reporting company. In addition to serving as the chairperson of our Audit Committee, Ms. Eastham also serves on the Audit Committees of Geron Corporation (NASDAQ: GERN), Veracyte, Inc. (NASDAQ: VCYT) and Personalis, Inc. (NASDAQ: PSNL). The board of directors does not believe that such simultaneous service impairs Ms. Eastham’s ability to effectively serve on our Audit Committee. The board of directors has also determined that Mr. Greer qualified as an “Audit Committee financial expert” as defined in applicable SEC rules. The board of directors made a qualitative assessment of</w:t>
      </w:r>
    </w:p>
    <w:p>
      <w:pPr>
        <w:spacing w:after="0" w:line="5"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 xml:space="preserve">Mr. Greer’s level of knowledge and experience based on a number of factors, including his formal education and experience as a Chief Executive Officer at a public reporting company, a Chief Financial Officer, and the chairman of public company Audit Committees. The Audit Committee has adopted a written Audit Committee charter that is available on our corporate website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COMPENSATION COMMITTEE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Organization and Compensation Committee of the board of directors administers the variable compensation programs and reviews management’s recommendations for organization structure and development of the Company. Additionally, the Organization and Compensation Committee reviews and in some cases approves the type and level of cash and equity-based compensation for officers, employees and consultants of the Company, and recommends certain compensation actions to the board of directors for review and approval. The Organization and Compensation Committee:</w:t>
      </w:r>
    </w:p>
    <w:p>
      <w:pPr>
        <w:spacing w:after="0" w:line="79"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structure and guidelines for various incentive compensation and benefit plans;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grant equity awards under the various equity incentive compensation and benefit plans or any inducement plans established under NASDAQ Listing Rule 5635(c)(4) and IM-5635-1;</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compensation for the executive officers of the Company, including the President and Chief Executive Officer, and those vice-president level employees that report directly to the President and Chief Executive Officer, including, but not limited to, annual salary, bonus, equity compensation and other benefits;</w:t>
      </w:r>
    </w:p>
    <w:p>
      <w:pPr>
        <w:spacing w:after="0" w:line="71"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the compensation levels for the members of the board of directors who are not employed by us or our subsidiaries (“non-employee directors”) for approval by the independent members of the board of directors;</w:t>
      </w:r>
    </w:p>
    <w:p>
      <w:pPr>
        <w:spacing w:after="0" w:line="67" w:lineRule="exact"/>
        <w:rPr>
          <w:rFonts w:ascii="Times New Roman" w:cs="Times New Roman" w:eastAsia="Times New Roman" w:hAnsi="Times New Roman"/>
          <w:sz w:val="18"/>
          <w:szCs w:val="18"/>
          <w:color w:val="auto"/>
        </w:rPr>
      </w:pPr>
    </w:p>
    <w:p>
      <w:pPr>
        <w:ind w:left="1000" w:right="7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operation of the Company’s executive compensation programs to determine whether they remain supportive of the Company’s business objectives and are competitive relative to comparable companies and establishes and periodically reviews policies for the administration of executive compensation programs;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executive compensation arrangements to evaluate whether incentive and other forms of compensation do not encourage inappropriate or excessive risk taking and reviews and discusses, at least annually, the relationship between risk management policies and practices, corporate strategy and the Company’s executive compensation arrangements;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Company’s risk management committee, as appropriate, the Company’s major risks relating to the purview of the Organization and Compensation Committee, the Company’s policies for assessment and management of such risks, and the steps to be taken to control such risks;</w:t>
      </w:r>
    </w:p>
    <w:p>
      <w:pPr>
        <w:spacing w:after="0" w:line="71"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preparation of the Organization and Compensation Committee report to be included in the Company’s annual proxy statement and Annual Report on Form 10-K;</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reassess the adequacy of the Organization and Compensation Committee charter on at least an annual basis;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management recommendations on organization structure and development, including succession planning;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performance of the executive officers and vice-president level employees that report directly to the Chief Executive Officer;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and discusses with management the Company’s diversity, talent, and culture strategy, which may include human capital programs and policies regarding management development, talent planning, diversity and inclusion initiatives, and employee engagement.</w:t>
      </w:r>
    </w:p>
    <w:p>
      <w:pPr>
        <w:spacing w:after="0" w:line="68"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Organization and Compensation Committee takes into account our President and Chief Executive Officer’s recommendations regarding the compensatory arrangements for our executive officers, although our President and Chief Executive Officer does not participate in the deliberations or determinations of his own compensation. In particular, the Organization and Compensation Committee considered our President and Chief Executive Officer’s recommendations for 2022 regarding determination of annual base compensation, award of annual performance-based bonus compensation and the equity granted to our executive officers excluding himself. While the Organization and Compensation Committee considers and appreciates the input and expertise of management in making its decisions, it does ensure that an executive session where no management is present is included in the agenda for every committee meeting. The Organization and Compensation Committee’s charter gives the committee the sole authority to retain independent counsel, compensation and benefits consultants or other outside experts or advisors that it believes to be necessary or appropriate. During 2022, the Organization and Compensation Committee retained Aon plc, a nationally recognized executive compensation consulting firm that performs compensation benchmarking, analysis and design services. Radford was engaged in 2022 to provide regulatory, legislative updates and market trend analysis, to provide analysis on our compensation programs, to provide recommendations and advice on the structure, elements and amounts of compensation provided to our non-employee directors, to provide recommendations and advice on Nektar peer companies, to review the Compensation Discussion and Analysis, and to provide executive compensation analysis as needed. The Company subscribes to Aon’s general compensation survey services for ongoing trends information in addition to the executive and director compensation services it performs at the request of the Organization and Compensation Committee. In 2022, we paid Aon $22,150 for provision of section specific survey services to understand the market conditions at all levels in the Company. After consideration of such services and other factors prescribed by the SEC for purposes of assessing the independence of compensation consultants, we have determined that no conflicts of interest exist between the Company and Aon (or any individuals providing such services to the committee on Aon’s behalf).</w:t>
      </w:r>
    </w:p>
    <w:p>
      <w:pPr>
        <w:spacing w:after="0" w:line="9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Organization and Compensation Committee may delegate to its subcommittees such authority as it deems appropriate, except for the authority the committee is required to exercise by applicable law or regulation. The Organization and Compensation Committee has delegated certain limited authority to grant equity awards under our stock incentive plan to a committee comprised of management representatives. This committee may not approve award grants to anyone serving as an executive officer or director of the Company. Other than the authority delegated to this committee, the Organization and Compensation Committee has no current intention to delegate any of its authority to any other committee or subcommittee.</w:t>
      </w:r>
    </w:p>
    <w:p>
      <w:pPr>
        <w:spacing w:after="0" w:line="8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current members of the Organization and Compensation Committee are Mr. Greer, who chairs the committee, and Ms. Eastham and Dr. Curet. The board of directors annually reviews the NASDAQ listing standards definition of independence for Organization and Compensation Committee members and has determined that all members of our Organization and Compensation Committee are independent. The Organization and Compensation Committee charter can be found on our corporate website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w:t>
      </w:r>
    </w:p>
    <w:p>
      <w:pPr>
        <w:spacing w:after="0" w:line="117" w:lineRule="exact"/>
        <w:rPr>
          <w:sz w:val="20"/>
          <w:szCs w:val="20"/>
          <w:color w:val="auto"/>
        </w:rPr>
      </w:pPr>
    </w:p>
    <w:p>
      <w:pPr>
        <w:ind w:left="1000" w:right="87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criteria for board membership, including standards for independence, and considers and assesses the independence of the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board composition and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reviews and recommends the board of directors’ selected candidates to serve as directors;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stockholder recommendations for director nominations and other proposals submitted by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of, and compliance with, our Code of Business Conduct and Ethics;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and oversees all aspects of our corporate governance functions on behalf of the board of directors;</w:t>
      </w:r>
    </w:p>
    <w:p>
      <w:pPr>
        <w:spacing w:after="0" w:line="53" w:lineRule="exact"/>
        <w:rPr>
          <w:rFonts w:ascii="Times New Roman" w:cs="Times New Roman" w:eastAsia="Times New Roman" w:hAnsi="Times New Roman"/>
          <w:sz w:val="18"/>
          <w:szCs w:val="18"/>
          <w:color w:val="auto"/>
        </w:rPr>
      </w:pPr>
    </w:p>
    <w:p>
      <w:pPr>
        <w:ind w:left="1000" w:right="499" w:hanging="348"/>
        <w:spacing w:after="0" w:line="312"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 regulatory and legislative developments in corporate governance, as well as trends in corporate governance practices, and makes recommendations to the board of directors regarding the same;</w:t>
      </w:r>
    </w:p>
    <w:p>
      <w:pPr>
        <w:spacing w:after="0" w:line="31" w:lineRule="exact"/>
        <w:rPr>
          <w:rFonts w:ascii="Times New Roman" w:cs="Times New Roman" w:eastAsia="Times New Roman" w:hAnsi="Times New Roman"/>
          <w:sz w:val="17"/>
          <w:szCs w:val="17"/>
          <w:color w:val="auto"/>
        </w:rPr>
      </w:pPr>
    </w:p>
    <w:p>
      <w:pPr>
        <w:ind w:left="1000" w:right="43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Company’s risk management committee, as appropriate, the Company’s major risks relating to the purview of the nominating and corporate government committee, the Company’s policies for assessment and management of such risks, and the steps to be taken to control such risks;</w:t>
      </w:r>
    </w:p>
    <w:p>
      <w:pPr>
        <w:spacing w:after="0" w:line="71"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procedures for the receipt, retention and treatment of complaints received by the Company with respect to legal and regulatory compliance (except for compliance relating to accounting, internal accounting controls, auditing matters and financial disclosure and reporting);</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recommendations to the board of directors to establish such special committees as may be desirable or necessary from time to time in order to address ethical, legal, business or other matters that may arise; and</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the development and recommend to the board of directors, as appropriate, policies and programs with respect to ESG matters relevant to the company’s business.</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possess the highest personal and professional ethics, integrity and values, be committed to represent our long-term interests and those of our stockholders, possess diverse experience at policy-making levels in business, science and technology, possess key personal characteristics such as strategic thinking, objectivity, independent judgment, intellect and the courage to speak out and actively participate in meetings, as well as have sufficient time to carry out the duties and responsibilities of a board member effectively.</w:t>
      </w:r>
    </w:p>
    <w:p>
      <w:pPr>
        <w:spacing w:after="0" w:line="79"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Candidates for director nominees are reviewed in the context of the current composition of the board, our operating requirements and the long-term interests of stockholders. In conducting this assessment, the committee considers diversity, age, skills and such other factors as it deems appropriate given our current needs and those of our board to maintain a balance of knowledge, experience and capability. The Nominating and Corporate Governance Committee also periodically reviews the overall effectiveness of the board, including board attendance, level of participation, quality of performance, self-assessment reviews and any relationships or transactions that might impair director independence. In the case of new director candidates, the Nominating and Corporate Governance Committee also determines whether the nominee must be independent for NASDAQ purposes, which determination is based upon applicable NASDAQ listing standards, applicable SEC rules and regulations and the advice of counsel, if necessary. The committee then uses its network of contacts to compile a list of potential candidates, but may also engage, if it deems appropriate, a professional search firm. The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 We have paid fees to third party search firms in the past to assist in our process of identifying or evaluating director candidates.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will consider for nomination any qualified director candidates recommended by our stockholders. Any stockholder who wishes to recommend a director candidate is directed to submit in writing the candidate’s name, biographical information, relevant qualifications and other information required by our bylaws to our Secretary at our principal executive offices before the deadline set forth in our bylaws. 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w:t>
      </w:r>
    </w:p>
    <w:p>
      <w:pPr>
        <w:spacing w:after="0" w:line="84"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 xml:space="preserve">The current members of the Nominating and Corporate Governance Committee comprise Mr. Whitfield, who chairs the committee, Mr. Ajer and Mr. Greer. The board of directors annually reviews the NASDAQ listing standards definition of independence for the Nominating and Corporate Governance Committee and has determined that all members of our Nominating and Corporate Governance Committee are independent. The Nominating and Corporate Governance Committee charter can be found on our corporate website at </w:t>
      </w:r>
      <w:r>
        <w:rPr>
          <w:rFonts w:ascii="Times New Roman" w:cs="Times New Roman" w:eastAsia="Times New Roman" w:hAnsi="Times New Roman"/>
          <w:sz w:val="17"/>
          <w:szCs w:val="17"/>
          <w:i w:val="1"/>
          <w:iCs w:val="1"/>
          <w:color w:val="auto"/>
        </w:rPr>
        <w:t>www.nektar.com</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current members of our board of directors represent a desirable mix of backgrounds, skills and experiences, and are all believed to share the key personal characteristics described above. Below are some of the specific experiences and skills of our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Jeff Ajer</w:t>
      </w:r>
    </w:p>
    <w:p>
      <w:pPr>
        <w:spacing w:after="0" w:line="121" w:lineRule="exact"/>
        <w:rPr>
          <w:sz w:val="20"/>
          <w:szCs w:val="20"/>
          <w:color w:val="auto"/>
        </w:rPr>
      </w:pPr>
    </w:p>
    <w:p>
      <w:pPr>
        <w:ind w:left="300" w:right="699" w:firstLine="360"/>
        <w:spacing w:after="0" w:line="261" w:lineRule="auto"/>
        <w:rPr>
          <w:sz w:val="20"/>
          <w:szCs w:val="20"/>
          <w:color w:val="auto"/>
        </w:rPr>
      </w:pPr>
      <w:r>
        <w:rPr>
          <w:rFonts w:ascii="Times New Roman" w:cs="Times New Roman" w:eastAsia="Times New Roman" w:hAnsi="Times New Roman"/>
          <w:sz w:val="18"/>
          <w:szCs w:val="18"/>
          <w:color w:val="auto"/>
        </w:rPr>
        <w:t>Mr. Ajer, has more than 25 years of biotechnology industry experience within rare disease and specialty medicine. Mr. Ajer currently serves as Executive Vice President and Chief Commercial Officer at BioMarin Pharmaceutical Inc. Mr. Ajer recently served on the board of directors of True North Therapeutics. Mr. Ajer has extensive knowledge and expertise of the biotechnology industry.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Diana M. Brainard, M.D.</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Dr. Brainard has more than 20 years of experience in the biopharmaceutical industry and academic medicine and has authored more than 200 publications. She currently serves as the Chief Executive Officer and a member of the board of directors of AlloVir, Inc., a public reporting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Robert B. Chess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Mr. Chess is our Chairman and former President and Chief Executive Officer and has a deep understanding of our business. Having founded and led private and public companies, Mr. Chess has strong experience leading growing companies in our industry. Due to his long association with the Company as a director and senior executive leader at various times, he possesses significant knowledge and perspective on the history and development of the Company. Mr. Chess is a prominent participant in our industry, was a long-time member of the board of our industry association, and is on the board of trustees and faculty of leading academic institutions.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Myriam J. Curet, M.D.</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Dr. Curet has over 20 years of experience in the biopharmaceutical industry and faculty positions, and currently serves as the Executive Vice President and Chief Medical Officer of Intuitive Surgical. Dr. Curet has held senior executive positions and has served as Vice President and Chief Medical Officer in November 2017, as the Chief Medical Advisor for Intuitive Surgical from December 2005 to February 2014 and as Intuitive Surgical’s Senior Vice President and Chief Medical Officer from February 2014 to November 2017. Dr. Curet also has a faculty position as Professor of Surgery at Stanford University School of Medicine. Since October 2010, she has served as a Consulting Professor of Surgery at Stanford University with a part time clinical appointment at the Palo Alto Veteran’s Administration Medical Center. She was also on the faculty at the University of New Mexico for six years prior to joining the Stanford University in 2000.</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Karin Eastham</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Ms. Eastham has held senior executive and finance positions in the biopharmaceutical industry and brings more than 35 years of experience as both an executive and independent director with significant experience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life sciences with particular expertise in both finance and operations. Ms. Eastham currently serves as a director of several other companies. As a result of her extensive experience, she brings strong expertise in finance, accounting, operations management, business development, and corporate governance.</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 Scott Greer</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Mr. Greer has a proven track record as an entrepreneur and senior executive with extensive experience in the biotechnology industry, most recently with Abgenix, Inc., until its acquisition by Amgen, Inc. in 2006. Mr. Greer has held senior executive and finance positions at other companies in our industry and currently serves as a director of several other companies in the biopharmaceutical and medical device industries and has served as the Chairman of the Board of several companies. He possesses strong expertise in biotech industry strategy, business models, and finance and has served on compensation, governance and audit committees.</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Mr. Robin is our President and Chief Executive Officer. Mr. Robin has over 25 years of experience in the pharmaceutical and biotechnology industries in a variety of roles of increasing responsibility and, prior to becoming our chief executive officer, was the chief executive officer and president and a director of Sirna Therapeutics, a development stage biotechnology company. The board of directors has determined that Mr. Robin’s position as president and chief executive officer provides him with important insight into the Company’s opportunities, risks, strengths and weaknesses, as well as its organizational and operational capabilities, which is valuable to the board of directors in making strategic decisions and performing its oversight responsibilities.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Roy A. Whitfield</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Mr. Whitfield has a strong strategy development and leadership background in the biotechnology and medical industries. He is a former strategy consultant from a major consulting firm, was the founder and chief executive officer of a public biotechnology company and has held executive positions in various segments of the health care industry. He has extensive corporate governance experience through his service on other public company boards in the pharmaceutical and life sciences industries.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diversity statistics as self-reported by the current members of our Board of Directors as of April 10, 2022.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3171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3171825"/>
                    </a:xfrm>
                    <a:prstGeom prst="rect">
                      <a:avLst/>
                    </a:prstGeom>
                    <a:noFill/>
                  </pic:spPr>
                </pic:pic>
              </a:graphicData>
            </a:graphic>
          </wp:anchor>
        </w:drawing>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Board Size:</w:t>
      </w:r>
    </w:p>
    <w:p>
      <w:pPr>
        <w:spacing w:after="0" w:line="79"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3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9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68"/>
        </w:trPr>
        <w:tc>
          <w:tcPr>
            <w:tcW w:w="37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5"/>
        </w:trPr>
        <w:tc>
          <w:tcPr>
            <w:tcW w:w="3740" w:type="dxa"/>
            <w:vAlign w:val="bottom"/>
            <w:tcBorders>
              <w:right w:val="single" w:sz="8" w:color="auto"/>
            </w:tcBorders>
            <w:shd w:val="clear" w:color="auto" w:fill="CCEEFF"/>
          </w:tcPr>
          <w:p>
            <w:pPr>
              <w:spacing w:after="0"/>
              <w:rPr>
                <w:sz w:val="22"/>
                <w:szCs w:val="22"/>
                <w:color w:val="auto"/>
              </w:rPr>
            </w:pPr>
          </w:p>
        </w:tc>
        <w:tc>
          <w:tcPr>
            <w:tcW w:w="960" w:type="dxa"/>
            <w:vAlign w:val="bottom"/>
            <w:tcBorders>
              <w:right w:val="single" w:sz="8" w:color="auto"/>
            </w:tcBorders>
            <w:shd w:val="clear" w:color="auto" w:fill="CCEEFF"/>
          </w:tcPr>
          <w:p>
            <w:pPr>
              <w:spacing w:after="0"/>
              <w:rPr>
                <w:sz w:val="22"/>
                <w:szCs w:val="22"/>
                <w:color w:val="auto"/>
              </w:rPr>
            </w:pPr>
          </w:p>
        </w:tc>
        <w:tc>
          <w:tcPr>
            <w:tcW w:w="800" w:type="dxa"/>
            <w:vAlign w:val="bottom"/>
            <w:tcBorders>
              <w:right w:val="single" w:sz="8" w:color="auto"/>
            </w:tcBorders>
            <w:shd w:val="clear" w:color="auto" w:fill="CCEEFF"/>
          </w:tcPr>
          <w:p>
            <w:pPr>
              <w:spacing w:after="0"/>
              <w:rPr>
                <w:sz w:val="22"/>
                <w:szCs w:val="22"/>
                <w:color w:val="auto"/>
              </w:rPr>
            </w:pPr>
          </w:p>
        </w:tc>
        <w:tc>
          <w:tcPr>
            <w:tcW w:w="1340" w:type="dxa"/>
            <w:vAlign w:val="bottom"/>
            <w:tcBorders>
              <w:right w:val="single" w:sz="8" w:color="auto"/>
            </w:tcBorders>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Did not</w:t>
            </w:r>
          </w:p>
        </w:tc>
        <w:tc>
          <w:tcPr>
            <w:tcW w:w="20" w:type="dxa"/>
            <w:vAlign w:val="bottom"/>
          </w:tcPr>
          <w:p>
            <w:pPr>
              <w:spacing w:after="0"/>
              <w:rPr>
                <w:sz w:val="22"/>
                <w:szCs w:val="22"/>
                <w:color w:val="auto"/>
              </w:rPr>
            </w:pPr>
          </w:p>
        </w:tc>
      </w:tr>
      <w:tr>
        <w:trPr>
          <w:trHeight w:val="238"/>
        </w:trPr>
        <w:tc>
          <w:tcPr>
            <w:tcW w:w="374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96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80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disclose Gender</w:t>
            </w:r>
          </w:p>
        </w:tc>
        <w:tc>
          <w:tcPr>
            <w:tcW w:w="20" w:type="dxa"/>
            <w:vAlign w:val="bottom"/>
          </w:tcPr>
          <w:p>
            <w:pPr>
              <w:spacing w:after="0"/>
              <w:rPr>
                <w:sz w:val="20"/>
                <w:szCs w:val="20"/>
                <w:color w:val="auto"/>
              </w:rPr>
            </w:pPr>
          </w:p>
        </w:tc>
      </w:tr>
      <w:tr>
        <w:trPr>
          <w:trHeight w:val="68"/>
        </w:trPr>
        <w:tc>
          <w:tcPr>
            <w:tcW w:w="3740" w:type="dxa"/>
            <w:vAlign w:val="bottom"/>
            <w:tcBorders>
              <w:bottom w:val="single" w:sz="8" w:color="auto"/>
              <w:right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directors based on gender identity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550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1340" w:type="dxa"/>
            <w:vAlign w:val="bottom"/>
            <w:tcBorders>
              <w:right w:val="single" w:sz="8" w:color="CCEEFF"/>
            </w:tcBorders>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3740" w:type="dxa"/>
            <w:vAlign w:val="bottom"/>
            <w:tcBorders>
              <w:bottom w:val="single" w:sz="8" w:color="auto"/>
              <w:right w:val="single" w:sz="8" w:color="CCEEFF"/>
            </w:tcBorders>
            <w:shd w:val="clear" w:color="auto" w:fill="CCEEFF"/>
          </w:tcPr>
          <w:p>
            <w:pPr>
              <w:spacing w:after="0"/>
              <w:rPr>
                <w:sz w:val="5"/>
                <w:szCs w:val="5"/>
                <w:color w:val="auto"/>
              </w:rPr>
            </w:pPr>
          </w:p>
        </w:tc>
        <w:tc>
          <w:tcPr>
            <w:tcW w:w="960" w:type="dxa"/>
            <w:vAlign w:val="bottom"/>
            <w:tcBorders>
              <w:bottom w:val="single" w:sz="8" w:color="auto"/>
              <w:right w:val="single" w:sz="8" w:color="CCEEFF"/>
            </w:tcBorders>
            <w:shd w:val="clear" w:color="auto" w:fill="CCEEFF"/>
          </w:tcPr>
          <w:p>
            <w:pPr>
              <w:spacing w:after="0"/>
              <w:rPr>
                <w:sz w:val="5"/>
                <w:szCs w:val="5"/>
                <w:color w:val="auto"/>
              </w:rPr>
            </w:pPr>
          </w:p>
        </w:tc>
        <w:tc>
          <w:tcPr>
            <w:tcW w:w="800" w:type="dxa"/>
            <w:vAlign w:val="bottom"/>
            <w:tcBorders>
              <w:bottom w:val="single" w:sz="8" w:color="auto"/>
              <w:right w:val="single" w:sz="8" w:color="CCEEFF"/>
            </w:tcBorders>
            <w:shd w:val="clear" w:color="auto" w:fill="CCEEFF"/>
          </w:tcPr>
          <w:p>
            <w:pPr>
              <w:spacing w:after="0"/>
              <w:rPr>
                <w:sz w:val="5"/>
                <w:szCs w:val="5"/>
                <w:color w:val="auto"/>
              </w:rPr>
            </w:pPr>
          </w:p>
        </w:tc>
        <w:tc>
          <w:tcPr>
            <w:tcW w:w="1340" w:type="dxa"/>
            <w:vAlign w:val="bottom"/>
            <w:tcBorders>
              <w:bottom w:val="single" w:sz="8" w:color="auto"/>
              <w:right w:val="single" w:sz="8" w:color="CCEEFF"/>
            </w:tcBorders>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Asian</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7"/>
        </w:trPr>
        <w:tc>
          <w:tcPr>
            <w:tcW w:w="37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Hispanic or Latinx</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White</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5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7"/>
        </w:trPr>
        <w:tc>
          <w:tcPr>
            <w:tcW w:w="37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r>
      <w:tr>
        <w:trPr>
          <w:trHeight w:val="68"/>
        </w:trPr>
        <w:tc>
          <w:tcPr>
            <w:tcW w:w="37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11"/>
        </w:trPr>
        <w:tc>
          <w:tcPr>
            <w:tcW w:w="3740" w:type="dxa"/>
            <w:vAlign w:val="bottom"/>
            <w:tcBorders>
              <w:bottom w:val="single" w:sz="8" w:color="CCEEFF"/>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LGBTQ+</w:t>
            </w:r>
          </w:p>
        </w:tc>
        <w:tc>
          <w:tcPr>
            <w:tcW w:w="9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CCEEFF"/>
            </w:tcBorders>
            <w:shd w:val="clear" w:color="auto" w:fill="CCEEFF"/>
          </w:tcPr>
          <w:p>
            <w:pPr>
              <w:spacing w:after="0"/>
              <w:rPr>
                <w:sz w:val="24"/>
                <w:szCs w:val="24"/>
                <w:color w:val="auto"/>
              </w:rPr>
            </w:pPr>
          </w:p>
        </w:tc>
        <w:tc>
          <w:tcPr>
            <w:tcW w:w="1340" w:type="dxa"/>
            <w:vAlign w:val="bottom"/>
            <w:tcBorders>
              <w:bottom w:val="single" w:sz="8" w:color="CCEEFF"/>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4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will consider any written or electronic communication from our stockholders to the board, a committee of the board or any individual director. Any stockholder who wishes to communicate to the board of directors, a committee of the board or any individual director should submit written or electronic communications to our Secretary at our principal executive offices, which shall include contact information for such stockholder. All communications from stockholders received will be forwarded by our Secretary to the board of directors, a committee of the board or an individual director, as appropriate, on a periodic basis, but in any event no later than the board of directors’ next scheduled meeting. The board of directors, a committee of the board, or individual directors, as appropriate, will consider and review carefully any communications from stockholders forwarded by our Secretary.</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t>
      </w:r>
      <w:r>
        <w:rPr>
          <w:rFonts w:ascii="Times New Roman" w:cs="Times New Roman" w:eastAsia="Times New Roman" w:hAnsi="Times New Roman"/>
          <w:sz w:val="17"/>
          <w:szCs w:val="17"/>
          <w:i w:val="1"/>
          <w:iCs w:val="1"/>
          <w:color w:val="auto"/>
        </w:rPr>
        <w:t>http://ir.nektar.com/governance</w:t>
      </w:r>
      <w:r>
        <w:rPr>
          <w:rFonts w:ascii="Times New Roman" w:cs="Times New Roman" w:eastAsia="Times New Roman" w:hAnsi="Times New Roman"/>
          <w:sz w:val="17"/>
          <w:szCs w:val="17"/>
          <w:color w:val="auto"/>
        </w:rPr>
        <w:t>.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317" w:lineRule="exact"/>
        <w:rPr>
          <w:sz w:val="20"/>
          <w:szCs w:val="20"/>
          <w:color w:val="auto"/>
        </w:rPr>
      </w:pPr>
    </w:p>
    <w:p>
      <w:pPr>
        <w:ind w:left="300" w:right="1659"/>
        <w:spacing w:after="0" w:line="286" w:lineRule="auto"/>
        <w:rPr>
          <w:sz w:val="20"/>
          <w:szCs w:val="20"/>
          <w:color w:val="auto"/>
        </w:rPr>
      </w:pPr>
      <w:r>
        <w:rPr>
          <w:rFonts w:ascii="Times New Roman" w:cs="Times New Roman" w:eastAsia="Times New Roman" w:hAnsi="Times New Roman"/>
          <w:sz w:val="18"/>
          <w:szCs w:val="18"/>
          <w:b w:val="1"/>
          <w:bCs w:val="1"/>
          <w:color w:val="auto"/>
        </w:rPr>
        <w:t>ORGANIZATION AND COMPENSATION COMMITTEE INTERLOCKS AND INSIDER PARTICIPATION</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As of December 2022, the Organization and Compensation Committee consisted of three independent directors: Mr. Greer, Dr. Curet, and Ms. Eastham. No director who served on the Organization and Compensation Committee in 2022 was, or has been, an officer or employee of us, nor has any director had any relationships requiring disclosure under the SEC rules regarding certain relationships and related-party transactions. None of our executive officers served on the board of directors or the Organization and Compensation Committee (or other board committee performing equivalent functions) of another entity, one of whose executive officers served on our board of directors or Organization and Compensation Committee.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TABLE—FISCAL 2022</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of our non-employee directors participates in our Amended and Restated Compensation Plan for Non-Employee Directors (the “Director Plan”). Only our non-employee directors are eligible to participate in the Director Plan. The following table shows compensation awarded or paid to our non-employee directors for the fiscal year ended December 31, 2022.</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vMerge w:val="continue"/>
          </w:tcPr>
          <w:p>
            <w:pPr>
              <w:spacing w:after="0"/>
              <w:rPr>
                <w:sz w:val="12"/>
                <w:szCs w:val="12"/>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51"/>
        </w:trPr>
        <w:tc>
          <w:tcPr>
            <w:tcW w:w="3340" w:type="dxa"/>
            <w:vAlign w:val="bottom"/>
            <w:gridSpan w:val="2"/>
            <w:vMerge w:val="continue"/>
          </w:tcPr>
          <w:p>
            <w:pPr>
              <w:spacing w:after="0"/>
              <w:rPr>
                <w:sz w:val="13"/>
                <w:szCs w:val="13"/>
                <w:color w:val="auto"/>
              </w:rPr>
            </w:pPr>
          </w:p>
        </w:tc>
        <w:tc>
          <w:tcPr>
            <w:tcW w:w="104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Cash ($)</w:t>
            </w: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3"/>
                <w:szCs w:val="13"/>
                <w:color w:val="auto"/>
              </w:rPr>
            </w:pPr>
          </w:p>
        </w:tc>
        <w:tc>
          <w:tcPr>
            <w:tcW w:w="940" w:type="dxa"/>
            <w:vAlign w:val="bottom"/>
          </w:tcPr>
          <w:p>
            <w:pPr>
              <w:ind w:left="300"/>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3"/>
                <w:szCs w:val="13"/>
                <w:color w:val="auto"/>
              </w:rPr>
            </w:pPr>
          </w:p>
        </w:tc>
        <w:tc>
          <w:tcPr>
            <w:tcW w:w="104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w:t>
            </w:r>
          </w:p>
        </w:tc>
        <w:tc>
          <w:tcPr>
            <w:tcW w:w="0" w:type="dxa"/>
            <w:vAlign w:val="bottom"/>
          </w:tcPr>
          <w:p>
            <w:pPr>
              <w:spacing w:after="0"/>
              <w:rPr>
                <w:sz w:val="1"/>
                <w:szCs w:val="1"/>
                <w:color w:val="auto"/>
              </w:rPr>
            </w:pP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Ajer</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93,250</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175,493</w:t>
            </w:r>
          </w:p>
        </w:tc>
        <w:tc>
          <w:tcPr>
            <w:tcW w:w="0" w:type="dxa"/>
            <w:vAlign w:val="bottom"/>
          </w:tcPr>
          <w:p>
            <w:pPr>
              <w:spacing w:after="0"/>
              <w:rPr>
                <w:sz w:val="1"/>
                <w:szCs w:val="1"/>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Brainard, M.D.</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Pr>
          <w:p>
            <w:pPr>
              <w:spacing w:after="0"/>
              <w:rPr>
                <w:sz w:val="23"/>
                <w:szCs w:val="23"/>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147,243</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Chess</w:t>
            </w:r>
          </w:p>
        </w:tc>
        <w:tc>
          <w:tcPr>
            <w:tcW w:w="9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131,500</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213,743</w:t>
            </w:r>
          </w:p>
        </w:tc>
        <w:tc>
          <w:tcPr>
            <w:tcW w:w="0" w:type="dxa"/>
            <w:vAlign w:val="bottom"/>
          </w:tcPr>
          <w:p>
            <w:pPr>
              <w:spacing w:after="0"/>
              <w:rPr>
                <w:sz w:val="1"/>
                <w:szCs w:val="1"/>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Myriam Curet, M.D.</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Pr>
          <w:p>
            <w:pPr>
              <w:spacing w:after="0"/>
              <w:rPr>
                <w:sz w:val="23"/>
                <w:szCs w:val="23"/>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158,243</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 Eastham</w:t>
            </w:r>
          </w:p>
        </w:tc>
        <w:tc>
          <w:tcPr>
            <w:tcW w:w="9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122,750</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204,993</w:t>
            </w:r>
          </w:p>
        </w:tc>
        <w:tc>
          <w:tcPr>
            <w:tcW w:w="0" w:type="dxa"/>
            <w:vAlign w:val="bottom"/>
          </w:tcPr>
          <w:p>
            <w:pPr>
              <w:spacing w:after="0"/>
              <w:rPr>
                <w:sz w:val="1"/>
                <w:szCs w:val="1"/>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Scott Greer</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115,500</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Pr>
          <w:p>
            <w:pPr>
              <w:spacing w:after="0"/>
              <w:rPr>
                <w:sz w:val="23"/>
                <w:szCs w:val="23"/>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23"/>
                <w:szCs w:val="23"/>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197,743</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A. Whitfield</w:t>
            </w:r>
          </w:p>
        </w:tc>
        <w:tc>
          <w:tcPr>
            <w:tcW w:w="9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126,750</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46,849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208,993</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-1456690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-1456690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-1456690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-1456690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-1456690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51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Robin, our President and Chief Executive Officer, is not included in this table as he was an employee of the Company in 2022 and received no additional compensation for his services in his capacity as a director. Please see the “Summary Compensation Table – Fiscal 2020-2022” for information regarding the compensation Mr. Robin received as our President and Chief Executive Officer.</w:t>
      </w:r>
    </w:p>
    <w:p>
      <w:pPr>
        <w:spacing w:after="0" w:line="14" w:lineRule="exact"/>
        <w:rPr>
          <w:rFonts w:ascii="Times New Roman" w:cs="Times New Roman" w:eastAsia="Times New Roman" w:hAnsi="Times New Roman"/>
          <w:sz w:val="14"/>
          <w:szCs w:val="14"/>
          <w:color w:val="auto"/>
        </w:rPr>
      </w:pPr>
    </w:p>
    <w:p>
      <w:pPr>
        <w:ind w:left="640" w:right="339" w:hanging="348"/>
        <w:spacing w:after="0" w:line="228"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RSU awards computed in accordance with Financial Accounting Standards Board Accounting Standards Codification Topic 718, Compensation-Stock Compensation (“FASB ASC Topic 718”), based on the closing price of the Company’s common stock on the grant date and excluding the effects of estimated forfeitures. For a complete description of the assumptions made in determining the valuation, please refer to Note 12 (Stock-Based Compensation) to our audited financial statements in our annual report on Form 10-K for the fiscal year ended December 31, 2022. Each of our then-serving non-employee directors received a grant of 10,200 RSUs for their annual RSU grant on September 16, 2022.. As of December 31, 2022, each of our non-employee directors had the following number of RSUs outstanding: Mr. Ajer: 10,200; Dr. Brainard: 22,440; Mr. Chess: 10,200; Dr. Curet: 10,200; Ms. Eastham: 10,200; Mr. Greer: 10,200; and Mr. Whitfield: 10,200.</w:t>
      </w:r>
    </w:p>
    <w:p>
      <w:pPr>
        <w:spacing w:after="0" w:line="18" w:lineRule="exact"/>
        <w:rPr>
          <w:rFonts w:ascii="Times New Roman" w:cs="Times New Roman" w:eastAsia="Times New Roman" w:hAnsi="Times New Roman"/>
          <w:sz w:val="14"/>
          <w:szCs w:val="14"/>
          <w:color w:val="auto"/>
        </w:rPr>
      </w:pPr>
    </w:p>
    <w:p>
      <w:pPr>
        <w:ind w:left="640" w:right="299" w:hanging="348"/>
        <w:spacing w:after="0" w:line="229"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option awards computed in accordance with FASB ASC Topic 718, which excludes the effects of estimated forfeitures. For a complete description of the assumptions made in determining the valuation, please refer to Note 12 (Stock-Based Compensation) to our audited financial statements in our annual report on Form 10-K for the fiscal year ended December 31, 2022. Each of our then-serving non-employee directors received a stock option for 20,400 shares for his or her annual stock option grant on September 16, 2022. As of December 31, 2022, each of our non-employee directors had the following number of stock options outstanding: Mr. Ajer:137,750; D. Brainard: 57,120; Mr. Chess: 136,500; Dr. M. Curet: 82,400; Ms. Eastham: 89,000; Mr. Greer: 124,000; and Mr. Whitfield: 136,500.</w:t>
      </w:r>
    </w:p>
    <w:p>
      <w:pPr>
        <w:spacing w:after="0" w:line="7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2022 compensation for the Company’s non-employee directors was recommended by the Organization and Compensation Committee to the Board following the receipt of a report from our independent compensation consultant, which in 2022 was Aon plc, which contained an analysis of prevailing market practices regarding levels and types of non-employee director compensation, including the non-employee director compensation practices of our 2022 peer group set forth below in the section entitled “Compensation Discussion and Analysis”, and a comparative assessment of our non-employee director compensation to such peers and market practices. On at least an annual basis, qualified experts deliver a presentation to the Organization and Compensation Committee about recent developments and best practices related to non-employee director compensation.</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January 1, 2022 the annual retainer for non-employee directors was $65,000 (“Annual Retainer”)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 to 13 board meetings in each calendar year, after which each member received compensation in the amount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$2,000 for attendance at each subsequent Board Meeting (whether in-person or remotely). In addition to the Annual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Retainer, the Chairperson of the Board of Directors received an additional annual retainer of $50,000 for a total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$115,000, and the Independent Lead Director of the Board of Directors received and additional annual retainer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$25,000 for a total of $90,000. The annual retainer amount was $33,000 for the Chair of the Audit Committee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$13,000 for members other than the Chair for up to 9 Audit Committee meetings in each calendar year, after which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member received compensation in the amount of $1,750 for attendance at each subsequent Audit Committee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meeting (whether in-person or remotely) in the calendar year, $26,000 for the Chair of the Compensation Committee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$11,000 for members other than the Chair of the Compensation Committee for up to 8 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Committee meetings in each calendar year, after which each member received compensation in the amount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$1,750 for attendance at each subsequent Compensation Committee meeting (whether in-person or remotely)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calendar year, $20,000 for the Chair of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Governance Committee and $9,000 for members other than the Chair of the Governance Committee for up to</w:t>
      </w:r>
    </w:p>
    <w:p>
      <w:pPr>
        <w:spacing w:after="0" w:line="27"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6 Governance Committee meetings in each calendar year, after which each member received compensation in the amount of $1,750 for attendance at each subsequent Governance Committee meeting (whether in-person or remotely) in the calendar year. The Chair and members of any new committees would receive an additional annual retainer of $5,000, unless otherwise specified in the resolutions duly forming such new committee.</w:t>
      </w:r>
    </w:p>
    <w:p>
      <w:pPr>
        <w:spacing w:after="0" w:line="8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In September of each year, each non-employee director is eligible to receive an equity award consisting of either all stock options or a combination of stock options and RSUs, as determined by the board of directors. These equity awards vest over a period of one year (monthly for stock options and upon the anniversary date for RSUs) and include a number of shares as determined annually by the board of directors. In September 2022 our then-serving non-employee directors received 20,400 stock options and 10,200 RSUs. Upon initial appointment to the board of directors, each non-employee director is eligible to receive an equity award consisting of either all stock options or a combination of stock options and RSUs. These initial equity awards vest over a period of three years from the date of appointment and will be at a level based on 180% of the most recent annual equity compensation grant to non-employee directors, as determined annually by the board of directors. The exercise price of stock options granted is equal to the closing price of the Company’s common stock on the grant date. Following completion of a non-employee director’s service on the board of directors, his or her stock options will remain exercisable for a period of eighteen months (or, if earlier, the end of the maximum term of the option). The term of stock options granted to non-employee directors is eight years. In the event of a change of control, the vesting of each option or RSU award held by each non-employee director will accelerate in full as of the closing of such transaction. In the event of death or disability, each RSU of the non-employee director will vest immediately. In the event a non-employee director retires from the board of directors at the next annual stockholder’s meeting, his or her RSU awards vest on a pro-rata basis.</w:t>
      </w:r>
    </w:p>
    <w:p>
      <w:pPr>
        <w:spacing w:after="0" w:line="8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Director Plan includes ownership guidelines for non-employee directors stating that each non-employee director should own shares of our common stock equal to at least three times the value of the annual board cash retainer. The minimum stock ownership level was to be achieved by each non-employee director within five years of the date of his or her first appointment to the board of directors. As of December 31, 2022, each non-employee director met the minimum stock ownership guidelines or was within the five-year grace period provided by the plan. Our 2017 Plan also limits the aggregate value of cash compensation and the grant date fair value (computed in accordance with generally accepted accounting principles) of shares of Common Stock that may be paid or granted during any calendar year to any non-employee director with a maximum of $1,200,000 for existing non-employee directors and $2,200,000 for new non-employee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following Compensation Discussion and Analysis is designed to provide our stockholders with an understanding of our executive compensation philosophy and decision-making process. Pursuant to the rules promulgated by the SEC, it discusses the principles underlying the structure of the compensation arrangements of our named executive officers (collectively, “NEOs”) identified in the table below. Unless noted otherwise, any reference within the Compensation Discussion and Analysis to decisions made by the board of directors refers to the decisions made by the independent members of the board of directors only.</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50"/>
        </w:trPr>
        <w:tc>
          <w:tcPr>
            <w:tcW w:w="2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r>
      <w:tr>
        <w:trPr>
          <w:trHeight w:val="27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5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Jillian B. Thomsen</w:t>
            </w:r>
            <w:r>
              <w:rPr>
                <w:rFonts w:ascii="Times New Roman" w:cs="Times New Roman" w:eastAsia="Times New Roman" w:hAnsi="Times New Roman"/>
                <w:sz w:val="29"/>
                <w:szCs w:val="29"/>
                <w:b w:val="1"/>
                <w:bCs w:val="1"/>
                <w:color w:val="auto"/>
                <w:vertAlign w:val="superscript"/>
              </w:rPr>
              <w:t>(1)</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tc>
      </w:tr>
      <w:tr>
        <w:trPr>
          <w:trHeight w:val="36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(2)</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3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Chief Research and Development Officer</w:t>
            </w:r>
          </w:p>
        </w:tc>
      </w:tr>
      <w:tr>
        <w:trPr>
          <w:trHeight w:val="45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Gil M. Labrucherie</w:t>
            </w:r>
            <w:r>
              <w:rPr>
                <w:rFonts w:ascii="Times New Roman" w:cs="Times New Roman" w:eastAsia="Times New Roman" w:hAnsi="Times New Roman"/>
                <w:sz w:val="29"/>
                <w:szCs w:val="29"/>
                <w:b w:val="1"/>
                <w:bCs w:val="1"/>
                <w:color w:val="auto"/>
                <w:vertAlign w:val="superscript"/>
              </w:rPr>
              <w:t>(3)</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Operating Officer and Chief Financial Officer</w:t>
            </w:r>
          </w:p>
        </w:tc>
      </w:tr>
      <w:tr>
        <w:trPr>
          <w:trHeight w:val="39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Northcott</w:t>
            </w:r>
            <w:r>
              <w:rPr>
                <w:rFonts w:ascii="Times New Roman" w:cs="Times New Roman" w:eastAsia="Times New Roman" w:hAnsi="Times New Roman"/>
                <w:sz w:val="29"/>
                <w:szCs w:val="29"/>
                <w:b w:val="1"/>
                <w:bCs w:val="1"/>
                <w:color w:val="auto"/>
                <w:vertAlign w:val="superscript"/>
              </w:rPr>
              <w:t>(4)</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5" w:lineRule="exact"/>
        <w:rPr>
          <w:sz w:val="20"/>
          <w:szCs w:val="20"/>
          <w:color w:val="auto"/>
        </w:rPr>
      </w:pPr>
    </w:p>
    <w:p>
      <w:pPr>
        <w:ind w:left="640" w:right="399" w:hanging="348"/>
        <w:spacing w:after="0" w:line="26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Thomsen was appointed our Chief Financial Officer and Chief Accounting Officer as of July 1, 2022. Ms. Thomsen previously served as our Senior Vice President, Finance, and Chief Accounting Officer.</w:t>
      </w: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was appointed our Chief Legal Officer as of July 1, 2022. Mr. Wilson previously served as our General Counsel.</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Labrucherie resigned as Chief Operating Officer and Chief Financial Officer on July 1, 2022.</w:t>
      </w:r>
    </w:p>
    <w:p>
      <w:pPr>
        <w:spacing w:after="0" w:line="41" w:lineRule="exact"/>
        <w:rPr>
          <w:rFonts w:ascii="Times New Roman" w:cs="Times New Roman" w:eastAsia="Times New Roman" w:hAnsi="Times New Roman"/>
          <w:sz w:val="14"/>
          <w:szCs w:val="14"/>
          <w:color w:val="auto"/>
        </w:rPr>
      </w:pPr>
    </w:p>
    <w:p>
      <w:pPr>
        <w:ind w:left="640" w:right="419" w:hanging="348"/>
        <w:spacing w:after="0" w:line="26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Northcott’s employment with the Company ended on June 30, 2022. From July 1, 2022, through to December 31, 2022, Mr. Northcott served as a consultant to the Company. As of January 1, 2023, Mr. Northcott no longer provides services to the Company.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We are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and unparalleled expertise in polymer chemistry to create innovative drug candidates and use our drug development expertise to advance these molecules through preclinical and clinical development.</w:t>
      </w:r>
    </w:p>
    <w:p>
      <w:pPr>
        <w:spacing w:after="0" w:line="7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Based on results from pre-planned analyses of two late-stage clinical studies of our drug candidate, bempegaldesleukin, in combination with our partner’s, Bristol-Myers Squibb Company’s (BMS’s) drug, Opdivo® (nivolumab), we and BMS announced on April 14, 2022, that the companies jointly decided to end the global clinical development program for the combination. We subsequently implemented new strategic reorganization and cost restructuring plans (together, the “2022 Restructuring Plan”) that were designed to enable the Company to have sufficient working capital to fund key research and development programs to value-enhancing data and other milestones without a need to raise external capital. Following termination of the bempegaldesleukin program, our leading drug development program, the Company focused on prioritizing our rezpegaldesleukin (previously referred to as NKTR-358) and NKTR-255 programs, and several earlier-stage core research programs. We believe these strategic changes were necessary in order in to build our remaining pipeline programs and to situate the Company in a position to allow for future growth and value creation to our shareholders. In April 2023, we announced a strategic reprioritization and cost restructuring plan (the “2023 Restructuring Plan”), which is intended to extend the Company’s cash runway to mid-2026. We believe continuing to advance our pipeline of clinical-stage immunomodulatory agents targeting the treatment of autoimmune diseases and cancer will deliver long-term value to our shareholders.</w:t>
      </w:r>
    </w:p>
    <w:p>
      <w:pPr>
        <w:spacing w:after="0" w:line="8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In autoimmune diseases, we focus on addressing imbalances in the immune system to restore the body’s self-tolerance mechanisms and to achieve immune homeostasis. Our investigational drug candidate rezpegaldesleukin is designed to increase the function of regulatory T cells, powerful inhibitory immune cells, in order to help rebalance the body’s immune system. Rezpegaldesleukin has advanced to Phase 2 development in various indications, including atopic dermatitis. On April 27, 2023, we announced that we would be regaining the full rights to rezpegaldesleukin from Eli Lilly. We plan to initiate a Phase 2b study of rezpegaldesleukin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patients with moderate-to-severe atopic dermatitis in 2023 as well explore other auto-immune indications for the development plan for rezpegaldesleukin. In oncology, we develop medicines designed to target biological pathways that stimulate and sustain the body’s immune response in order to fight cancer. NKTR-255 is an investigational biologic designed to stimulate the interleukin-15 pathway to enhance functional natural killer cell populations and to form long-term immunological memory, which may lead to sustained and durable anti-tumor immune response. Our development strategy for NKTR-255 is focused on three therapeutic areas: to enhance response to antibody-dependent cellular cytotoxicity mediated therapies by restoring natural killer cells, to improve CAR-T cell persistency in cellular therapies and to augment response to checkpoint inhibitors.</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Our dedicated employees, scientists, executive team and board of directors are committed to our mission to discover and develop novel therapies to treat autoimmune disorders and cancer and some of the significant accomplishments the Company achieved in 2022 are highlighted below:</w:t>
      </w:r>
    </w:p>
    <w:p>
      <w:pPr>
        <w:spacing w:after="0" w:line="68" w:lineRule="exact"/>
        <w:rPr>
          <w:sz w:val="20"/>
          <w:szCs w:val="20"/>
          <w:color w:val="auto"/>
        </w:rPr>
      </w:pPr>
    </w:p>
    <w:p>
      <w:pPr>
        <w:ind w:left="1000" w:right="379" w:hanging="348"/>
        <w:spacing w:after="0" w:line="255"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team rapidly developed, launched and successfully implemented the 2022 Restructuring Plan. To reflect the Company’s new strategic priorities, the Company’s workforce was reduced by approximately 70% and several changes to the management team were made, including the departure of Mr. Northcott, our former Chief Commercial Officer. In addition, we terminated all research and development activities at our facility in India, which we sold in December 2022, and consolidated our San Francisco operations into our Mission Bay Facility. We successfully subleased a portion of our Mission Bay Facility and we continue to seek additional subleases for the vacated spaces.</w:t>
      </w:r>
    </w:p>
    <w:p>
      <w:pPr>
        <w:spacing w:after="0" w:line="80"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mid-2022, we began our efforts to quickly and ethically wind down the bempegaldesleukin clinical trials. As part of these efforts, we designed and implemented a post-Trial Access Program, and as of September 2022, all patients have ended bempegaldesleukin treatment, have been transitioned to standard of care treatment, or enrolled in the Post Trial Access Program.</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continued to collaborate closely with Eli Lilly on the development of rezpegaldesleukin. In February 2023, we announced the topline data from the Phase 2 study of rezpegaldesleukin in patients with systemic lupus erythematosus (the “Phase 2 Lupus Study”). Although the Phase 2 Lupus Study did not meet its primary endpoint, we believe the Phase 2 Lupus Study results show that rezpegaldesleukin had a positive impact on disease activity in treated patients and support rezpegaldesleukin’s ability to expand regulatory T cells. In April 2023, we announced that we would be regaining the full rights to rezpegaldesleukin from Eli Lilly. We plan to initiate a Phase 2b study of rezpegaldesleukin in patients with moderate-to-severe atopic dermatitis in 2023 as well explore other auto-immune indications for the development plan for rezpegaldesleukin.</w:t>
      </w:r>
    </w:p>
    <w:p>
      <w:pPr>
        <w:spacing w:after="0" w:line="80"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executed a new strategy to pursue NKTR-255 as a potentiator in cellular therapies. We initiated two ongoing investigator sponsored studies to study the pharmacodynamics and safety of NKTR-255 in combination with CAR-T cell therapy. In December 2022, we initiated a Nektar-sponsored Phase 2/3 study (currently in the Phase 2 portion) to evaluate NKTR-255 following Yescarta® or Breyanzi® CD19 CAR-T cell therapy in patients with large B-cell lymphoma.</w:t>
      </w:r>
    </w:p>
    <w:p>
      <w:pPr>
        <w:spacing w:after="0" w:line="75" w:lineRule="exact"/>
        <w:rPr>
          <w:rFonts w:ascii="Times New Roman" w:cs="Times New Roman" w:eastAsia="Times New Roman" w:hAnsi="Times New Roman"/>
          <w:sz w:val="18"/>
          <w:szCs w:val="18"/>
          <w:color w:val="auto"/>
        </w:rPr>
      </w:pPr>
    </w:p>
    <w:p>
      <w:pPr>
        <w:ind w:left="1000" w:right="47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our research program focused on developing a tumor necrosis factor (TNF) receptor 2 (TNFR2) agonist antibody. TNFR2 signaling drives immunoregulatory function and can provide a direct protective effect for tissue cells. Our focus is on TNFR2 antibody candidates that show selective regulatory T cell binding and signaling profiles that may be developed for treatment of autoimmune diseases. In connection with this program, we are targeting our efforts to support the filing of an Investigational New Drug (IND) for a lead TNFR2 agonist antibody candidate.</w:t>
      </w:r>
    </w:p>
    <w:p>
      <w:pPr>
        <w:spacing w:after="0" w:line="79"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completed all of our commercial PEG manufacturing obligations despite the significant workforce reduction and continued global supply chain shortages.</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retained key executives whom we felt were critical to the successful execution of our 2022 Restructuring Plan.</w:t>
      </w:r>
    </w:p>
    <w:p>
      <w:pPr>
        <w:spacing w:after="0" w:line="53"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ended 2022 with approximately $505.0 million in cash and investments in marketable securities, and following implementation of the 2023 Restructuring Plan, we expect to extend our cash runway through the middle of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believe our business strategy has the potential to create significant value to our stockholders if one or more of our current drug candidates demonstrates positive clinical results, receives regulatory approval in one or more major markets and achieves commercial success.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and key to the successful execution of our strategy. Accordingly, we aim to attract and retain high-performing executives, and our executive officer compensation program is designed to reward achievement of business and strategic goals and to pay for performance. We also recognize that the biotechnology industry is characterized by high stock price volatility, uncertainty and intense competition and that the Company’s stock price at any given point in time may not be reflective of the Company’s accomplishments and performance over a sustained period. We use a variety of performance-based compensation elements, including long-term equity awards that have both time and performance-based vesting criteria and annual cash incentives that are based on both corporate performance and an individual’s performance, in order to align our NEO’s interests with those of our stockholders. We believe this incentivizes our management team to invest in and to develop strategies that will create long-term growth and value for our stockholders.</w:t>
      </w:r>
    </w:p>
    <w:p>
      <w:pPr>
        <w:spacing w:after="0" w:line="84"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In 2022, our board of directors and Organization and Compensation Committee took the following key compensation actions:</w:t>
      </w:r>
    </w:p>
    <w:p>
      <w:pPr>
        <w:spacing w:after="0" w:line="50" w:lineRule="exact"/>
        <w:rPr>
          <w:sz w:val="20"/>
          <w:szCs w:val="20"/>
          <w:color w:val="auto"/>
        </w:rPr>
      </w:pPr>
    </w:p>
    <w:p>
      <w:pPr>
        <w:jc w:val="both"/>
        <w:ind w:left="1000" w:right="379" w:hanging="348"/>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 No merit adjustments were made to executive base salaries for 2023. Following our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Plan, the 2023 base salaries for Ms. Thomsen and Mr. Wilson were increased to reflect their promotions and expanded responsibilities.</w:t>
      </w:r>
    </w:p>
    <w:p>
      <w:pPr>
        <w:spacing w:after="0" w:line="62"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cash incentives </w:t>
      </w:r>
      <w:r>
        <w:rPr>
          <w:rFonts w:ascii="Times New Roman" w:cs="Times New Roman" w:eastAsia="Times New Roman" w:hAnsi="Times New Roman"/>
          <w:sz w:val="18"/>
          <w:szCs w:val="18"/>
          <w:color w:val="auto"/>
        </w:rPr>
        <w:t>– Our NEOs receive annual cash incentives that are based on both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performance (as measured against predefined corporate objectives set annually by the board of directors). In connection with the 2022 Restructuring Plan, we did not make changes to the bonus structure for our executives and their performance continued to be assessed based on the original 2022 corporate objectives without mid-year modifications to the goals. We believe this aligns with our pay for performance philosophy and provides an assessment of management’s performance that is reflective of the Company’s overall annual performance.</w:t>
      </w:r>
    </w:p>
    <w:p>
      <w:pPr>
        <w:spacing w:after="0" w:line="74" w:lineRule="exact"/>
        <w:rPr>
          <w:rFonts w:ascii="Times New Roman" w:cs="Times New Roman" w:eastAsia="Times New Roman" w:hAnsi="Times New Roman"/>
          <w:sz w:val="18"/>
          <w:szCs w:val="18"/>
          <w:color w:val="auto"/>
        </w:rPr>
      </w:pPr>
    </w:p>
    <w:p>
      <w:pPr>
        <w:ind w:left="1000" w:right="359" w:hanging="348"/>
        <w:spacing w:after="0" w:line="259"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Alignment of annual bonus to corporate goal achievement </w:t>
      </w:r>
      <w:r>
        <w:rPr>
          <w:rFonts w:ascii="Times New Roman" w:cs="Times New Roman" w:eastAsia="Times New Roman" w:hAnsi="Times New Roman"/>
          <w:sz w:val="18"/>
          <w:szCs w:val="18"/>
          <w:color w:val="auto"/>
        </w:rPr>
        <w:t>– Beginning in 2021, in order to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align CEO performance with the performance of the Company, we directly aligned the CEO annual bonus with the corporate achievement rating determined by the board of directors. Additionally, for 2022, the annual bonus for all NEOs directly aligned with the corporate achievement rating, which was based on the original 2022 corporate objectives.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8"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Long-term Incentives </w:t>
      </w:r>
      <w:r>
        <w:rPr>
          <w:rFonts w:ascii="Times New Roman" w:cs="Times New Roman" w:eastAsia="Times New Roman" w:hAnsi="Times New Roman"/>
          <w:sz w:val="17"/>
          <w:szCs w:val="17"/>
          <w:color w:val="auto"/>
        </w:rPr>
        <w:t>– To continue alignment of our executives’ interests with those of our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to create appropriate incentives to ensure successful implementation of our 2022 Restructuring Plan, our Organization and Compensation Committee issued in August 2022 equity grants to certain of our executive officers. These equity grants effectively “pulled forward” the timing of any annual grants that would have otherwise been considered in December 2022 and enabled our executives to focus on our restructuring efforts. Similar to the equity grants historically granted during our annual performance review process, these equity grants contained both time-based and time and performance-based components, thereby aligning our executives’ interests with the continued development of our pipeline, which would be a critical catalyst to stockholder value creation. However, these grants did not include any relative TSR RSUs. Following our 2022 restructuring and given the current stage of our Company, the Organization and Compensation Committee determined that the granting of performance-based stock options and RSUs tied to the achievement of critical objective, development-based performance milestones instead of short-term stock value, would be more effective to align the interests of our NEOs with the long-term interests and goals of the Company and our stockholders. In 2022, no executive received any additional equity grants as part of our annual performance review process in December.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000" w:right="1320" w:hanging="348"/>
        <w:spacing w:after="0" w:line="255" w:lineRule="auto"/>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Alignment </w:t>
      </w:r>
      <w:r>
        <w:rPr>
          <w:rFonts w:ascii="Times New Roman" w:cs="Times New Roman" w:eastAsia="Times New Roman" w:hAnsi="Times New Roman"/>
          <w:sz w:val="18"/>
          <w:szCs w:val="18"/>
          <w:color w:val="auto"/>
        </w:rPr>
        <w:t>– We continued to evaluate the use of a peer group of publicly traded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biotechnology and pharmaceutical companies for the purpose of comparing our existing executive compensation levels and practices. As a result of the 2022 Restructuring Plan, the Organization and Compensation Committee, with input from our independent compensation consultant, decided to retain the peer group selected in 2021, and to focus on retention of key executives who were critical to the success of our 2022 Restructuring Plan. The Organization and Compensation Committee also believed that the retention of the 2021 peer group was appropriate as no merit adjustments to executive base compensation were made in 2022.</w:t>
      </w:r>
    </w:p>
    <w:p>
      <w:pPr>
        <w:spacing w:after="0" w:line="76" w:lineRule="exact"/>
        <w:rPr>
          <w:rFonts w:ascii="Times New Roman" w:cs="Times New Roman" w:eastAsia="Times New Roman" w:hAnsi="Times New Roman"/>
          <w:sz w:val="18"/>
          <w:szCs w:val="18"/>
          <w:color w:val="auto"/>
        </w:rPr>
      </w:pPr>
    </w:p>
    <w:p>
      <w:pPr>
        <w:ind w:left="2000" w:right="1320" w:hanging="348"/>
        <w:spacing w:after="0" w:line="262" w:lineRule="auto"/>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disclosures </w:t>
      </w:r>
      <w:r>
        <w:rPr>
          <w:rFonts w:ascii="Times New Roman" w:cs="Times New Roman" w:eastAsia="Times New Roman" w:hAnsi="Times New Roman"/>
          <w:sz w:val="18"/>
          <w:szCs w:val="18"/>
          <w:color w:val="auto"/>
        </w:rPr>
        <w:t>– In order to provide transparency for our stockholders and assist them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the alignment between NEO pay and performance of corporate objectives, we have continued to provide enhanced disclosures concerning long-term incentive and short-term incentive grants, including specific targets and achievements met by the Company.</w:t>
      </w:r>
    </w:p>
    <w:p>
      <w:pPr>
        <w:spacing w:after="0" w:line="3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How Our Pay Program Works</w:t>
      </w:r>
    </w:p>
    <w:p>
      <w:pPr>
        <w:spacing w:after="0" w:line="121" w:lineRule="exact"/>
        <w:rPr>
          <w:sz w:val="20"/>
          <w:szCs w:val="20"/>
          <w:color w:val="auto"/>
        </w:rPr>
      </w:pPr>
    </w:p>
    <w:p>
      <w:pPr>
        <w:ind w:left="1300" w:right="1320" w:firstLine="360"/>
        <w:spacing w:after="0" w:line="254" w:lineRule="auto"/>
        <w:rPr>
          <w:sz w:val="20"/>
          <w:szCs w:val="20"/>
          <w:color w:val="auto"/>
        </w:rPr>
      </w:pPr>
      <w:r>
        <w:rPr>
          <w:rFonts w:ascii="Times New Roman" w:cs="Times New Roman" w:eastAsia="Times New Roman" w:hAnsi="Times New Roman"/>
          <w:sz w:val="18"/>
          <w:szCs w:val="18"/>
          <w:color w:val="auto"/>
        </w:rPr>
        <w:t>We believe that the design and structure of our pay program, and in particular our incentive plans, supports our business strategy while successfully aligning executive focus and interests with those of our stockholders. The business achievements described above would not be possible without our talented executive team. We believe that each element chosen for our executive compensation program helps us to achieve our compensation objectives. For example, we believe that performance-based, short-term cash incentive opportunities in combination with performance-based, long-term equity incentive awards is the best way to align our executives’ interests with those of our stockholders. We also believe that the long-term vesting schedules applicable to equity awards also serve as a significant retention incentive as well as a focus on building long-term stockholder value.</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use the following framework to achieve our pay program objectives: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Base salaries are set to be competitive within our industry with</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 for, among other things, an individual’s responsibilities,</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 data and individual contribution.</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2022, no executive was awarded a merit increase to 2023 base cash</w:t>
            </w:r>
          </w:p>
        </w:tc>
      </w:tr>
      <w:tr>
        <w:trPr>
          <w:trHeight w:val="234"/>
        </w:trPr>
        <w:tc>
          <w:tcPr>
            <w:tcW w:w="39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as part of our annual performance review process.</w:t>
            </w:r>
          </w:p>
        </w:tc>
      </w:tr>
      <w:tr>
        <w:trPr>
          <w:trHeight w:val="630"/>
        </w:trPr>
        <w:tc>
          <w:tcPr>
            <w:tcW w:w="39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Annual Cash Incentives</w:t>
            </w: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incentives are intended to motivate and reward executives for the</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achievement of short-term goals that we believe contribute to the creation</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long-term stockholder value.</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2022, annual cash bonuses were awarded to NEOs based on the</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achievement of pre-established corporate goals, including</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development, research, commercial, manufacturing, and</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organizational and financial objectives, as well as any significant</w:t>
            </w:r>
          </w:p>
        </w:tc>
      </w:tr>
      <w:tr>
        <w:trPr>
          <w:trHeight w:val="234"/>
        </w:trPr>
        <w:tc>
          <w:tcPr>
            <w:tcW w:w="39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achievements outside of pre-established goals.</w:t>
            </w:r>
          </w:p>
        </w:tc>
      </w:tr>
      <w:tr>
        <w:trPr>
          <w:trHeight w:val="630"/>
        </w:trPr>
        <w:tc>
          <w:tcPr>
            <w:tcW w:w="39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Our long-term incentives are intended to motivate executives to deliver</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stockholder value and to retain our talented executive team.</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2022, equity grants were awarded as a mix of time-based (50%) and</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performance-based (50%) RSUs and stock options. In connection with our</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 Restructuring Plan, we “pulled forward” the timing of our annual</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grant from December to August. No executive received any</w:t>
            </w:r>
          </w:p>
        </w:tc>
      </w:tr>
      <w:tr>
        <w:trPr>
          <w:trHeight w:val="216"/>
        </w:trPr>
        <w:tc>
          <w:tcPr>
            <w:tcW w:w="39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equity grants as part of our annual year-end performance review</w:t>
            </w:r>
          </w:p>
        </w:tc>
      </w:tr>
      <w:tr>
        <w:trPr>
          <w:trHeight w:val="234"/>
        </w:trPr>
        <w:tc>
          <w:tcPr>
            <w:tcW w:w="39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process in December 2022.</w:t>
            </w:r>
          </w:p>
        </w:tc>
      </w:tr>
      <w:tr>
        <w:trPr>
          <w:trHeight w:val="486"/>
        </w:trPr>
        <w:tc>
          <w:tcPr>
            <w:tcW w:w="3920" w:type="dxa"/>
            <w:vAlign w:val="bottom"/>
          </w:tcPr>
          <w:p>
            <w:pPr>
              <w:spacing w:after="0"/>
              <w:rPr>
                <w:sz w:val="24"/>
                <w:szCs w:val="24"/>
                <w:color w:val="auto"/>
              </w:rPr>
            </w:pPr>
          </w:p>
        </w:tc>
        <w:tc>
          <w:tcPr>
            <w:tcW w:w="71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3920" w:type="dxa"/>
            <w:vAlign w:val="bottom"/>
            <w:tcBorders>
              <w:bottom w:val="single" w:sz="8" w:color="auto"/>
            </w:tcBorders>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Target Pay Mix</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Consistent with our pay for performance philosophy, we believe that the largest component of overall direct compensation for our NEOs should be performance-based; therefore, in 2022 approximately 87% of total direct compensation provided to our NEOs, on average, was tied to Company and individual performance objectives. We believe this is appropriate, as an executive’s ability to impact operational performance increases, so should the proportion of each individual’s at-risk compensation. Target long-term incentive compensation grows proportionately as job responsibilities increase, which encourages our NEOs to focus on the Company’s long-term success and long-term stockholder value creation. In 2022, approximately 90% of total target direct compensation to Mr. Robin was linked directly to the performance of the company (performance-based), and therefore not guaranteed.</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Company Performance and Executive Pay</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biotechnology industry is characterized by a higher risk profile and by more binary business outcomes than other, more traditional industries. This historically has led to high stock volatility for biotechnology companies. The graph below demonstrates that even with high levels of volatility in stock price, total compensation for Mr. Robin is generally aligned with our stock price performance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160020</wp:posOffset>
            </wp:positionV>
            <wp:extent cx="5117465" cy="27343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1746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Organization and Compensation Committee is responsible for oversight of our compensation program. A significant part of this oversight is aligning management interests with our business strategy and long-term goals, as well as the interests of our shareholders, while also mitigating excessive risk-taking. We continually take steps to strengthen and improve our executive compensation policies and practices. Highlights of our current practices include:</w:t>
      </w:r>
    </w:p>
    <w:p>
      <w:pPr>
        <w:sectPr>
          <w:pgSz w:w="11900" w:h="16838" w:orient="portrait"/>
          <w:cols w:equalWidth="0" w:num="1">
            <w:col w:w="9019"/>
          </w:cols>
          <w:pgMar w:left="1440" w:top="263" w:right="1440" w:bottom="1440" w:gutter="0" w:footer="0" w:header="0"/>
        </w:sectPr>
      </w:pPr>
    </w:p>
    <w:p>
      <w:pPr>
        <w:spacing w:after="0" w:line="14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26142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Deliver executive compensation primarily through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performance-based pay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Utilize equity awards of which a majority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performance-based and designed to deliver long term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Have a clawback policy covering cash and equity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incentive 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Conduct a regular peer group review</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a double trigger in our Change-in-Control (CIC)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severance plan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Have stock ownership guidelines applicable to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senior executive officers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Utilize independent compensation consulting firm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Conduct a regular review of share utilization for equity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Design our programs to mitigate undue risk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right="560"/>
        <w:spacing w:after="0" w:line="260" w:lineRule="auto"/>
        <w:rPr>
          <w:sz w:val="20"/>
          <w:szCs w:val="20"/>
          <w:color w:val="auto"/>
        </w:rPr>
      </w:pPr>
      <w:r>
        <w:rPr>
          <w:rFonts w:ascii="Times New Roman" w:cs="Times New Roman" w:eastAsia="Times New Roman" w:hAnsi="Times New Roman"/>
          <w:sz w:val="18"/>
          <w:szCs w:val="18"/>
          <w:color w:val="auto"/>
        </w:rPr>
        <w:t>Conduct an annual say-on-pay vote and regular shareholder outreach</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i w:val="1"/>
          <w:i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2606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transactions, share pledging, or short sales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or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 repricing of stock options without shareholder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excessive perquisites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39"/>
        <w:spacing w:after="0" w:line="250" w:lineRule="auto"/>
        <w:rPr>
          <w:sz w:val="20"/>
          <w:szCs w:val="20"/>
          <w:color w:val="auto"/>
        </w:rPr>
      </w:pPr>
      <w:r>
        <w:rPr>
          <w:rFonts w:ascii="Times New Roman" w:cs="Times New Roman" w:eastAsia="Times New Roman" w:hAnsi="Times New Roman"/>
          <w:sz w:val="18"/>
          <w:szCs w:val="18"/>
          <w:color w:val="auto"/>
        </w:rPr>
        <w:t>Provide funded pension or retirement plans (other than a matching contribution of up to $12,000 for 401(k) plan participants that we make available to all employees)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excise tax gross-ups on CIC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 vesting of equity awards on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 connection with a change of control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value of equity awards in severance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into fixed employment terms</w:t>
      </w:r>
    </w:p>
    <w:p>
      <w:pPr>
        <w:spacing w:after="0" w:line="1089" w:lineRule="exact"/>
        <w:rPr>
          <w:sz w:val="20"/>
          <w:szCs w:val="20"/>
          <w:color w:val="auto"/>
        </w:rPr>
      </w:pPr>
    </w:p>
    <w:p>
      <w:pPr>
        <w:sectPr>
          <w:pgSz w:w="11900" w:h="16838" w:orient="portrait"/>
          <w:cols w:equalWidth="0" w:num="2">
            <w:col w:w="4260" w:space="360"/>
            <w:col w:w="4399"/>
          </w:cols>
          <w:pgMar w:left="1440" w:top="263" w:right="1440" w:bottom="1440" w:gutter="0" w:footer="0" w:header="0"/>
          <w:type w:val="continuous"/>
        </w:sectPr>
      </w:pP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STOCKHOLDER SAY-ON-PAY VOTES AND ENGAGEMENT</w:t>
      </w:r>
    </w:p>
    <w:p>
      <w:pPr>
        <w:spacing w:after="0" w:line="121"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We provide our stockholders with the opportunity to cast an annual advisory vote to approve our executive compensation program (referred to as a “say-on-pay vote”). At our annual meeting of stockholders held in June 2022, approximately 83% of the votes present or represented voted in favor of the proposal. After considering the 2022 say-on-pay vote, the Organization and Compensation Committee reaffirmed the design and elements of our executive compensation program. As noted above, however, no executive received any new equity grant or merit increase to base cash compensation as part of our annual performance review process in 2022. The board of directors and the Organization and Compensation Committee will continue to consider the outcome of our say-on-pay proposals and direct stockholder feedback when making future compensation decisions for the NEOs.</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Engaging with our stockholders helps us to understand how they view us, assists in setting goals and expectations for our performance, and identifies any emerging issues that may affect our strategies, corporate governance, compensation practices or other aspects of our operations. Throughout the year, members of Investor Relations and other subject-matter experts within the Company engage with our stockholders to remain well-informed regarding their perspective on current issues, as well as to address any questions or concerns. These teams serve as liaisons between stockholders, members of senior management and the Board. Additionally, our stockholder and investor outreach includes investor road shows, analyst meetings, and investor conferences and meetings. We seek stockholder feedback on executive compensation, governance and other matters throughout the year, concentrating our efforts on our largest stockholders.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PROGRAM OBJECTIVES AND PHILOSOPHY</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order to continue the execution and growth of our business as described above, we believe that it is vital that we continue to retain and attract highly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the senior leadership is successful in building significant long-term value for our business and our stockholders.</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Our current compensation programs for the NEOs are determined and approved by the Organization and Compensation Committee of our board of directors. The Organization and Compensation Committee takes into account Mr. Robin’s recommendations regarding the compensatory arrangements for our executive officers, although Mr. Robin does not participate in the deliberations or determinations of his own compensation. The other NEOs did not have any substantive role in determining or recommending the form or amount of compensation paid to any of our executive officers. Our current executive compensation programs are intended to achieve the following four fundamental goals and objectives to:</w:t>
      </w:r>
    </w:p>
    <w:p>
      <w:pPr>
        <w:spacing w:after="0" w:line="81" w:lineRule="exact"/>
        <w:rPr>
          <w:sz w:val="20"/>
          <w:szCs w:val="20"/>
          <w:color w:val="auto"/>
        </w:rPr>
      </w:pPr>
    </w:p>
    <w:p>
      <w:pPr>
        <w:ind w:left="1000" w:right="65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and reward sustained long-term performance by aligning significant elements of executive compensation with long-term stockholder value creation;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an experienced, highly qualified and motivated executive management team to lead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economic rewards for achieving high levels of performance and individual contribution;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compensation that is competitive, taking into account the experience, skills and performance of the executives required to build and maintain the organization necessary to support our mission to be a leading research-based development stage biopharmaceutical company that discovers and develops innovative medicines in areas of high unmet medical need.</w:t>
      </w:r>
    </w:p>
    <w:p>
      <w:pPr>
        <w:spacing w:after="0" w:line="72"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When structuring our executive compensation programs designed to achieve our goals and objectives, we are guided by the following philosophies:</w:t>
      </w:r>
    </w:p>
    <w:p>
      <w:pPr>
        <w:spacing w:after="0" w:line="50" w:lineRule="exact"/>
        <w:rPr>
          <w:sz w:val="20"/>
          <w:szCs w:val="20"/>
          <w:color w:val="auto"/>
        </w:rPr>
      </w:pPr>
    </w:p>
    <w:p>
      <w:pPr>
        <w:ind w:left="1000" w:right="359" w:hanging="348"/>
        <w:spacing w:after="0" w:line="26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Alignment with Long-Term Stockholder Value Creation. </w:t>
      </w:r>
      <w:r>
        <w:rPr>
          <w:rFonts w:ascii="Times New Roman" w:cs="Times New Roman" w:eastAsia="Times New Roman" w:hAnsi="Times New Roman"/>
          <w:sz w:val="18"/>
          <w:szCs w:val="18"/>
          <w:color w:val="auto"/>
        </w:rPr>
        <w:t>Our compensation model is designed to align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economic interests of our executives with long-term stockholder value creation. Under our program, in 2022, 50% of the equity awards granted to our executive officers were performance-based equity awards that only vest if a performance condition is met.</w:t>
      </w:r>
    </w:p>
    <w:p>
      <w:pPr>
        <w:spacing w:after="0" w:line="68" w:lineRule="exact"/>
        <w:rPr>
          <w:rFonts w:ascii="Times New Roman" w:cs="Times New Roman" w:eastAsia="Times New Roman" w:hAnsi="Times New Roman"/>
          <w:sz w:val="18"/>
          <w:szCs w:val="18"/>
          <w:color w:val="auto"/>
        </w:rPr>
      </w:pPr>
    </w:p>
    <w:p>
      <w:pPr>
        <w:ind w:left="1000" w:right="419" w:hanging="348"/>
        <w:spacing w:after="0" w:line="25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 for Performance. </w:t>
      </w:r>
      <w:r>
        <w:rPr>
          <w:rFonts w:ascii="Times New Roman" w:cs="Times New Roman" w:eastAsia="Times New Roman" w:hAnsi="Times New Roman"/>
          <w:sz w:val="18"/>
          <w:szCs w:val="18"/>
          <w:color w:val="auto"/>
        </w:rPr>
        <w:t>The objective of our executive compensation program is to deliver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above industry median for exceptional performance and deliver compensation below the median in performance periods where the Company does not perform well. We will also link each NEOs’ annual merit equity award to an assessment of individual performance or the achievement of what we believe to be rigorous and objective performance achievement milestones or criteria (such as filing of an IND for an investigation drug candidate). In 2022, we did not award merit increases to base cash compensation.</w:t>
      </w:r>
    </w:p>
    <w:p>
      <w:pPr>
        <w:spacing w:after="0" w:line="74" w:lineRule="exact"/>
        <w:rPr>
          <w:rFonts w:ascii="Times New Roman" w:cs="Times New Roman" w:eastAsia="Times New Roman" w:hAnsi="Times New Roman"/>
          <w:sz w:val="18"/>
          <w:szCs w:val="18"/>
          <w:color w:val="auto"/>
        </w:rPr>
      </w:pPr>
    </w:p>
    <w:p>
      <w:pPr>
        <w:ind w:left="1000" w:right="639" w:hanging="348"/>
        <w:spacing w:after="0" w:line="291"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Total Rewards Program. </w:t>
      </w:r>
      <w:r>
        <w:rPr>
          <w:rFonts w:ascii="Times New Roman" w:cs="Times New Roman" w:eastAsia="Times New Roman" w:hAnsi="Times New Roman"/>
          <w:sz w:val="17"/>
          <w:szCs w:val="17"/>
          <w:color w:val="auto"/>
        </w:rPr>
        <w:t>The total compensation program must balance pay for performance elements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selected static non-performance-based elements in order to create a total rewards program that is competitive and will help us attract and retain highly qualified and motivated executives.</w:t>
      </w:r>
    </w:p>
    <w:p>
      <w:pPr>
        <w:spacing w:after="0" w:line="44" w:lineRule="exact"/>
        <w:rPr>
          <w:rFonts w:ascii="Times New Roman" w:cs="Times New Roman" w:eastAsia="Times New Roman" w:hAnsi="Times New Roman"/>
          <w:sz w:val="17"/>
          <w:szCs w:val="17"/>
          <w:color w:val="auto"/>
        </w:rPr>
      </w:pPr>
    </w:p>
    <w:p>
      <w:pPr>
        <w:jc w:val="both"/>
        <w:ind w:left="1000" w:right="919" w:hanging="348"/>
        <w:spacing w:after="0" w:line="317"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Flexible Approach. </w:t>
      </w:r>
      <w:r>
        <w:rPr>
          <w:rFonts w:ascii="Times New Roman" w:cs="Times New Roman" w:eastAsia="Times New Roman" w:hAnsi="Times New Roman"/>
          <w:sz w:val="17"/>
          <w:szCs w:val="17"/>
          <w:color w:val="auto"/>
        </w:rPr>
        <w:t>The level of compensation provided to executives must take into account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executive’s role, experience, tenure, performance and expected contributions to our future success.</w:t>
      </w:r>
    </w:p>
    <w:p>
      <w:pPr>
        <w:spacing w:after="0" w:line="23" w:lineRule="exact"/>
        <w:rPr>
          <w:rFonts w:ascii="Times New Roman" w:cs="Times New Roman" w:eastAsia="Times New Roman" w:hAnsi="Times New Roman"/>
          <w:sz w:val="17"/>
          <w:szCs w:val="17"/>
          <w:color w:val="auto"/>
        </w:rPr>
      </w:pPr>
    </w:p>
    <w:p>
      <w:pPr>
        <w:ind w:left="1000" w:right="319" w:hanging="348"/>
        <w:spacing w:after="0" w:line="26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Achievement of Fundamental Business Goals. </w:t>
      </w:r>
      <w:r>
        <w:rPr>
          <w:rFonts w:ascii="Times New Roman" w:cs="Times New Roman" w:eastAsia="Times New Roman" w:hAnsi="Times New Roman"/>
          <w:sz w:val="18"/>
          <w:szCs w:val="18"/>
          <w:color w:val="auto"/>
        </w:rPr>
        <w:t>The compensation program should be structured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that executives are appropriately incentivized to achieve our short- and long-term goals that are viewed as fundamental to driving long-term value in our business.</w:t>
      </w:r>
    </w:p>
    <w:p>
      <w:pPr>
        <w:spacing w:after="0" w:line="67"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We designed our total compensation program to combine short- and long-term components, cash and equity, and fixed and contingent payments, in proportions that we believe are appropriate to achieve each of our fundamental compensation philosophies as described above. It was our intent to design the structure of the compensation program to provide appropriate incentives to reward executives for achieving our long-term goals and objectives, some of the most important of which are building and advancing a robust drug candidate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pipeline, entering into new collaboration partnerships and executing on our current collaborations, increasing the skill level and efficiency of our organization and improving our financial position. We believe that our compensation program has helped us both recruit and retain superior executive talent to continue to build an organization capable of executing on our mission to become a leading research-based development stage biopharmaceutical company.</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ORGANIZATION AND COMPENSATION COMMITTEE</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Organization and Compensation Committee is responsible for establishing the compensation programs of the Company’s CEO and other NEOs. The Committee also administers the Company’s equity-based and performance-based compensation plans, including plans under which restricted stock and options are awarded. Accordingly, it is responsible for reviewing cash and equity incentives payable to executives and has the authority to grant restricted shares of Company Common Stock and options to purchase shares of the Company’s Common Stock to all participants under the Company’s equity award plans, and to determine all terms and conditions of such awards.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To aid the Organization and Compensation Committee in its responsibilities, our Chief Executive Officer provides the committee with recommendations relating to the performance and achievements of each of the NEOs (other than himself). The Organization and Compensation Committee gives considerable weight to the Chief Executive Officer’s performance evaluations of the other NEOs because he has direct knowledge of the criticality of their work, performance and contributions. The committee does not consult with any other executive officers with regard to its decisions. The Chief Executive Officer does not participate in the committee’s deliberations or decisions regarding his own compensation.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2022, the Organization and Compensation Committee continued to retain the services of Aon plc as its independent executive compensation consultant due to its extensive analytical and compensation expertise in our industry. In this capacity, Aon has advised the Organization and Compensation Committee on compensation matters related to the executive and director compensation programs including:</w:t>
      </w:r>
    </w:p>
    <w:p>
      <w:pPr>
        <w:spacing w:after="0" w:line="72"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director market pay analysis;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employee equity award framework;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when appropriate, suggesting changes to the compensation peer group;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refinement of executive pay programs and governance practices;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preparing this Compensation Discussion and Analysis and other proxy statement disclosures.</w:t>
      </w:r>
    </w:p>
    <w:p>
      <w:pPr>
        <w:spacing w:after="0" w:line="11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Additionally, the Company annually participates in Aon’s compensation surveys. The Organization and Compensation Committee has the sole authority to engage and terminate Aon’s services, as well as to approve its compensation. Aon makes recommendations to the committee but has no authority to make compensation decisions on behalf of the committee or the Company. Aon reported to the Organization and Compensation Committee and had direct access to the chairperson and the other members of the committee. Beyond data and advice related to executive and director compensation matters and equity plan design and assistance with the preparation of proxy statement disclosures, Aon did not provide any other consulting services to us in 2022.</w:t>
      </w:r>
    </w:p>
    <w:p>
      <w:pPr>
        <w:spacing w:after="0" w:line="8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Organization and Compensation Committee conducted a specific review of its relationship with Aon in 2022 and determined that Aon’s work did not raise any conflicts of interest. Aon’s work has conformed to the independence factors and guidance provided by the Dodd-Frank Wall Street Reform and Consumer Protection Act of 2010, the SEC and Nasdaq.</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MARKET DATA AND PEER GROUP ANALYSIS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We regularly review the compensation practices of our peers in response to the fast-moving nature of the biotechnology industry, including merger and acquisition activity, and changes in product pipeline and business stage. As a result of the Company having a combination of multiple drug candidates in diverse therapeutic areas, a mix of wholly-owned and partnered drug candidates, a technology platform with the potential to enable multiple drug candidates in future years, and a legacy proprietary manufacturing operation, it is very challenging to identify truly comparable companies. As a result of the 2022 Restructuring Plan, the Organization and Compensation Committee, with input from our independent compensation consultant, decided to retain the peer group selected in 2021 for 2022 and to focus on retention of key executives who were critical to the success of our 2022 Restructuring Plan. The Organization and Compensation Committee also believed that the retention of the 2021 peer group was appropriate as no merit adjustments to executive base compensation were made in 2022. Therefore, no changes to the peer group, which was established in 2021, were made in 2022. In determining an appropriate peer group, our committee worked with Aon to identify potential peers utilizing the following criteria for its review in June 2021:</w:t>
      </w:r>
    </w:p>
    <w:p>
      <w:pPr>
        <w:spacing w:after="0" w:line="67" w:lineRule="exact"/>
        <w:rPr>
          <w:sz w:val="20"/>
          <w:szCs w:val="20"/>
          <w:color w:val="auto"/>
        </w:rPr>
      </w:pPr>
    </w:p>
    <w:p>
      <w:pPr>
        <w:ind w:left="1000" w:right="419" w:hanging="348"/>
        <w:spacing w:after="0" w:line="28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Sector &amp; stage: </w:t>
      </w:r>
      <w:r>
        <w:rPr>
          <w:rFonts w:ascii="Times New Roman" w:cs="Times New Roman" w:eastAsia="Times New Roman" w:hAnsi="Times New Roman"/>
          <w:sz w:val="18"/>
          <w:szCs w:val="18"/>
          <w:color w:val="auto"/>
        </w:rPr>
        <w:t>public biopharmaceutical companies; commercial companies and late-stage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 capitalization: </w:t>
      </w:r>
      <w:r>
        <w:rPr>
          <w:rFonts w:ascii="Times New Roman" w:cs="Times New Roman" w:eastAsia="Times New Roman" w:hAnsi="Times New Roman"/>
          <w:sz w:val="18"/>
          <w:szCs w:val="18"/>
          <w:color w:val="auto"/>
        </w:rPr>
        <w:t>between 0.5x and 3.0x of our market capitalization at the time of review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up to $1B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Organizational complexity: </w:t>
      </w:r>
      <w:r>
        <w:rPr>
          <w:rFonts w:ascii="Times New Roman" w:cs="Times New Roman" w:eastAsia="Times New Roman" w:hAnsi="Times New Roman"/>
          <w:sz w:val="18"/>
          <w:szCs w:val="18"/>
          <w:color w:val="auto"/>
        </w:rPr>
        <w:t>up to 2,000 employees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the following peer group was retained for evaluating 2022 compensation decisions:</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ACADIA Pharmaceuticals,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Blueprint Medicines, Inc.</w:t>
            </w:r>
          </w:p>
        </w:tc>
        <w:tc>
          <w:tcPr>
            <w:tcW w:w="2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Neurocrine Biosciences, Inc.</w:t>
            </w:r>
          </w:p>
        </w:tc>
      </w:tr>
      <w:tr>
        <w:trPr>
          <w:trHeight w:val="216"/>
        </w:trPr>
        <w:tc>
          <w:tcPr>
            <w:tcW w:w="2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Agios Pharmaceuticals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Exelixis, Inc.</w:t>
            </w:r>
          </w:p>
        </w:tc>
        <w:tc>
          <w:tcPr>
            <w:tcW w:w="2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PTC Therapeutics, Inc.</w:t>
            </w:r>
          </w:p>
        </w:tc>
      </w:tr>
      <w:tr>
        <w:trPr>
          <w:trHeight w:val="216"/>
        </w:trPr>
        <w:tc>
          <w:tcPr>
            <w:tcW w:w="25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Alkermes,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FibroGen, Inc.</w:t>
            </w:r>
          </w:p>
        </w:tc>
        <w:tc>
          <w:tcPr>
            <w:tcW w:w="2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Sage Therapeutics</w:t>
            </w:r>
          </w:p>
        </w:tc>
      </w:tr>
      <w:tr>
        <w:trPr>
          <w:trHeight w:val="216"/>
        </w:trPr>
        <w:tc>
          <w:tcPr>
            <w:tcW w:w="25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BioMarin Pharmaceutical, Inc.</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Intercept Pharmaceuticals, Inc.</w:t>
            </w:r>
          </w:p>
        </w:tc>
        <w:tc>
          <w:tcPr>
            <w:tcW w:w="26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Sarepta Therapeutics, Inc.</w:t>
            </w:r>
          </w:p>
        </w:tc>
      </w:tr>
      <w:tr>
        <w:trPr>
          <w:trHeight w:val="234"/>
        </w:trPr>
        <w:tc>
          <w:tcPr>
            <w:tcW w:w="2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Bluebird Bio, Inc.</w:t>
            </w:r>
          </w:p>
        </w:tc>
        <w:tc>
          <w:tcPr>
            <w:tcW w:w="2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Ionis Pharmaceuticals, Inc.</w:t>
            </w:r>
          </w:p>
        </w:tc>
        <w:tc>
          <w:tcPr>
            <w:tcW w:w="26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Ultragenyx Pharmaceutical, Inc.</w:t>
            </w:r>
          </w:p>
        </w:tc>
      </w:tr>
    </w:tbl>
    <w:p>
      <w:pPr>
        <w:spacing w:after="0" w:line="14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Given that our peer group companies have different market capitalizations than the Company, the Organization and Compensation Committee also reviews equity and total direct compensation data for our executives against the compensation for similarly situated executives at peer companies contained in surveys. Although the Organization and Compensation Committee reviewed and discussed the compensation data for the peer group companies to help inform executive compensation decisions, it does not set compensation at any specific level or percentile based solely on the peer group data. The peer group data and general industry compensation survey data is used only as one reference point considered in making compensation decisions. Other factors considered include an assessment of individual and company performance, competitive market practices, the number of unvested stock options held by the executive and average exercise price (i.e., the retention value) of these options, the number of unvested RSUs and PSUs, the individual’s overall contributions, and stockholder dilution. However, we do not use a formula or assign a particular weight to any one factor in determining cash and equity award levels.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DESIGN AND ELEMENTS OF OUR COMPENSATION PROGRAM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2022, the executive compensation structure featured three primary elements:</w:t>
      </w:r>
    </w:p>
    <w:p>
      <w:pPr>
        <w:spacing w:after="0" w:line="117"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incentives, based on the Company’s achievement of pre-established corporate performance objectives as well as individual performance;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awarded as a mix of time- and performance-based RSUs and option grants.</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Historically, in December of each year, the Organization and Compensation Committee reviews and determines the executive compensation for the following year, including determining the base salary, target annual incentive opportunities, and equity grants. In 2022, in connection with the 2022 Restructuring Plan and new executive appointments, the Organization and Compensation Committee conducted an executive compensation review in July 2022. Using the above three elements as a foundation, the Organization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Compensation Committee consulted with Aon, its independent executive compensation consultant, to design a compensation program that provides appropriate incentives and opportunities to the executives, aligns the vesting and performance milestones for equity awards with the Company’s revised strategic plan, reflects the Company’s current research and clinical developments, and remains market-aligned with industry peer groups, among others. Each element of our compensation program is discussed further below.</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Base salary is the initial building block of compensation for the NEOs because it provides the executives with a specified basic level of cash compensation, which we believe is important to attract and retain highly skilled and experienced executives. The Organization and Compensation Committee determines base salaries by considering competitive pay practices, cost of labor and compensation trends, individual performance and promotions, level and scope of responsibility, experience and internal pay equity. However, the Organization and Compensation Committee does not use a formula or assign a particular weight to any one factor. Rather, the determination of base salary levels is subjective, and base salaries are set at levels that we believe to be reasonably competitive. Based on these factors, the Organization and Compensation Committee decided not to change executive base salaries for 2021 from 2020 levels. In 2021, the Organization and Compensation Committee made modest increases to the 2022 executive base salaries to reflect the increased executive responsibilities in connection with the growth of the Company in preparation for commercial readiness. In July 2022, the Organization and Compensation Committee reviewed the base salaries of the NEOs for 2023 and determined that no merit increases would be made to the base salaries of the NEOs for 2023. Ms. Thomsen, who previously served as our Senior Vice President, Finance and Chief Accounting Officer, was appointed our Chief Financial Officer as of July 1, 2022. Mr. Wilson, who previously served as our General Counsel, was appointed our Chief Legal Officer as of July 1, 2022. In connection with their new appointments, Ms. Thomsen and Mr. Wilson received a promotion-based increase to their respective base salaries to reflect their increased duties and responsibilities, which was made effective as of July 1, 2022.</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 to 2023</w:t>
            </w:r>
          </w:p>
        </w:tc>
        <w:tc>
          <w:tcPr>
            <w:tcW w:w="0" w:type="dxa"/>
            <w:vAlign w:val="bottom"/>
          </w:tcPr>
          <w:p>
            <w:pPr>
              <w:spacing w:after="0"/>
              <w:rPr>
                <w:sz w:val="1"/>
                <w:szCs w:val="1"/>
                <w:color w:val="auto"/>
              </w:rPr>
            </w:pPr>
          </w:p>
        </w:tc>
      </w:tr>
      <w:tr>
        <w:trPr>
          <w:trHeight w:val="190"/>
        </w:trPr>
        <w:tc>
          <w:tcPr>
            <w:tcW w:w="4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$1,053,000</w:t>
            </w: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$1,084,590</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$1,084,590</w:t>
            </w: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5"/>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Jillian B. Thomsen</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494,000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65"/>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683,000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703,490</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703,490</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Gil M. Labrucherie</w:t>
            </w:r>
            <w:r>
              <w:rPr>
                <w:rFonts w:ascii="Times New Roman" w:cs="Times New Roman" w:eastAsia="Times New Roman" w:hAnsi="Times New Roman"/>
                <w:sz w:val="29"/>
                <w:szCs w:val="29"/>
                <w:b w:val="1"/>
                <w:bCs w:val="1"/>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788,000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811,640</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Northcott</w:t>
            </w:r>
            <w:r>
              <w:rPr>
                <w:rFonts w:ascii="Times New Roman" w:cs="Times New Roman" w:eastAsia="Times New Roman" w:hAnsi="Times New Roman"/>
                <w:sz w:val="29"/>
                <w:szCs w:val="29"/>
                <w:b w:val="1"/>
                <w:bCs w:val="1"/>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695,250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-1397635</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-1397635</wp:posOffset>
            </wp:positionV>
            <wp:extent cx="137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-1397635</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-1397635</wp:posOffset>
            </wp:positionV>
            <wp:extent cx="1543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5" w:lineRule="exact"/>
        <w:rPr>
          <w:sz w:val="20"/>
          <w:szCs w:val="20"/>
          <w:color w:val="auto"/>
        </w:rPr>
      </w:pPr>
    </w:p>
    <w:p>
      <w:pPr>
        <w:ind w:left="640" w:right="39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Thomsen was appointed our Chief Financial Officer and Chief Accounting Officer as of July 1, 2022. Ms. Thomsen previously served as our Senior Vice President, Finance and Chief Accounting Officer and was not a NEO in 2021. Effective as of July 1, 2022, her base salary was increased to $550,000 in connection with her promotion.</w:t>
      </w:r>
    </w:p>
    <w:p>
      <w:pPr>
        <w:spacing w:after="0" w:line="14"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was appointed our Chief Legal Officer as of July 1, 2022. Mr. Wilson previously served as our General Counsel. Effective as of July 1, 2022, his base salary was increased to $540,000 in connection with his promotion.</w:t>
      </w:r>
    </w:p>
    <w:p>
      <w:pPr>
        <w:ind w:left="640" w:right="31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Labrucherie resigned as the Company’s Chief Operating Officer and Chief Financial Officer on July 1, 2022, and his employment with the Company terminated on July 15, 2022. Additional information regarding the compensation Mr. Labrucherie received in 2022 is reported in the Summary Compensation Table—Fiscal 2020-2022.</w:t>
      </w:r>
    </w:p>
    <w:p>
      <w:pPr>
        <w:spacing w:after="0" w:line="14"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Northcott’s employment with the Company ended on June 30, 2022. Additional information regarding the compensation Mr. Northcott received in 2022 is reported in the Summary Compensation Table—Fiscal 2020-2022.</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SHORT-TERM INCENTIVES</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We believe that our short-term incentive compensation program (“Incentive Compensation Plan”) rewards the achievement of important short-term objectives that advance us toward our long-term strategic objectives. Our Incentive Compensation Plan applies to all employees and all executive officers other than our Chief Executive Officer, Mr. Robin, who is subject to his own separate annual performance-based bonus compensation arrangement with a combination of corporate and personal objectives established and evaluated by the Organization and Compensation Committee pursuant to Mr. Robin’s amended and restated offer letter effective as of December 1, 2008. As in 2021, Mr. Robin’s bonus arrangement for 2022 was based on the same corporate objectives that we established under the Incentive Compensation Plan to greater align Mr. Robin’s short-term incentive compensation with the achievement of important short-term objectives of the Company. Consistent with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our compensation philosophy of paying for performance and maintaining a flexible approach, we use the Incentive Compensation Plan to incentivize the NEOs to achieve important corporate goals while at the same time encouraging and rewarding excellent individual performance by recognizing and rewarding differences in performance between individual executives.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2022 and 2021 Target Annual Incentive Opportunities</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NEOs were each assigned a target annual incentive for 2022 ranging from 60% to 100% of base salary. The target annual incentive opportunities are determined based on each NEO’s experience, scope of responsibilities, and potential impact on the Company’s performance and approved by the Organization and Compensation Committee. The table below shows the target annual incentive assigned by us to each NEO as of December 2022 both as a dollar amount and as a percentage of base salary.</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further discussed below, each NEO’s (excluding Mr. Robin’s) annual bonus is determined based on a combination of the corporate performance rating and individual performance. In 2021, we began to directly align the CEO’s annual bonus award with the Company’s corporate performance rating. As a result, Mr. Robin’s target annual incentives for 2021 and 2022 were set at 100%.</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2021 Target Annual Incentives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 Target Annual Incentives</w:t>
            </w:r>
          </w:p>
        </w:tc>
      </w:tr>
      <w:tr>
        <w:trPr>
          <w:trHeight w:val="50"/>
        </w:trPr>
        <w:tc>
          <w:tcPr>
            <w:tcW w:w="4240" w:type="dxa"/>
            <w:vAlign w:val="bottom"/>
            <w:gridSpan w:val="2"/>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27"/>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 of Base Salary)</w:t>
            </w:r>
          </w:p>
        </w:tc>
        <w:tc>
          <w:tcPr>
            <w:tcW w:w="19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i w:val="1"/>
                <w:iCs w:val="1"/>
                <w:color w:val="auto"/>
              </w:rPr>
              <w:t>(% of Base Salary)</w:t>
            </w:r>
          </w:p>
        </w:tc>
      </w:tr>
      <w:tr>
        <w:trPr>
          <w:trHeight w:val="51"/>
        </w:trPr>
        <w:tc>
          <w:tcPr>
            <w:tcW w:w="39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311"/>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90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100%</w:t>
            </w:r>
          </w:p>
        </w:tc>
      </w:tr>
      <w:tr>
        <w:trPr>
          <w:trHeight w:val="36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Jillian B. Thomsen</w:t>
            </w:r>
            <w:r>
              <w:rPr>
                <w:rFonts w:ascii="Times New Roman" w:cs="Times New Roman" w:eastAsia="Times New Roman" w:hAnsi="Times New Roman"/>
                <w:sz w:val="29"/>
                <w:szCs w:val="29"/>
                <w:b w:val="1"/>
                <w:bCs w:val="1"/>
                <w:color w:val="auto"/>
                <w:vertAlign w:val="superscript"/>
              </w:rPr>
              <w:t>(1)</w:t>
            </w:r>
          </w:p>
        </w:tc>
        <w:tc>
          <w:tcPr>
            <w:tcW w:w="2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60%</w:t>
            </w:r>
          </w:p>
        </w:tc>
      </w:tr>
      <w:tr>
        <w:trPr>
          <w:trHeight w:val="304"/>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A. Wilson</w:t>
            </w:r>
          </w:p>
        </w:tc>
        <w:tc>
          <w:tcPr>
            <w:tcW w:w="19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1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Pr>
          <w:p>
            <w:pPr>
              <w:spacing w:after="0"/>
              <w:rPr>
                <w:sz w:val="23"/>
                <w:szCs w:val="23"/>
                <w:color w:val="auto"/>
              </w:rPr>
            </w:pPr>
          </w:p>
        </w:tc>
        <w:tc>
          <w:tcPr>
            <w:tcW w:w="19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-830580</wp:posOffset>
            </wp:positionV>
            <wp:extent cx="2228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-830580</wp:posOffset>
            </wp:positionV>
            <wp:extent cx="2228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Thomsen was appointed our Chief Financial Officer and Chief Accounting Officer as of July 1, 2022. Ms. Thomsen previously served as our Senior Vice President, Finance and Chief Accounting Officer and was not an NEO in 2021.</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Performance Objectives</w:t>
      </w:r>
    </w:p>
    <w:p>
      <w:pPr>
        <w:spacing w:after="0" w:line="121" w:lineRule="exact"/>
        <w:rPr>
          <w:sz w:val="20"/>
          <w:szCs w:val="20"/>
          <w:color w:val="auto"/>
        </w:rPr>
      </w:pPr>
    </w:p>
    <w:p>
      <w:pPr>
        <w:ind w:left="300" w:right="519"/>
        <w:spacing w:after="0" w:line="254" w:lineRule="auto"/>
        <w:rPr>
          <w:sz w:val="20"/>
          <w:szCs w:val="20"/>
          <w:color w:val="auto"/>
        </w:rPr>
      </w:pPr>
      <w:r>
        <w:rPr>
          <w:rFonts w:ascii="Times New Roman" w:cs="Times New Roman" w:eastAsia="Times New Roman" w:hAnsi="Times New Roman"/>
          <w:sz w:val="18"/>
          <w:szCs w:val="18"/>
          <w:color w:val="auto"/>
        </w:rPr>
        <w:t>The board of directors established at the beginning of 2022 small number of important annual corporate goals that include clinical development, research, commercial, manufacturing, organizational and financial goals which we believe are essential to building long-term stockholder value. These goals are then used in our Incentive Compensation Plan to assess annual corporate performance. The relative weightings of these corporate goals are based upon our assessment of the importance of each goal in creating long-term value for the Company and our stockholders. If we achieve the target level of performance for all of the stated goals, the overall corporate performance rating should be approximately 100%. We endeavor to select corporate goals that, if met by management, represent significant levels of annual achievement, although we believe the long-term nature of our drug development business does not lend itself to over-weighting the importance of annual goals.</w:t>
      </w:r>
    </w:p>
    <w:p>
      <w:pPr>
        <w:spacing w:after="0" w:line="80"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Following the conclusion of the annual performance period in December of each year, the level of achievement for each corporate goal is assessed by the board of directors. The board of directors determines whether each corporate goal has been met, exceeded, or not satisfied. In addition, in assessing corporate performance, the determination of corporate performance may be adjusted upward or downward as deemed appropriate to factor in other significant corporate events, either negative or positive, that occurred during the performance period, but were not reflected in the corporate goals previously set by the board of directors. After taking into account the level of attainment of each corporate goal and such other corporate performance factors as the board of directors may determine appropriate in reviewing performance for a particular year, the board of directors assigns an overall corporate performance rating for the year, which may range from 0% to 200%. The Organization and Compensation Committee then confirms the corporate performance rating for purposes of the Incentive Compensation Plan. Historically, the total available bonus pool under the Incentive Compensation Plan is determined by multiplying the corporate performance rating by the aggregate target bonus of all eligible participants which includes nearly all of the Company’s full-time employees. The aggregate of all individual bonuses awarded under the plan cannot exceed the total available bonus pool so that the total cost of bonuses ultimately reflects our assessment of overall corporate performance and is not inflated by the sum of individual performance ratings. Mr. Robin does not participate in the final selection of the corporate goals or determination of the corporate performance rating.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60" w:firstLine="360"/>
        <w:spacing w:after="0" w:line="252" w:lineRule="auto"/>
        <w:rPr>
          <w:sz w:val="20"/>
          <w:szCs w:val="20"/>
          <w:color w:val="auto"/>
        </w:rPr>
      </w:pPr>
      <w:r>
        <w:rPr>
          <w:rFonts w:ascii="Times New Roman" w:cs="Times New Roman" w:eastAsia="Times New Roman" w:hAnsi="Times New Roman"/>
          <w:sz w:val="18"/>
          <w:szCs w:val="18"/>
          <w:color w:val="auto"/>
        </w:rPr>
        <w:t>After the corporate performance rating is determined, the individual performance of each NEO is reviewed by the Organization and Compensation Committee in consultation with. Mr. Robin (other than with respect to his own performance) in order to determine the appropriate individual performance percentage rating to be assigned to the executive for the performance period. Mr. Robin’s individual performance is separately reviewed by the Organization and Compensation Committee. Each NEO’s (excluding Mr. Robin’s) actual annual bonus is based on a combination of the corporate performance rating and individual performance. The Incentive Compensation Plan does not provide for a specific allocation or weighting between corporate and individual performance. The actual annual bonus awarded for each NEO (excluding Mr. Robin) is solely determined by the Organization and Compensation Committee based on criteria that includes an assessment of individual performance (as measured by Mr. Robin’s evaluation of the performance of each NEO) and company performance, and the maximum payout for each NEO could be up to 200% of his or her cash target annual incentive (or, by the same token, an individual executive’s award could be reduced to 0% based on individual performance regardless of the corporate performance rating). Mr. Robin’s annual bonus award is directly aligned and based on the corporate performance rating that is recommended by the Organization and Compensation Committee and approved by the board of directors, which may range from 0% to 200%. Given the dynamic nature of our business, new priorities continually emerge such that the Organization and Compensation Committee wishes to retain the flexibility to tie a varying portion of annual incentive payouts to the individual achievement of a range of objectives.</w:t>
      </w:r>
    </w:p>
    <w:p>
      <w:pPr>
        <w:spacing w:after="0" w:line="85" w:lineRule="exact"/>
        <w:rPr>
          <w:sz w:val="20"/>
          <w:szCs w:val="20"/>
          <w:color w:val="auto"/>
        </w:rPr>
      </w:pPr>
    </w:p>
    <w:p>
      <w:pPr>
        <w:ind w:left="1300" w:right="1320" w:firstLine="360"/>
        <w:spacing w:after="0" w:line="254" w:lineRule="auto"/>
        <w:rPr>
          <w:sz w:val="20"/>
          <w:szCs w:val="20"/>
          <w:color w:val="auto"/>
        </w:rPr>
      </w:pPr>
      <w:r>
        <w:rPr>
          <w:rFonts w:ascii="Times New Roman" w:cs="Times New Roman" w:eastAsia="Times New Roman" w:hAnsi="Times New Roman"/>
          <w:sz w:val="18"/>
          <w:szCs w:val="18"/>
          <w:color w:val="auto"/>
        </w:rPr>
        <w:t>In January 2022, the board of directors formally approved the 2022 corporate objectives (the “2022 Corporate Objectives”) set forth below. Several of the corporate objectives were connected to the outcome of the Company’s bempegaldesleukin clinical trials. As a result of the Company’s termination of the bempegaldesleukin program and the 2022 Restructuring Plan, the Company’s 2022 corporate performance rating was not considered in determining the annual bonuses awarded to the Company’s eligible non-executive employees under the Incentive Compensation Plan. However, the board of directors determined that the Company’s 2022 corporate performance rating, as measured against the 2022 Corporate Objectives, would continue to be used to calculate the annual bonus awards for each NEO, including Mr. Robin. We believe this aligns with our pay for performance philosophy and provides an assessment of management’s performance that is reflective of the Company’s overall annual performance.</w:t>
      </w:r>
    </w:p>
    <w:p>
      <w:pPr>
        <w:spacing w:after="0" w:line="80" w:lineRule="exact"/>
        <w:rPr>
          <w:sz w:val="20"/>
          <w:szCs w:val="20"/>
          <w:color w:val="auto"/>
        </w:rPr>
      </w:pPr>
    </w:p>
    <w:p>
      <w:pPr>
        <w:ind w:left="1300" w:right="1360" w:firstLine="360"/>
        <w:spacing w:after="0" w:line="282" w:lineRule="auto"/>
        <w:rPr>
          <w:sz w:val="20"/>
          <w:szCs w:val="20"/>
          <w:color w:val="auto"/>
        </w:rPr>
      </w:pPr>
      <w:r>
        <w:rPr>
          <w:rFonts w:ascii="Times New Roman" w:cs="Times New Roman" w:eastAsia="Times New Roman" w:hAnsi="Times New Roman"/>
          <w:sz w:val="18"/>
          <w:szCs w:val="18"/>
          <w:color w:val="auto"/>
        </w:rPr>
        <w:t>The 2022 Corporate Goals, relative weightings assigned to each of the categories of the objectives, whether the objectives were met, each category’s raw and weighted scores were as follows:</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2022 Corporate Objectives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Borders>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20" w:type="dxa"/>
            <w:vAlign w:val="bottom"/>
            <w:tcBorders>
              <w:top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3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tcBorders>
              <w:right w:val="single" w:sz="8" w:color="auto"/>
            </w:tcBorders>
            <w:vMerge w:val="restart"/>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Results</w:t>
            </w:r>
            <w:r>
              <w:rPr>
                <w:rFonts w:ascii="Times New Roman" w:cs="Times New Roman" w:eastAsia="Times New Roman" w:hAnsi="Times New Roman"/>
                <w:sz w:val="23"/>
                <w:szCs w:val="23"/>
                <w:b w:val="1"/>
                <w:bCs w:val="1"/>
                <w:color w:val="auto"/>
                <w:w w:val="97"/>
                <w:vertAlign w:val="superscript"/>
              </w:rPr>
              <w:t>(1)</w:t>
            </w: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132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vMerge w:val="continue"/>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vMerge w:val="continue"/>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Raw Score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Score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3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Acceptance​</w:t>
            </w:r>
          </w:p>
        </w:tc>
        <w:tc>
          <w:tcPr>
            <w:tcW w:w="2540" w:type="dxa"/>
            <w:vAlign w:val="bottom"/>
            <w:tcBorders>
              <w:right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of regulatory filings for</w:t>
            </w:r>
          </w:p>
        </w:tc>
        <w:tc>
          <w:tcPr>
            <w:tcW w:w="9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bempegaldesleukin in melanoma</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9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420" w:type="dxa"/>
            <w:vAlign w:val="bottom"/>
            <w:tcBorders>
              <w:bottom w:val="single" w:sz="8" w:color="auto"/>
              <w:right w:val="single" w:sz="8" w:color="auto"/>
            </w:tcBorders>
            <w:gridSpan w:val="3"/>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3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Bempegaldesleukin</w:t>
            </w:r>
          </w:p>
        </w:tc>
        <w:tc>
          <w:tcPr>
            <w:tcW w:w="560" w:type="dxa"/>
            <w:vAlign w:val="bottom"/>
            <w:tcBorders>
              <w:right w:val="single" w:sz="8" w:color="auto"/>
            </w:tcBorders>
          </w:tcPr>
          <w:p>
            <w:pPr>
              <w:spacing w:after="0"/>
              <w:rPr>
                <w:sz w:val="22"/>
                <w:szCs w:val="22"/>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Acceptance of regulatory filings for</w:t>
            </w:r>
          </w:p>
        </w:tc>
        <w:tc>
          <w:tcPr>
            <w:tcW w:w="9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3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bempegaldesleukin in renal cell carcinoma or</w:t>
            </w: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center"/>
              <w:ind w:right="179"/>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tc>
        <w:tc>
          <w:tcPr>
            <w:tcW w:w="920" w:type="dxa"/>
            <w:vAlign w:val="bottom"/>
            <w:tcBorders>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18"/>
                <w:szCs w:val="18"/>
                <w:color w:val="auto"/>
              </w:rPr>
              <w:t>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320" w:type="dxa"/>
            <w:vAlign w:val="bottom"/>
            <w:tcBorders>
              <w:right w:val="single" w:sz="8" w:color="auto"/>
            </w:tcBorders>
          </w:tcPr>
          <w:p>
            <w:pPr>
              <w:spacing w:after="0"/>
              <w:rPr>
                <w:sz w:val="23"/>
                <w:szCs w:val="23"/>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Regulatory</w:t>
            </w:r>
          </w:p>
        </w:tc>
        <w:tc>
          <w:tcPr>
            <w:tcW w:w="560" w:type="dxa"/>
            <w:vAlign w:val="bottom"/>
            <w:tcBorders>
              <w:right w:val="single" w:sz="8" w:color="auto"/>
            </w:tcBorders>
            <w:vMerge w:val="continue"/>
          </w:tcPr>
          <w:p>
            <w:pPr>
              <w:spacing w:after="0"/>
              <w:rPr>
                <w:sz w:val="23"/>
                <w:szCs w:val="23"/>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bladder cancer</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920" w:type="dxa"/>
            <w:vAlign w:val="bottom"/>
            <w:tcBorders>
              <w:right w:val="single" w:sz="8" w:color="auto"/>
            </w:tcBorders>
            <w:vMerge w:val="continue"/>
          </w:tcPr>
          <w:p>
            <w:pPr>
              <w:spacing w:after="0"/>
              <w:rPr>
                <w:sz w:val="23"/>
                <w:szCs w:val="23"/>
                <w:color w:val="auto"/>
              </w:rPr>
            </w:pPr>
          </w:p>
        </w:tc>
        <w:tc>
          <w:tcPr>
            <w:tcW w:w="920" w:type="dxa"/>
            <w:vAlign w:val="bottom"/>
            <w:tcBorders>
              <w:right w:val="single" w:sz="8" w:color="auto"/>
            </w:tcBorders>
            <w:vMerge w:val="continue"/>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132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420" w:type="dxa"/>
            <w:vAlign w:val="bottom"/>
            <w:tcBorders>
              <w:bottom w:val="single" w:sz="8" w:color="auto"/>
              <w:right w:val="single" w:sz="8" w:color="auto"/>
            </w:tcBorders>
            <w:gridSpan w:val="3"/>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13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Complete regulatory inspections in</w:t>
            </w:r>
          </w:p>
        </w:tc>
        <w:tc>
          <w:tcPr>
            <w:tcW w:w="9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connection with the bempegaldesleukin</w:t>
            </w: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25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9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162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gridSpan w:val="2"/>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3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2800" w:type="dxa"/>
            <w:vAlign w:val="bottom"/>
            <w:tcBorders>
              <w:right w:val="single" w:sz="8" w:color="auto"/>
            </w:tcBorders>
            <w:gridSpan w:val="2"/>
          </w:tcPr>
          <w:p>
            <w:pPr>
              <w:jc w:val="right"/>
              <w:ind w:right="1076"/>
              <w:spacing w:after="0"/>
              <w:rPr>
                <w:sz w:val="20"/>
                <w:szCs w:val="20"/>
                <w:color w:val="auto"/>
              </w:rPr>
            </w:pPr>
            <w:r>
              <w:rPr>
                <w:rFonts w:ascii="Times New Roman" w:cs="Times New Roman" w:eastAsia="Times New Roman" w:hAnsi="Times New Roman"/>
                <w:sz w:val="18"/>
                <w:szCs w:val="18"/>
                <w:color w:val="auto"/>
                <w:w w:val="98"/>
              </w:rPr>
              <w:t>objectives that achieve</w:t>
            </w:r>
          </w:p>
        </w:tc>
        <w:tc>
          <w:tcPr>
            <w:tcW w:w="9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bempegaldesleukin commercial readiness in</w:t>
            </w: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Commercial</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the U.S.</w:t>
            </w:r>
          </w:p>
        </w:tc>
        <w:tc>
          <w:tcPr>
            <w:tcW w:w="26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0.5 – 0.7</w:t>
            </w:r>
            <w:r>
              <w:rPr>
                <w:rFonts w:ascii="Times New Roman" w:cs="Times New Roman" w:eastAsia="Times New Roman" w:hAnsi="Times New Roman"/>
                <w:sz w:val="29"/>
                <w:szCs w:val="29"/>
                <w:color w:val="auto"/>
                <w:w w:val="93"/>
                <w:vertAlign w:val="superscript"/>
              </w:rPr>
              <w:t>(3)</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0.05 – 0.07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Readiness</w:t>
            </w:r>
          </w:p>
        </w:tc>
        <w:tc>
          <w:tcPr>
            <w:tcW w:w="560" w:type="dxa"/>
            <w:vAlign w:val="bottom"/>
            <w:tcBorders>
              <w:right w:val="single" w:sz="8" w:color="auto"/>
            </w:tcBorders>
            <w:vMerge w:val="continue"/>
          </w:tcPr>
          <w:p>
            <w:pPr>
              <w:spacing w:after="0"/>
              <w:rPr>
                <w:sz w:val="12"/>
                <w:szCs w:val="12"/>
                <w:color w:val="auto"/>
              </w:rPr>
            </w:pPr>
          </w:p>
        </w:tc>
        <w:tc>
          <w:tcPr>
            <w:tcW w:w="34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Various objectives that achieve</w:t>
            </w:r>
          </w:p>
        </w:tc>
        <w:tc>
          <w:tcPr>
            <w:tcW w:w="9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32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342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32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420" w:type="dxa"/>
            <w:vAlign w:val="bottom"/>
            <w:tcBorders>
              <w:right w:val="single" w:sz="8" w:color="auto"/>
            </w:tcBorders>
            <w:gridSpan w:val="3"/>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bempegaldesleukin commercial readiness in</w:t>
            </w:r>
          </w:p>
        </w:tc>
        <w:tc>
          <w:tcPr>
            <w:tcW w:w="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the E.U.</w:t>
            </w:r>
          </w:p>
        </w:tc>
        <w:tc>
          <w:tcPr>
            <w:tcW w:w="26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5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1640" w:type="dxa"/>
            <w:vAlign w:val="bottom"/>
            <w:tcBorders>
              <w:top w:val="single" w:sz="8" w:color="auto"/>
              <w:left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760" w:type="dxa"/>
            <w:vAlign w:val="bottom"/>
            <w:tcBorders>
              <w:top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20" w:type="dxa"/>
            <w:vAlign w:val="bottom"/>
            <w:tcBorders>
              <w:top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Borders>
              <w:right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Results</w:t>
            </w:r>
            <w:r>
              <w:rPr>
                <w:rFonts w:ascii="Times New Roman" w:cs="Times New Roman" w:eastAsia="Times New Roman" w:hAnsi="Times New Roman"/>
                <w:sz w:val="23"/>
                <w:szCs w:val="23"/>
                <w:b w:val="1"/>
                <w:bCs w:val="1"/>
                <w:color w:val="auto"/>
                <w:w w:val="97"/>
                <w:vertAlign w:val="superscript"/>
              </w:rPr>
              <w:t>(1)</w:t>
            </w: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41"/>
        </w:trPr>
        <w:tc>
          <w:tcPr>
            <w:tcW w:w="16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60" w:type="dxa"/>
            <w:vAlign w:val="bottom"/>
            <w:tcBorders>
              <w:bottom w:val="single" w:sz="8" w:color="auto"/>
              <w:right w:val="single" w:sz="8" w:color="auto"/>
            </w:tcBorders>
            <w:vMerge w:val="continue"/>
          </w:tcPr>
          <w:p>
            <w:pPr>
              <w:spacing w:after="0"/>
              <w:rPr>
                <w:sz w:val="20"/>
                <w:szCs w:val="20"/>
                <w:color w:val="auto"/>
              </w:rPr>
            </w:pPr>
          </w:p>
        </w:tc>
        <w:tc>
          <w:tcPr>
            <w:tcW w:w="960" w:type="dxa"/>
            <w:vAlign w:val="bottom"/>
            <w:tcBorders>
              <w:bottom w:val="single" w:sz="8" w:color="auto"/>
              <w:right w:val="single" w:sz="8" w:color="auto"/>
            </w:tcBorders>
            <w:vMerge w:val="continue"/>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Raw Score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Score</w:t>
            </w:r>
          </w:p>
        </w:tc>
        <w:tc>
          <w:tcPr>
            <w:tcW w:w="0" w:type="dxa"/>
            <w:vAlign w:val="bottom"/>
          </w:tcPr>
          <w:p>
            <w:pPr>
              <w:spacing w:after="0"/>
              <w:rPr>
                <w:sz w:val="1"/>
                <w:szCs w:val="1"/>
                <w:color w:val="auto"/>
              </w:rPr>
            </w:pPr>
          </w:p>
        </w:tc>
      </w:tr>
      <w:tr>
        <w:trPr>
          <w:trHeight w:val="259"/>
        </w:trPr>
        <w:tc>
          <w:tcPr>
            <w:tcW w:w="1640" w:type="dxa"/>
            <w:vAlign w:val="bottom"/>
            <w:tcBorders>
              <w:left w:val="single" w:sz="8" w:color="auto"/>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Advance​</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enrollment for a registrational study</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(b)</w:t>
            </w:r>
            <w:r>
              <w:rPr>
                <w:rFonts w:ascii="Times New Roman" w:cs="Times New Roman" w:eastAsia="Times New Roman" w:hAnsi="Times New Roman"/>
                <w:sz w:val="29"/>
                <w:szCs w:val="29"/>
                <w:color w:val="auto"/>
                <w:w w:val="91"/>
                <w:vertAlign w:val="superscript"/>
              </w:rPr>
              <w:t>(4)</w:t>
            </w: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640" w:type="dxa"/>
            <w:vAlign w:val="bottom"/>
            <w:tcBorders>
              <w:left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of bempegaldesleukin in lung cancer</w:t>
            </w:r>
          </w:p>
        </w:tc>
        <w:tc>
          <w:tcPr>
            <w:tcW w:w="960" w:type="dxa"/>
            <w:vAlign w:val="bottom"/>
            <w:tcBorders>
              <w:bottom w:val="single" w:sz="8" w:color="auto"/>
              <w:right w:val="single" w:sz="8" w:color="auto"/>
            </w:tcBorders>
            <w:vMerge w:val="continue"/>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40" w:type="dxa"/>
            <w:vAlign w:val="bottom"/>
            <w:tcBorders>
              <w:left w:val="single" w:sz="8" w:color="auto"/>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Advance enrollment for a registrational study</w:t>
            </w:r>
          </w:p>
        </w:tc>
        <w:tc>
          <w:tcPr>
            <w:tcW w:w="9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Clinical</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of bempegaldesleukin in head and neck</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4"/>
              </w:rPr>
              <w:t>(c)</w:t>
            </w:r>
            <w:r>
              <w:rPr>
                <w:rFonts w:ascii="Times New Roman" w:cs="Times New Roman" w:eastAsia="Times New Roman" w:hAnsi="Times New Roman"/>
                <w:sz w:val="29"/>
                <w:szCs w:val="29"/>
                <w:color w:val="auto"/>
                <w:w w:val="84"/>
                <w:vertAlign w:val="superscript"/>
              </w:rPr>
              <w:t>(2)</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0.72 – 0.80</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0.18 – 0.20</w:t>
            </w:r>
          </w:p>
        </w:tc>
        <w:tc>
          <w:tcPr>
            <w:tcW w:w="0" w:type="dxa"/>
            <w:vAlign w:val="bottom"/>
          </w:tcPr>
          <w:p>
            <w:pPr>
              <w:spacing w:after="0"/>
              <w:rPr>
                <w:sz w:val="1"/>
                <w:szCs w:val="1"/>
                <w:color w:val="auto"/>
              </w:rPr>
            </w:pPr>
          </w:p>
        </w:tc>
      </w:tr>
      <w:tr>
        <w:trPr>
          <w:trHeight w:val="93"/>
        </w:trPr>
        <w:tc>
          <w:tcPr>
            <w:tcW w:w="1640" w:type="dxa"/>
            <w:vAlign w:val="bottom"/>
            <w:tcBorders>
              <w:left w:val="single" w:sz="8" w:color="auto"/>
              <w:right w:val="single" w:sz="8" w:color="auto"/>
            </w:tcBorders>
            <w:vMerge w:val="continue"/>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80" w:type="dxa"/>
            <w:vAlign w:val="bottom"/>
          </w:tcPr>
          <w:p>
            <w:pPr>
              <w:spacing w:after="0"/>
              <w:rPr>
                <w:sz w:val="8"/>
                <w:szCs w:val="8"/>
                <w:color w:val="auto"/>
              </w:rPr>
            </w:pPr>
          </w:p>
        </w:tc>
        <w:tc>
          <w:tcPr>
            <w:tcW w:w="27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Development</w:t>
            </w:r>
          </w:p>
        </w:tc>
        <w:tc>
          <w:tcPr>
            <w:tcW w:w="560" w:type="dxa"/>
            <w:vAlign w:val="bottom"/>
            <w:tcBorders>
              <w:right w:val="single" w:sz="8" w:color="auto"/>
            </w:tcBorders>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40" w:type="dxa"/>
            <w:vAlign w:val="bottom"/>
            <w:tcBorders>
              <w:left w:val="single" w:sz="8" w:color="auto"/>
              <w:right w:val="single" w:sz="8" w:color="auto"/>
            </w:tcBorders>
            <w:vMerge w:val="continue"/>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640" w:type="dxa"/>
            <w:vAlign w:val="bottom"/>
            <w:tcBorders>
              <w:left w:val="single" w:sz="8" w:color="auto"/>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Advance enrollment for a registrational study</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4"/>
              </w:rPr>
              <w:t>(a)</w:t>
            </w:r>
            <w:r>
              <w:rPr>
                <w:rFonts w:ascii="Times New Roman" w:cs="Times New Roman" w:eastAsia="Times New Roman" w:hAnsi="Times New Roman"/>
                <w:sz w:val="29"/>
                <w:szCs w:val="29"/>
                <w:color w:val="auto"/>
                <w:w w:val="84"/>
                <w:vertAlign w:val="superscript"/>
              </w:rPr>
              <w:t>(5)</w:t>
            </w: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640" w:type="dxa"/>
            <w:vAlign w:val="bottom"/>
            <w:tcBorders>
              <w:left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of bempegaldesleukin in melanoma</w:t>
            </w:r>
          </w:p>
        </w:tc>
        <w:tc>
          <w:tcPr>
            <w:tcW w:w="960" w:type="dxa"/>
            <w:vAlign w:val="bottom"/>
            <w:tcBorders>
              <w:bottom w:val="single" w:sz="8" w:color="auto"/>
              <w:right w:val="single" w:sz="8" w:color="auto"/>
            </w:tcBorders>
            <w:vMerge w:val="continue"/>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Advance clinical studies of NKTR-255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4"/>
              </w:rPr>
              <w:t>(a)</w:t>
            </w:r>
            <w:r>
              <w:rPr>
                <w:rFonts w:ascii="Times New Roman" w:cs="Times New Roman" w:eastAsia="Times New Roman" w:hAnsi="Times New Roman"/>
                <w:sz w:val="29"/>
                <w:szCs w:val="29"/>
                <w:color w:val="auto"/>
                <w:w w:val="84"/>
                <w:vertAlign w:val="superscript"/>
              </w:rPr>
              <w:t>(6)</w:t>
            </w: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40" w:type="dxa"/>
            <w:vAlign w:val="bottom"/>
            <w:tcBorders>
              <w:left w:val="single" w:sz="8" w:color="auto"/>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Advance​</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new drug development candidate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4"/>
              </w:rPr>
              <w:t>(a)</w:t>
            </w:r>
            <w:r>
              <w:rPr>
                <w:rFonts w:ascii="Times New Roman" w:cs="Times New Roman" w:eastAsia="Times New Roman" w:hAnsi="Times New Roman"/>
                <w:sz w:val="29"/>
                <w:szCs w:val="29"/>
                <w:color w:val="auto"/>
                <w:w w:val="84"/>
                <w:vertAlign w:val="superscript"/>
              </w:rPr>
              <w:t>(7)</w:t>
            </w: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Research</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 support an IND filing in 2023</w:t>
            </w:r>
          </w:p>
        </w:tc>
        <w:tc>
          <w:tcPr>
            <w:tcW w:w="960" w:type="dxa"/>
            <w:vAlign w:val="bottom"/>
            <w:tcBorders>
              <w:bottom w:val="single" w:sz="8" w:color="auto"/>
              <w:right w:val="single" w:sz="8" w:color="auto"/>
            </w:tcBorders>
            <w:vMerge w:val="continue"/>
          </w:tcPr>
          <w:p>
            <w:pPr>
              <w:spacing w:after="0"/>
              <w:rPr>
                <w:sz w:val="24"/>
                <w:szCs w:val="2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0.10</w:t>
            </w:r>
          </w:p>
        </w:tc>
        <w:tc>
          <w:tcPr>
            <w:tcW w:w="0" w:type="dxa"/>
            <w:vAlign w:val="bottom"/>
          </w:tcPr>
          <w:p>
            <w:pPr>
              <w:spacing w:after="0"/>
              <w:rPr>
                <w:sz w:val="1"/>
                <w:szCs w:val="1"/>
                <w:color w:val="auto"/>
              </w:rPr>
            </w:pPr>
          </w:p>
        </w:tc>
      </w:tr>
      <w:tr>
        <w:trPr>
          <w:trHeight w:val="88"/>
        </w:trPr>
        <w:tc>
          <w:tcPr>
            <w:tcW w:w="1640" w:type="dxa"/>
            <w:vAlign w:val="bottom"/>
            <w:tcBorders>
              <w:left w:val="single" w:sz="8" w:color="auto"/>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34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Identify a new drug development candidate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4"/>
              </w:rPr>
              <w:t>(a)</w:t>
            </w:r>
            <w:r>
              <w:rPr>
                <w:rFonts w:ascii="Times New Roman" w:cs="Times New Roman" w:eastAsia="Times New Roman" w:hAnsi="Times New Roman"/>
                <w:sz w:val="29"/>
                <w:szCs w:val="29"/>
                <w:color w:val="auto"/>
                <w:w w:val="84"/>
                <w:vertAlign w:val="superscript"/>
              </w:rPr>
              <w:t>(8)</w:t>
            </w: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3420" w:type="dxa"/>
            <w:vAlign w:val="bottom"/>
            <w:tcBorders>
              <w:right w:val="single" w:sz="8" w:color="auto"/>
            </w:tcBorders>
            <w:gridSpan w:val="3"/>
            <w:vMerge w:val="continue"/>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next development program</w:t>
            </w:r>
          </w:p>
        </w:tc>
        <w:tc>
          <w:tcPr>
            <w:tcW w:w="960" w:type="dxa"/>
            <w:vAlign w:val="bottom"/>
            <w:tcBorders>
              <w:bottom w:val="single" w:sz="8" w:color="auto"/>
              <w:right w:val="single" w:sz="8" w:color="auto"/>
            </w:tcBorders>
            <w:vMerge w:val="continue"/>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40" w:type="dxa"/>
            <w:vAlign w:val="bottom"/>
            <w:tcBorders>
              <w:left w:val="single" w:sz="8" w:color="auto"/>
              <w:righ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w:t>
            </w:r>
          </w:p>
        </w:tc>
        <w:tc>
          <w:tcPr>
            <w:tcW w:w="2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product and</w:t>
            </w:r>
          </w:p>
        </w:tc>
        <w:tc>
          <w:tcPr>
            <w:tcW w:w="9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Manufacturing</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manufacturing process for NKTR-255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tcBorders>
              <w:right w:val="single" w:sz="8" w:color="auto"/>
            </w:tcBorders>
          </w:tcPr>
          <w:p>
            <w:pPr>
              <w:jc w:val="center"/>
              <w:spacing w:after="0" w:line="302" w:lineRule="exact"/>
              <w:rPr>
                <w:sz w:val="20"/>
                <w:szCs w:val="20"/>
                <w:color w:val="auto"/>
              </w:rPr>
            </w:pPr>
            <w:r>
              <w:rPr>
                <w:rFonts w:ascii="Times New Roman" w:cs="Times New Roman" w:eastAsia="Times New Roman" w:hAnsi="Times New Roman"/>
                <w:sz w:val="18"/>
                <w:szCs w:val="18"/>
                <w:color w:val="auto"/>
                <w:w w:val="93"/>
              </w:rPr>
              <w:t>0.6 – 0.7</w:t>
            </w:r>
            <w:r>
              <w:rPr>
                <w:rFonts w:ascii="Times New Roman" w:cs="Times New Roman" w:eastAsia="Times New Roman" w:hAnsi="Times New Roman"/>
                <w:sz w:val="29"/>
                <w:szCs w:val="29"/>
                <w:color w:val="auto"/>
                <w:w w:val="93"/>
                <w:vertAlign w:val="superscript"/>
              </w:rPr>
              <w:t>(9)</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0.06 – 0.07</w:t>
            </w:r>
          </w:p>
        </w:tc>
        <w:tc>
          <w:tcPr>
            <w:tcW w:w="0" w:type="dxa"/>
            <w:vAlign w:val="bottom"/>
          </w:tcPr>
          <w:p>
            <w:pPr>
              <w:spacing w:after="0"/>
              <w:rPr>
                <w:sz w:val="1"/>
                <w:szCs w:val="1"/>
                <w:color w:val="auto"/>
              </w:rPr>
            </w:pPr>
          </w:p>
        </w:tc>
      </w:tr>
      <w:tr>
        <w:trPr>
          <w:trHeight w:val="277"/>
        </w:trPr>
        <w:tc>
          <w:tcPr>
            <w:tcW w:w="1640" w:type="dxa"/>
            <w:vAlign w:val="bottom"/>
            <w:tcBorders>
              <w:left w:val="single" w:sz="8" w:color="auto"/>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Develop toxicology supplies for NKTR-288</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40" w:type="dxa"/>
            <w:vAlign w:val="bottom"/>
            <w:tcBorders>
              <w:bottom w:val="single" w:sz="8" w:color="auto"/>
              <w:right w:val="single" w:sz="8" w:color="auto"/>
            </w:tcBorders>
            <w:gridSpan w:val="2"/>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Corporate and</w:t>
            </w:r>
          </w:p>
        </w:tc>
        <w:tc>
          <w:tcPr>
            <w:tcW w:w="560" w:type="dxa"/>
            <w:vAlign w:val="bottom"/>
            <w:tcBorders>
              <w:right w:val="single" w:sz="8" w:color="auto"/>
            </w:tcBorders>
          </w:tcPr>
          <w:p>
            <w:pPr>
              <w:spacing w:after="0"/>
              <w:rPr>
                <w:sz w:val="22"/>
                <w:szCs w:val="22"/>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Various​</w:t>
            </w:r>
          </w:p>
        </w:tc>
        <w:tc>
          <w:tcPr>
            <w:tcW w:w="28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objectives related to corporate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5"/>
                <w:szCs w:val="35"/>
                <w:color w:val="auto"/>
                <w:w w:val="86"/>
                <w:vertAlign w:val="subscript"/>
              </w:rPr>
              <w:t>(a)</w:t>
            </w:r>
            <w:r>
              <w:rPr>
                <w:rFonts w:ascii="Times New Roman" w:cs="Times New Roman" w:eastAsia="Times New Roman" w:hAnsi="Times New Roman"/>
                <w:sz w:val="15"/>
                <w:szCs w:val="15"/>
                <w:color w:val="auto"/>
                <w:w w:val="86"/>
              </w:rPr>
              <w:t>(10)</w:t>
            </w:r>
          </w:p>
        </w:tc>
        <w:tc>
          <w:tcPr>
            <w:tcW w:w="9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1640" w:type="dxa"/>
            <w:vAlign w:val="bottom"/>
            <w:tcBorders>
              <w:left w:val="single" w:sz="8" w:color="auto"/>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34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organization and employee development goals</w:t>
            </w:r>
          </w:p>
        </w:tc>
        <w:tc>
          <w:tcPr>
            <w:tcW w:w="9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Business</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3420" w:type="dxa"/>
            <w:vAlign w:val="bottom"/>
            <w:tcBorders>
              <w:bottom w:val="single" w:sz="8" w:color="auto"/>
              <w:right w:val="single" w:sz="8" w:color="auto"/>
            </w:tcBorders>
            <w:gridSpan w:val="3"/>
            <w:vMerge w:val="continue"/>
          </w:tcPr>
          <w:p>
            <w:pPr>
              <w:spacing w:after="0"/>
              <w:rPr>
                <w:sz w:val="18"/>
                <w:szCs w:val="18"/>
                <w:color w:val="auto"/>
              </w:rPr>
            </w:pP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 – 1.3</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0.11 – 0.13</w:t>
            </w:r>
          </w:p>
        </w:tc>
        <w:tc>
          <w:tcPr>
            <w:tcW w:w="0" w:type="dxa"/>
            <w:vAlign w:val="bottom"/>
          </w:tcPr>
          <w:p>
            <w:pPr>
              <w:spacing w:after="0"/>
              <w:rPr>
                <w:sz w:val="1"/>
                <w:szCs w:val="1"/>
                <w:color w:val="auto"/>
              </w:rPr>
            </w:pPr>
          </w:p>
        </w:tc>
      </w:tr>
      <w:tr>
        <w:trPr>
          <w:trHeight w:val="385"/>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Development</w:t>
            </w:r>
          </w:p>
        </w:tc>
        <w:tc>
          <w:tcPr>
            <w:tcW w:w="56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Establish new strategic collaborations</w:t>
            </w:r>
          </w:p>
        </w:tc>
        <w:tc>
          <w:tcPr>
            <w:tcW w:w="960" w:type="dxa"/>
            <w:vAlign w:val="bottom"/>
            <w:tcBorders>
              <w:bottom w:val="single" w:sz="8" w:color="auto"/>
              <w:right w:val="single" w:sz="8" w:color="auto"/>
            </w:tcBorders>
          </w:tcPr>
          <w:p>
            <w:pPr>
              <w:jc w:val="center"/>
              <w:spacing w:after="0" w:line="385" w:lineRule="exact"/>
              <w:rPr>
                <w:sz w:val="20"/>
                <w:szCs w:val="20"/>
                <w:color w:val="auto"/>
              </w:rPr>
            </w:pPr>
            <w:r>
              <w:rPr>
                <w:rFonts w:ascii="Times New Roman" w:cs="Times New Roman" w:eastAsia="Times New Roman" w:hAnsi="Times New Roman"/>
                <w:sz w:val="35"/>
                <w:szCs w:val="35"/>
                <w:color w:val="auto"/>
                <w:w w:val="86"/>
                <w:vertAlign w:val="subscript"/>
              </w:rPr>
              <w:t>(a)</w:t>
            </w:r>
            <w:r>
              <w:rPr>
                <w:rFonts w:ascii="Times New Roman" w:cs="Times New Roman" w:eastAsia="Times New Roman" w:hAnsi="Times New Roman"/>
                <w:sz w:val="15"/>
                <w:szCs w:val="15"/>
                <w:color w:val="auto"/>
                <w:w w:val="86"/>
              </w:rPr>
              <w:t>(11)</w:t>
            </w: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64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Corporate Performance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0.50 – 0.57</w:t>
            </w:r>
          </w:p>
        </w:tc>
        <w:tc>
          <w:tcPr>
            <w:tcW w:w="0" w:type="dxa"/>
            <w:vAlign w:val="bottom"/>
          </w:tcPr>
          <w:p>
            <w:pPr>
              <w:spacing w:after="0"/>
              <w:rPr>
                <w:sz w:val="1"/>
                <w:szCs w:val="1"/>
                <w:color w:val="auto"/>
              </w:rPr>
            </w:pPr>
          </w:p>
        </w:tc>
      </w:tr>
      <w:tr>
        <w:trPr>
          <w:trHeight w:val="234"/>
        </w:trPr>
        <w:tc>
          <w:tcPr>
            <w:tcW w:w="164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Rating Range</w:t>
            </w: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6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met or exceeded; (b) partially met; (c) did not meet.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not met due to the termination of the bempegaldesleukin program in April 2022.</w:t>
      </w:r>
    </w:p>
    <w:p>
      <w:pPr>
        <w:spacing w:after="0" w:line="41" w:lineRule="exact"/>
        <w:rPr>
          <w:rFonts w:ascii="Times New Roman" w:cs="Times New Roman" w:eastAsia="Times New Roman" w:hAnsi="Times New Roman"/>
          <w:sz w:val="14"/>
          <w:szCs w:val="14"/>
          <w:color w:val="auto"/>
        </w:rPr>
      </w:pPr>
    </w:p>
    <w:p>
      <w:pPr>
        <w:ind w:left="640" w:right="8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Objectives were partially met. Substantial commercial readiness efforts were made by the Company prior to the termination of the bempegaldesleukin program, including development of Company-wide commercialization strategy.</w:t>
      </w:r>
    </w:p>
    <w:p>
      <w:pPr>
        <w:ind w:left="640" w:right="13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partially met. Partial amount of the targeted patient enrollment was achieved prior to the termination of the bempegaldesleukin program.</w:t>
      </w: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The targeted patient enrollment was achieved prior to the termination of the bempegaldesleukin program.</w:t>
      </w:r>
    </w:p>
    <w:p>
      <w:pPr>
        <w:spacing w:after="0" w:line="41" w:lineRule="exact"/>
        <w:rPr>
          <w:rFonts w:ascii="Times New Roman" w:cs="Times New Roman" w:eastAsia="Times New Roman" w:hAnsi="Times New Roman"/>
          <w:sz w:val="14"/>
          <w:szCs w:val="14"/>
          <w:color w:val="auto"/>
        </w:rPr>
      </w:pPr>
    </w:p>
    <w:p>
      <w:pPr>
        <w:ind w:left="640" w:right="679" w:hanging="348"/>
        <w:spacing w:after="0" w:line="24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Initiated a dose escalation and expansion study of NKTR-255 in patients with relapsed or refractory non-Hodgkin lymphoma or multiple myeloma where patients are treated with NKTR-255 as a monotherapy or NKTR-255 in combination with daratumumab.</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Completed certain pharmacological studies.</w:t>
      </w:r>
    </w:p>
    <w:p>
      <w:pPr>
        <w:spacing w:after="0" w:line="41"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Advanced our research program focused on developing a tumor necrosis factor (TNF) receptor 2 (TNFR2) agonist antibody.</w:t>
      </w: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Objectives were partially met. Objectives were deprioritized in connection with the 2022 Restructuring plan.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Achieved goals related to employee career development and employee engagement.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exceeded.</w:t>
      </w:r>
    </w:p>
    <w:p>
      <w:pPr>
        <w:spacing w:after="0" w:line="10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weighting of these objectives is a reflection of our long-term focus as a research-based development stage biopharmaceutical company. As such, in establishing the 2022 Corporate Objectives, we overweighted the percentage of achievement measurement for objectives related to development progress and outcomes, particularly for those associated with the bempegaldesleukin program, our lead program at the time. We believe this mix and weighting of corporate goals places emphasis on milestones that were important to build long-term sustainable foundation of our business at the time. A corporate performance rating in excess of 100% can only be achieved if the board of directors determines that the goal achievement for one or many of the goals substantially and qualitatively exceeded the target metrics, or the Organization and Compensation Committee uses its discretion to factor in other significantly positive corporate events that occurred during the performance period. The maximum potential corporate performance rating is 200%.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Actual Annual Incentives Earned for 2022</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Management prepared a report on the status of achievement of the 2022 Corporate Objectives that was reviewed by the Organization and Compensation Committee in December 2022. The Organization and Compensation Committee determined that six of the corporate goals identified above were met. Each of the goals that was “met” had to achieve objective and specified measurement criteria established by the board of directors in the beginning of the year. If the measurement criteria for an objective was not fully met, partial credit was given depending on the level of achievement. Although we and BMS terminated the bempegaldesleukin program in April 2022, the Organization and Compensation Committee recommended that partial credit should also be acknowledged for the development progress achieved in 2022. As noted in the footnotes to the table, we have highlighted some of the specific achievements made within each objective category, but because of the sensitivity and proprietary nature of our business, we cannot disclose all of the achievements made by the Company in further of its 2022 Corporate Objectives. Using a raw score range for the achievement of the objectives within each category, and then calculating the weighted score for each category, the 2022 corporate performance rating was between the range of 50% to 57%.</w:t>
      </w:r>
    </w:p>
    <w:p>
      <w:pPr>
        <w:spacing w:after="0" w:line="7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2022 Corporate Objectives were initially set by the board of directors in January 2022. In anticipation of the expected data readouts in the first half of 2022 for the Phase 3 registrational trials studying bempegaldesleukin and to prioritize achievement of the success of the bempegaldesleukin program, a substantial portion of the 2022 Corporate Objectives were related to the success of the bempegaldesleukin program and the Company’s achievement of commercialization readiness for bempegaldesleukin. Following the termination of the bempegaldesleukin program, we implemented the 2022 Restructuring Plan. In order to align the NEO’s performance with the Company’s performance, the board of directors determined that the Company’s 2022 corporate performance rating, as measured against the original 2022 Corporate Objectives, would continue to be used to calculate the annual bonus awards for each NEO. As a result, the 2022 Corporate Objectives did not reflect many of the new strategic objectives under the 2022 Restructuring Plan. In determining the final corporate performance achievement in 2022, the Organization and Compensation Committee also considered other significant business achievements of the Company in 2022 that were important in building strategic value. These achievements include:</w:t>
      </w:r>
    </w:p>
    <w:p>
      <w:pPr>
        <w:spacing w:after="0" w:line="82" w:lineRule="exact"/>
        <w:rPr>
          <w:sz w:val="20"/>
          <w:szCs w:val="20"/>
          <w:color w:val="auto"/>
        </w:rPr>
      </w:pPr>
    </w:p>
    <w:p>
      <w:pPr>
        <w:ind w:left="1000" w:right="339" w:hanging="348"/>
        <w:spacing w:after="0" w:line="289" w:lineRule="auto"/>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Ethical wind down of the bempegaldesleukin clinical trials following termination of the bempegaldesleukin program. As of September 2022, all patients have ended bempegaldesleukin treatment, have been transitioned to standard of care treatment, or enrolled in the Post Trial Access Program.</w:t>
      </w:r>
    </w:p>
    <w:p>
      <w:pPr>
        <w:spacing w:after="0" w:line="49" w:lineRule="exact"/>
        <w:rPr>
          <w:rFonts w:ascii="Times New Roman" w:cs="Times New Roman" w:eastAsia="Times New Roman" w:hAnsi="Times New Roman"/>
          <w:sz w:val="17"/>
          <w:szCs w:val="17"/>
          <w:color w:val="auto"/>
        </w:rPr>
      </w:pPr>
    </w:p>
    <w:p>
      <w:pPr>
        <w:ind w:left="1000" w:right="49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implementation of the 2022 Restructuring Plan, which included a reduction of approximately 70% of the Company’s workforce and the termination of all research and development activities in our facility in India.</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operating and facilities costs by consolidating our San Francisco operations into our Mission Bay Facility, subleasing a portion of our Mission Bay Facility, and selling our facility in India.</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new clinical strategy to evaluate NKTR-255 in connection with CAR-T cell therapy. In December 2022, we initiated a Nektar-sponsored Phase 2/3 study (currently in the Phase 2 portion) to evaluate NKTR-255 following CD19 CAR-T cell therapy in patients with large B-cell lymphoma.</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advancement and collaboration with Eli Lilly on the development of rezpegaldesleukin for treatment of auto-immune disorders.</w:t>
      </w:r>
    </w:p>
    <w:p>
      <w:pPr>
        <w:spacing w:after="0" w:line="54"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In view of these achievements, and the Company’s efforts to successfully launch a new strategic plan, and ability to retain key institutional knowledge following the 2022 Restructuring Plan the Organization and Compensation Committee recommended to the board of directors (which the board subsequently approved) a corporate performance achievement of 60%.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The following table shows some of the highlights of each NEO’s performance in 2022.</w:t>
      </w:r>
    </w:p>
    <w:p>
      <w:pPr>
        <w:spacing w:after="0" w:line="203" w:lineRule="exact"/>
        <w:rPr>
          <w:sz w:val="20"/>
          <w:szCs w:val="20"/>
          <w:color w:val="auto"/>
        </w:rPr>
      </w:pPr>
    </w:p>
    <w:p>
      <w:pPr>
        <w:ind w:left="1300"/>
        <w:spacing w:after="0"/>
        <w:tabs>
          <w:tab w:leader="none" w:pos="56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Individual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Jillian B. Thomsen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Mark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Jonathan Zalevsky, Ph.D.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Led the 2022 Restructuring Plan which was focused on continued advancement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of rezpegaldesleukin with our partner Eli Lilly &amp; Company, development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NKTR-255 in its areas of strength and differentiation, and investment in core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research programs to complement Nektar's pipeline.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Led a comprehensive cost savings strategy focused on maximizing long-term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shareholder value by extending the company's cash runway into the first half of</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Successfully completed the full restructuring of the Company, retained key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transitional employees who were critical to the ethical winddown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bempegaldesleukin clinical trials and retained critical talent needed to support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implementing the Company's new strategic direction.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Led the development of the 2022 Restructuring Plan which resulted in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Company having sufficient working capital to fund key research 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development programs to value-enhancing data and other key milestones.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Successfully completed the subleasing for a major portion (20,000 square feet)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of the Mission Bay Facility with approximately breakeven financial structure;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 engaged in a sublease negotiation for ~10,000 square feet of additional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space in the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Negotiated and completed the sale of the Company’s India facility.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Successfully guided the Company through the separation of 70% of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workforce with limited legal exposure.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Successfully defended the Company against litigation exposure by securing an</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order granting a motion to dismiss in a consolidated securities class action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lawsuit.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Maintained the strength of our core assets through proactive defense and</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competitive landscape mapping of our intellectual property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Structured and negotiated clinical contract terminations for our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bempegaldesleukin program, and structured and negotiated new contracts to</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implement a unique post-trial access program.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Led the ethical winddown of our bempegaldesleukin studies including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transition of patients from our sponsor-led trials to standard of care or our post-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trial access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Worked with Eli Lilly &amp; Company, successfully negotiated a Phase 2b study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design for rezpegaldesleukin in atopic dermatitis.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Executed on our new strategy, pursuing NKTR-255 as a potentiator in cell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therapy.</w:t>
      </w:r>
    </w:p>
    <w:p>
      <w:pPr>
        <w:spacing w:after="0" w:line="153" w:lineRule="exact"/>
        <w:rPr>
          <w:sz w:val="20"/>
          <w:szCs w:val="20"/>
          <w:color w:val="auto"/>
        </w:rPr>
      </w:pPr>
    </w:p>
    <w:p>
      <w:pPr>
        <w:sectPr>
          <w:pgSz w:w="11900" w:h="16838" w:orient="portrait"/>
          <w:cols w:equalWidth="0" w:num="2">
            <w:col w:w="3260" w:space="400"/>
            <w:col w:w="7360"/>
          </w:cols>
          <w:pgMar w:left="440" w:top="263" w:right="439" w:bottom="1440" w:gutter="0" w:footer="0" w:header="0"/>
          <w:type w:val="continuous"/>
        </w:sectPr>
      </w:pPr>
    </w:p>
    <w:p>
      <w:pPr>
        <w:ind w:left="1300" w:right="1340" w:firstLine="360"/>
        <w:spacing w:after="0" w:line="256" w:lineRule="auto"/>
        <w:rPr>
          <w:sz w:val="20"/>
          <w:szCs w:val="20"/>
          <w:color w:val="auto"/>
        </w:rPr>
      </w:pPr>
      <w:r>
        <w:rPr>
          <w:rFonts w:ascii="Times New Roman" w:cs="Times New Roman" w:eastAsia="Times New Roman" w:hAnsi="Times New Roman"/>
          <w:sz w:val="18"/>
          <w:szCs w:val="18"/>
          <w:color w:val="auto"/>
        </w:rPr>
        <w:t>The table below includes the actual 2022 bonuses, including as a percentage of the target opportunity, that we awarded the NEOs for 2022. Mr. Robin’s awarded annual incentive was directly aligned to the Company’s corporate performance rating of 60%. In determining the annual incentive for each of our other NEOs, our Organization and Compensation Committee considers the Company’s corporate performance rating, as well as each NEO’s individual performance and accomplishments highlighted above. For 2022, each other NEO’s annual incentive was also directly aligned with the Company’s corporate performance rating of 60%.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2022 Target Annual Incentives</w:t>
            </w:r>
          </w:p>
        </w:tc>
        <w:tc>
          <w:tcPr>
            <w:tcW w:w="3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2022 Earned Annual Incentives</w:t>
            </w:r>
          </w:p>
        </w:tc>
      </w:tr>
      <w:tr>
        <w:trPr>
          <w:trHeight w:val="50"/>
        </w:trPr>
        <w:tc>
          <w:tcPr>
            <w:tcW w:w="1300" w:type="dxa"/>
            <w:vAlign w:val="bottom"/>
          </w:tcPr>
          <w:p>
            <w:pPr>
              <w:spacing w:after="0"/>
              <w:rPr>
                <w:sz w:val="4"/>
                <w:szCs w:val="4"/>
                <w:color w:val="auto"/>
              </w:rPr>
            </w:pPr>
          </w:p>
        </w:tc>
        <w:tc>
          <w:tcPr>
            <w:tcW w:w="3520" w:type="dxa"/>
            <w:vAlign w:val="bottom"/>
            <w:gridSpan w:val="2"/>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0" w:type="dxa"/>
            <w:vAlign w:val="bottom"/>
          </w:tcPr>
          <w:p>
            <w:pPr>
              <w:spacing w:after="0"/>
              <w:rPr>
                <w:sz w:val="19"/>
                <w:szCs w:val="19"/>
                <w:color w:val="auto"/>
              </w:rPr>
            </w:pPr>
          </w:p>
        </w:tc>
        <w:tc>
          <w:tcPr>
            <w:tcW w:w="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20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$1,084,590</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$650,754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Jillian B. Thomsen</w:t>
            </w: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300" w:type="dxa"/>
            <w:vAlign w:val="bottom"/>
          </w:tcPr>
          <w:p>
            <w:pPr>
              <w:spacing w:after="0"/>
              <w:rPr>
                <w:sz w:val="23"/>
                <w:szCs w:val="23"/>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$198,000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A. Wilson</w:t>
            </w:r>
          </w:p>
        </w:tc>
        <w:tc>
          <w:tcPr>
            <w:tcW w:w="120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$194,400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422,094</w:t>
            </w:r>
          </w:p>
        </w:tc>
        <w:tc>
          <w:tcPr>
            <w:tcW w:w="300" w:type="dxa"/>
            <w:vAlign w:val="bottom"/>
          </w:tcPr>
          <w:p>
            <w:pPr>
              <w:spacing w:after="0"/>
              <w:rPr>
                <w:sz w:val="23"/>
                <w:szCs w:val="23"/>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$253,256</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-1242695</wp:posOffset>
            </wp:positionV>
            <wp:extent cx="1885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-1242695</wp:posOffset>
            </wp:positionV>
            <wp:extent cx="1885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-1242695</wp:posOffset>
            </wp:positionV>
            <wp:extent cx="1885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-1242695</wp:posOffset>
            </wp:positionV>
            <wp:extent cx="1885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In accordance with our objective of aligning executive compensation with our stockholders’ interests, an important component of our executive compensation program are long-term incentive opportunities. Our current long-term incentive program for the NEOs generally consists of annual awards of equity compensation that are subject to multi-year time-based vesting schedules as well as performance-based vesting schedules. In 2018, we adopted a value-based approach for sizing equity awards, consistent with market practices. In determining the grant levels for equity awards, we consider a number of factors including an assessment of individual performance, competitive market practices, the number of unvested RSUs and stock options held by the executive and average exercise price (i.e., the retention value) of these stock options, the individual’s overall contributions, and stockholder dilution. However, we do not use a formula or assign a particular weight to any one factor in determining equity award levels. Rather, the determination of equity grant levels is subjective, and the Organization and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as well as to provide a retention incentive for the executive as well as an additional incentive to help create value for our stockholders.</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2022 Grants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2022 Restructuring Plan and the Organization and Compensation Committee’s executive compensation review in July 2022, the NEOs received the following annual equity grants in August 2022. These equity grants effectively “pulled forward” the timing of any annual equity grants that would have otherwise been considered in December 2022 and enabled our executives to focus on our restructuring efforts and executing the Company’s new strategic plan. We recognize that pharmaceutical research and development require sustained effort over many years. The equity grants cover multi-year time frames and are designed to incentivize our executives to achieve important research and business development objectives that will contribute to our long-term success. No additional equity grants were made in December 2022 and the next executive compensation review is planned to occur in December 2023.</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Awards</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(50%)</w:t>
            </w:r>
          </w:p>
        </w:tc>
        <w:tc>
          <w:tcPr>
            <w:tcW w:w="16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(50%)</w:t>
            </w:r>
          </w:p>
        </w:tc>
        <w:tc>
          <w:tcPr>
            <w:tcW w:w="0" w:type="dxa"/>
            <w:vAlign w:val="bottom"/>
          </w:tcPr>
          <w:p>
            <w:pPr>
              <w:spacing w:after="0"/>
              <w:rPr>
                <w:sz w:val="1"/>
                <w:szCs w:val="1"/>
                <w:color w:val="auto"/>
              </w:rPr>
            </w:pPr>
          </w:p>
        </w:tc>
      </w:tr>
      <w:tr>
        <w:trPr>
          <w:trHeight w:val="50"/>
        </w:trPr>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RSUs</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RSUs</w:t>
            </w: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Options</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Options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60" w:type="dxa"/>
            <w:vAlign w:val="bottom"/>
            <w:gridSpan w:val="2"/>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w:t>
            </w:r>
          </w:p>
        </w:tc>
        <w:tc>
          <w:tcPr>
            <w:tcW w:w="0" w:type="dxa"/>
            <w:vAlign w:val="bottom"/>
          </w:tcPr>
          <w:p>
            <w:pPr>
              <w:spacing w:after="0"/>
              <w:rPr>
                <w:sz w:val="1"/>
                <w:szCs w:val="1"/>
                <w:color w:val="auto"/>
              </w:rPr>
            </w:pPr>
          </w:p>
        </w:tc>
      </w:tr>
      <w:tr>
        <w:trPr>
          <w:trHeight w:val="50"/>
        </w:trPr>
        <w:tc>
          <w:tcPr>
            <w:tcW w:w="54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821,250</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410,625</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821,250</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410,625</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Jillian B. Thomsen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331,875</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165,938</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331,875</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165,938</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A. Wilson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331,875</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165,938</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331,875</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165,938</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270,000</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135,000</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270,000</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-805180</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-805180</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-805180</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-805180</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Time-based Equity</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 and RSUs</w:t>
      </w:r>
    </w:p>
    <w:p>
      <w:pPr>
        <w:spacing w:after="0" w:line="11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Organization and Compensation Committee believes that the granting of time-based RSUs and stock options are an important component of the equity vehicle mix. RSUs provide a strong retention element to the compensation program, while stock options represent a direct alignment of executive interests with those of shareholders. In 2022, 50% of the equity awards granted to our NEOs were time-based equity awards. The time-based stock options vest monthly over three years and the time-based RSUS vest quarterly over three years, subject to the executive’s continued service through the vesting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Performance-Based Equity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Stock Options and RSUs</w:t>
      </w:r>
    </w:p>
    <w:p>
      <w:pPr>
        <w:spacing w:after="0" w:line="119"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In 2022, 50% of the equity awards granted to our NEOs were performance-based equity awards that are subject to both time-based and performance-based vesting. In order to vest, within three years of grant of the performance-based stock options and RSUs the Company must achieve at least two of the following performance milestones:</w:t>
      </w:r>
    </w:p>
    <w:p>
      <w:pPr>
        <w:spacing w:after="0" w:line="50"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Phase 3 study for rezpegaldesleukin in at least one indication;</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of the first patient in a Nektar sponsored Phase 2 comparative study of NKTR-255 in conjunction with approved autologous CD 19 CAR-T therapies;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of the first patient in a clinical collaboration for NKTR-255 in combination with cell therapy with significant co-funding support of approximately 50% of one or more clinical studies; or</w:t>
      </w:r>
    </w:p>
    <w:p>
      <w:pPr>
        <w:spacing w:after="0" w:line="53"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partnership for NKTR-255 for specific use in combination with cell therapy with narrow exclusivity.</w:t>
      </w:r>
    </w:p>
    <w:p>
      <w:pPr>
        <w:spacing w:after="0" w:line="54"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Organization and Compensation Committee believed these performance criteria would be challenging to achieve and if achieved, would help create long-term stockholder value. These performance milestones were set to align the interest of our executives with those of the Company’s new strategic goals.</w:t>
      </w:r>
    </w:p>
    <w:p>
      <w:pPr>
        <w:spacing w:after="0" w:line="6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 response to our Company’s growth and stockholder feedback, in 2020 the Organization and Compensation Committee introduced a new component to our equity compensation in order to increase the percentage of equity grants to our senior executives that were subject to performance-based conditions and to reflect, at the time, the Company’s maturation into a biopharmaceutical company with a potential commercialized drug. In 2020 and 2021, our senior executives were granted new performance-based RSUs (“TSR RSUs”) that vest between 0% and 200% of the target award based on relative total shareholder return (TSR) performance as measured against the Nasdaq Biotechnology index over a two-year performance period. The TSR RSUs were granted in order to align the interests of our executives more closely with shareholder return. For 2022, the Organization and Compensation Committee did not grant any relative TSR RSUs as part of the executive compensation structure. We believe that the long-term success of the Company depends on our ability to develop drug candidates that can demonstrate positive clinical results, receive regulatory approvals and achieve commercial success. Following our 2022 restructuring and given the current stage of our Company, we believe that our executives should be incentivized to prioritize our core research programs, to advance our drug candidates through clinical trials and to form strategic collaborations, which will ultimately lead to the creation of shareholder value and appreciation in value of our stock. To that end, the Organization and Compensation Committee determined that the granting of performance-based stock options and RSUs tied to the achievement of critical objective, development-based performance milestones instead of short-term stock value, would be more effective to align the interests of our NEOs with the long-term interests and goals of the Company and our stockholders. The Organization and Compensation will continue to evaluate our executive compensation program in light of the Company’s changing business developments and it may grant TSR RSUs or related awards tied to short-term stock value in the future when such approaches are believed to be in the best interests of the Company and its shareholders.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2017-2020 Grants of Performance-Based Equity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performance criteria associated with the performance-based stock options and RSUs granted to our senior executives and NEOs in each of 2017, 2018 and 2019 have been met. The 2017 performance-based stock options and RSUs granted on December 15, 2017 began vesting after the FDA’s July 2018, acceptance for review of the Company’s NDA for NKTR-181. As of December 31, 2022, all of the 2017 performance-based stock options and RSUs have vested in full. The 2018 performance-based stock options and RSUs granted on December 14, 2018 began vesting after the Organization and Compensation Committee determined that all required performance criteria had been achieved on March 13, 2022, which included the achievement of the first patient dosed in four registration trials for bempegaldesleukin run by the Company and the filing and acceptance of two investigational new drug applications (IND) with the FDA for drug candidates wholly-owned by the Company. As of December 31, 2022, all of the 2018 performance-based stock options and RSUs have vested in full. The 2019 performance-based stock options and RSUs granted on December 12, 2019 began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8" w:lineRule="auto"/>
        <w:rPr>
          <w:sz w:val="20"/>
          <w:szCs w:val="20"/>
          <w:color w:val="auto"/>
        </w:rPr>
      </w:pPr>
      <w:r>
        <w:rPr>
          <w:rFonts w:ascii="Times New Roman" w:cs="Times New Roman" w:eastAsia="Times New Roman" w:hAnsi="Times New Roman"/>
          <w:sz w:val="17"/>
          <w:szCs w:val="17"/>
          <w:color w:val="auto"/>
        </w:rPr>
        <w:t>vesting after the Organization and Compensation Committee determined that the required performance criteria had been achieved on September 15, 2021, with (i) the FDA’s acceptances of an IND for NKTR-255 in solid tumors in August 2020 and an IND for bempegaldesleukin for COVID-19 treatment, and (ii) the execution of a co-development agreement with SFJ Pharmaceuticals and a clinical trial collaboration and supply agreement with Merck to support the development of bempegaldesleukin, as well as an oncology clinical collaboration with Merck KGaA, Darmstadt, Germany and Pfizer Inc. to evaluate NKTR-255 in combination with avelumab in patients with locally advanced or metastatic urothelial carcinoma in the Phase II JAVELIN Bladder Medley study, whereupon</w:t>
      </w:r>
    </w:p>
    <w:p>
      <w:pPr>
        <w:spacing w:after="0" w:line="2" w:lineRule="exact"/>
        <w:rPr>
          <w:sz w:val="20"/>
          <w:szCs w:val="20"/>
          <w:color w:val="auto"/>
        </w:rPr>
      </w:pPr>
    </w:p>
    <w:p>
      <w:pPr>
        <w:ind w:left="300" w:right="419"/>
        <w:spacing w:after="0" w:line="221" w:lineRule="auto"/>
        <w:rPr>
          <w:sz w:val="20"/>
          <w:szCs w:val="20"/>
          <w:color w:val="auto"/>
        </w:rPr>
      </w:pPr>
      <w:r>
        <w:rPr>
          <w:rFonts w:ascii="Times New Roman" w:cs="Times New Roman" w:eastAsia="Times New Roman" w:hAnsi="Times New Roman"/>
          <w:sz w:val="18"/>
          <w:szCs w:val="18"/>
          <w:color w:val="auto"/>
        </w:rPr>
        <w:t>approximately 22/48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performance-based options vested, followed by continued monthly pro-rata vesting of the remainder until December 12, 2023. As of December 31, 2022, all of the 2019 performance-based RSUs have vested in full.</w:t>
      </w:r>
    </w:p>
    <w:p>
      <w:pPr>
        <w:spacing w:after="0" w:line="90"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performance criteria associated with each of the performance stock options and RSUs granted to our senior executives and NEOs in 2020 have not been met and thus, vesting of these performance-based stock options and RSUs has not occurred. If the performance criteria associated with these performance stock options and RSUs are not satisfied within five years of grant, the equity awards will be forfeited.</w:t>
      </w:r>
    </w:p>
    <w:p>
      <w:pPr>
        <w:spacing w:after="0" w:line="72"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As discussed above, in 2020, we granted our senior executives and NEOs Relative TSR RSUs. Pursuant to the terms of the grant, based on the Company’s total shareholder return percentile rank as measured against the Nasdaq Biotechnology Index at the end of the two-year performance period measured from December 18, 2020 to December 31, 2022 (the “2020 TSR RSU Performance Period”), the grant recipients could vest between 0% and 200%, the performance multiplier, of the target TSR RSUs granted. Following the 2020 TSR RSU Performance Period, the Organization and Compensation Committee engaged Aon to independently determine the Company’s TSR percentile rank within the Nasdaq Biotechnology Index. Aon determined that the Company’s performance</w:t>
      </w:r>
    </w:p>
    <w:p>
      <w:pPr>
        <w:spacing w:after="0" w:line="3" w:lineRule="exact"/>
        <w:rPr>
          <w:sz w:val="20"/>
          <w:szCs w:val="20"/>
          <w:color w:val="auto"/>
        </w:rPr>
      </w:pPr>
    </w:p>
    <w:p>
      <w:pPr>
        <w:ind w:left="300" w:right="419"/>
        <w:spacing w:after="0" w:line="227" w:lineRule="auto"/>
        <w:rPr>
          <w:sz w:val="20"/>
          <w:szCs w:val="20"/>
          <w:color w:val="auto"/>
        </w:rPr>
      </w:pPr>
      <w:r>
        <w:rPr>
          <w:rFonts w:ascii="Times New Roman" w:cs="Times New Roman" w:eastAsia="Times New Roman" w:hAnsi="Times New Roman"/>
          <w:sz w:val="18"/>
          <w:szCs w:val="18"/>
          <w:color w:val="auto"/>
        </w:rPr>
        <w:t>measured at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which pursuant to the terms of the TSR RSUs grant, corresponds to a performance multiplier of 0%. Therefore, the Organization and Compensation Committee determined that none of the 2020 TSR RSUs that were granted to our senior executives and NEOs would vest. Accordingly, all 2020 TSR RSUs granted will not vest.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2021 Grants of Performance Based-Equity</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2021, approximately 37% of the annual equity awards granted to our NEOs were performance-based stock options and RSUs that would vest only upon the achievement of certain performance criteria. Our NEOs were granted certain performance-based stock options and RSUs (the “2021 Performance Grants”) that would only vest if the Company achieved the first commercial sale to a third party of bempegaldesleukin intended for use by end-user costumer within five years of the award grant date. In 2022, we and BMS discontinued all clinical development activities of bempegaldesleukin. Although the performance period for the 2021 Performance Grants has not ended yet, due to the termination of our bempegaldesleukin development program, achievement of the performance criteria for the 2021 Performance Grants is no longer realistically feasible.</w:t>
      </w:r>
    </w:p>
    <w:p>
      <w:pPr>
        <w:spacing w:after="0" w:line="84"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In addition to the performance-based stock options and RSUs described above, in anticipation of the expected data readouts in the first half of 2022 for the Phase 3 registrational trials studying bempegaldesleukin in combination with nivolumab and to prioritize achievement of the success of the bempegaldesleukin programs, in 2021 our NEOs also received a one-time grant of performance-based RSUs subject to performance-based vesting conditions (the “Bempegaldesleukin Performance Grants”). In order to vest, by June 1, 2022, the Company had to achieve certain primary endpoint objectives in the Phase 3 melanoma trial studying the combination of bempegaldesleukin and nivolumab, which was not achieved. Consistent with our discussion in our 2022 proxy statement, in 2022, all RSUs granted under Bempegaldesleukin Performance Grants were forfeited by each NEO and cancelled.</w:t>
      </w:r>
    </w:p>
    <w:p>
      <w:pPr>
        <w:spacing w:after="0" w:line="222" w:lineRule="exact"/>
        <w:rPr>
          <w:sz w:val="20"/>
          <w:szCs w:val="20"/>
          <w:color w:val="auto"/>
        </w:rPr>
      </w:pPr>
    </w:p>
    <w:p>
      <w:pPr>
        <w:ind w:left="300" w:right="413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OTHER COMPENSATION POLICIES AND PRACTICES </w:t>
      </w:r>
      <w:r>
        <w:rPr>
          <w:rFonts w:ascii="Times New Roman" w:cs="Times New Roman" w:eastAsia="Times New Roman" w:hAnsi="Times New Roman"/>
          <w:sz w:val="18"/>
          <w:szCs w:val="18"/>
          <w:i w:val="1"/>
          <w:iCs w:val="1"/>
          <w:color w:val="auto"/>
        </w:rPr>
        <w:t>Severance and Change of Control Benefits</w:t>
      </w:r>
    </w:p>
    <w:p>
      <w:pPr>
        <w:spacing w:after="0" w:line="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the employment of an NEO is terminated by us without cause or by the executive for a designated good reason outside of the context of a change of control transaction, the executive would be entitled to severance benefits under the applicable agreement he or she entered into with the Company. Generally, these severance benefits include a cash severance payment based on the executive’s then-current annual base salary and the amount of his or her target annual incentive bonus, payment of COBRA premiums for up to a maximum of eighteen (18) months, and an additional twelve-month period to exercise vested stock options (an eighteen-month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period for Mr. Robin, and a three-month period for Mr. Wilson and Dr. Zalevsky). In order to attract and retain these NEOs in a competitive environment for highly skilled senior executive talent in the biotechnology and pharmaceutical industry and to provide an incentive to obtain a broad release of claims in favor of the Company, we determined it was often necessary to offer severance benefits in the case of a termination without cause or constructive termination outside the context of a change of control transaction. Many companies provide severance benefits for similar types of terminations of employment, and we believe that it is important for us to offer these severance benefits in order to continue to provide a competitive total compensation program. These NEOs would also be entitled to certain termination benefits upon a termination of employment because of death or disability.</w:t>
      </w:r>
    </w:p>
    <w:p>
      <w:pPr>
        <w:spacing w:after="0" w:line="8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also maintain a Change of Control Severance Benefit Plan (the “CIC Plan”) that provides the NEOs with certain severance benefits if their employment is terminated in connection with a change of control. The CIC Plan was originally established in 2006, and no amendments have been made to the plan since that time that would increase the severance benefits available under the CIC Plan. Severance benefits under the CIC Plan are structured on a “double-trigger” basis, meaning that the executive must experience a termination without cause or resign for a specifically defined good reason in connection with the change of control in order for severance benefits to become payable under the CIC Plan. Like the severance benefits under the letter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CIC Plan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CIC Plan helps preserve the value of our key personnel for any potential acquiring company.</w:t>
      </w:r>
    </w:p>
    <w:p>
      <w:pPr>
        <w:spacing w:after="0" w:line="89"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7"/>
          <w:szCs w:val="17"/>
          <w:color w:val="auto"/>
        </w:rPr>
        <w:t>Under the CIC Plan, the executive would be entitled to accelerated equity award vesting upon a termination described above. The other severance benefits under the CIC Plan are generally similar to the severance benefits described above; however, Mr. Robin’s cash severance would cover the two-year period following termination and Company-paid COBRA coverage would be eighteen months. Outplacement services received within twelve months following separation, up to a maximum of $5,000, are provided to all participants. In addition, each of the NEOs would be entitled to full equity vesting and, except for Dr. Zalevsky, a “gross up” payment for any excise taxes imposed under Section 4999 of the Internal Revenue Code once a 10% cutback threshold is exceeded. The excise tax gross-up was included in the CIC Plan as originally adopted in 2006 to make the participants whole for any adverse tax consequences to which they may become subject under Section 4999 of the Internal Revenue Code and to avoid unintended differences in net severance based on individual factors like the date of hire and past option exercise decisions, which preserves the level of change of control severance protections that we have determined to be appropriate. At the time the CIC Plan was established, we believed this excise tax gross-up protection was a reasonable part of a competitive total compensation package and generally consistent with industry practice at the time. On April 5, 2011, the board of directors amended the CIC Plan to eliminate any “gross up” payments for any excise taxes imposed under Section 4999 of the Internal Revenue Code for participants who became eligible to participate in the CIC Plan on or after January 1, 2010. The board of directors decided to eliminate this tax gross-up provision under the plan for new participants based on its review of current industry practices.</w:t>
      </w:r>
    </w:p>
    <w:p>
      <w:pPr>
        <w:spacing w:after="0" w:line="287"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“Potential Payments Upon Termination or Change of Control” section below describes and quantifies the severance and other benefits potentially payable to the NEOs.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and parking benefits, wellness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 In 2022, we offered Mr. Robin third party local ground transportation and tax gross ups for such expenses. These ground transportation benefits serve business purposes, such as allowing Mr. Robin to safely increase his productivity by attending to business matters while in transit. We also offered our NEO’s parking passes for use when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commuting to the Company’s office. The parking benefits serve business purposes by facilitating our NEO’s commutes and increases their productivity. See the Summary Compensation Table below for additional information.</w:t>
      </w:r>
    </w:p>
    <w:p>
      <w:pPr>
        <w:spacing w:after="0" w:line="136" w:lineRule="exact"/>
        <w:rPr>
          <w:sz w:val="20"/>
          <w:szCs w:val="20"/>
          <w:color w:val="auto"/>
        </w:rPr>
      </w:pPr>
    </w:p>
    <w:p>
      <w:pPr>
        <w:ind w:left="300" w:right="413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OTHER COMPENSATION POLICIES AND PRACTICES </w:t>
      </w:r>
      <w:r>
        <w:rPr>
          <w:rFonts w:ascii="Times New Roman" w:cs="Times New Roman" w:eastAsia="Times New Roman" w:hAnsi="Times New Roman"/>
          <w:sz w:val="18"/>
          <w:szCs w:val="18"/>
          <w:b w:val="1"/>
          <w:bCs w:val="1"/>
          <w:i w:val="1"/>
          <w:iCs w:val="1"/>
          <w:color w:val="auto"/>
        </w:rPr>
        <w:t>CLAWBACK POLICY</w:t>
      </w:r>
    </w:p>
    <w:p>
      <w:pPr>
        <w:spacing w:after="0" w:line="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We maintain a performance-based compensation recovery (“clawback”) policy which provides that, in the event that we are required to revise our financial results, we may recover from any executive officer any incentive compensation erroneously paid or awarded in excess of what would have been based on the revised financial results. This policy applies to any incentive compensation that is either granted or paid at any time during the period of three full fiscal years prior to the date on which the financial results applicable to such award or payment are revised.</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POLICY PROHIBITING HEDGING</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Our Security Trading Policy prohibits our employees, our executive officers, and the non-employee members of our board of directors from short-term trading, options trading, trading on margin, share pledging, and all hedging transactions with respect to our securities.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Effective January 1, 2019 the Organization and Compensation Committee approved ownership guidelines for our executive officers, such that the CEO should own shares of our common stock equal to at least three times his or her base salary, and the NEOs should own shares of our common stock equal to at least one time their base salary. The minimum stock ownership level is to be achieved by each executive officer within five years of the date of his or her appointment to executive officer. As of December 31, 2022, each NEO met the minimum stock ownership guidelines or was within the five-year grace period provided by the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spacing w:after="0" w:line="8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Pursuant to the Tax Cuts and Jobs Act of 2017, which was signed into law on December 22, 2017 (the “Tax Act”), for taxable years beginning after December 31, 2017,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for fiscal years beginning after December 31, 2017,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in the future and will eliminate the Company’s ability to structure performance-based awards to be exempt from Section 162(m).</w:t>
      </w:r>
    </w:p>
    <w:p>
      <w:pPr>
        <w:spacing w:after="0" w:line="8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Furthermore, on March 11, 2021, The American Rescue Plan Act of 2021 (the “ARPA”) was signed into law to assist in the economic and health recovery brought on by the COVID-19 pandemic. Beginning on or after January 1, 2027, the ARPA expands the applicability of Section 162(m) to also include the next five highest paid corporate officers so that the total number of covered employees subject to the $1 million deduction limitation will at least be 10.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designing our executive compensation program and determining the compensation of our executive officers, including our NEOs, the Organization and Compensation Committee considers a variety of factors, including the potential impact of the Section 162(m) deduction limit. While the Organization and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Organization and Compensation Committee has not adopted a policy that would require that all compensation be deductible, though it does consider the deductibility of compensation when making compensation decisions. The Organization and Compensation Committee may authorize compensation payments that are not fully tax deductible if it believes that such payments are appropriate to attract and retain executive talent or meet other business objectives.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follow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cost is recognized as an expense following the straight-line attribution method over the requisite service period. This calculation is performed for accounting purposes and reported in the executive compensation tables required by the federal securities laws, even though the recipient of the awards may never realize any value from such awards.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1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p>
    <w:p>
      <w:pPr>
        <w:spacing w:after="0" w:line="7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Organization and Compensation Committee has reviewed the Compensation Discussion and Analysis and discussed it with management. Based on its review and discussions with management, the committee recommended to our board of directors that the Compensation Discussion and Analysis be included in our annual report on Form 10-K for the fiscal year ended December 31, 2022 and in our 2023 proxy statement. This report is provided by the following independent directors, who currently comprise the committee: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 Scott Greer—Chairperson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Myriam J. Curet, M.D.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Karin Eastham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TABLE—FISCAL 2020-2023</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2022 compensation awarded to or earned by our Chief Executive Officer, our Chief Financial Officer and remaining executive officers as of December 31, 2022 (the “NEOs”). To the extent any NEOs were also named executive officers for the fiscal years ended December 31, 2021 or December 31, 2020, compensation information for our 2021 and 2020 fiscal years is also presented for such executives. The following table also provides information for our former executive officers who served as executive officers of the Company for a portion of the 2022 fiscal year.</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51"/>
        </w:trPr>
        <w:tc>
          <w:tcPr>
            <w:tcW w:w="20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7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3"/>
                <w:szCs w:val="13"/>
                <w:color w:val="auto"/>
              </w:rPr>
            </w:pPr>
          </w:p>
        </w:tc>
        <w:tc>
          <w:tcPr>
            <w:tcW w:w="134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   ($)</w:t>
            </w:r>
            <w:r>
              <w:rPr>
                <w:rFonts w:ascii="Times New Roman" w:cs="Times New Roman" w:eastAsia="Times New Roman" w:hAnsi="Times New Roman"/>
                <w:sz w:val="9"/>
                <w:szCs w:val="9"/>
                <w:b w:val="1"/>
                <w:bCs w:val="1"/>
                <w:color w:val="auto"/>
              </w:rPr>
              <w:t>(4)(6)(7)(8)(9)</w:t>
            </w:r>
          </w:p>
        </w:tc>
        <w:tc>
          <w:tcPr>
            <w:tcW w:w="84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(5)(6)(8)(9)</w:t>
            </w:r>
          </w:p>
        </w:tc>
        <w:tc>
          <w:tcPr>
            <w:tcW w:w="4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(10)</w:t>
            </w:r>
          </w:p>
        </w:tc>
        <w:tc>
          <w:tcPr>
            <w:tcW w:w="6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2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w:t>
            </w:r>
          </w:p>
        </w:tc>
        <w:tc>
          <w:tcPr>
            <w:tcW w:w="6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w:t>
            </w:r>
          </w:p>
        </w:tc>
        <w:tc>
          <w:tcPr>
            <w:tcW w:w="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60" w:type="dxa"/>
            <w:vAlign w:val="bottom"/>
          </w:tcPr>
          <w:p>
            <w:pPr>
              <w:spacing w:after="0"/>
              <w:rPr>
                <w:sz w:val="16"/>
                <w:szCs w:val="16"/>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50"/>
        </w:trPr>
        <w:tc>
          <w:tcPr>
            <w:tcW w:w="2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2022 1,084,590</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4,032,225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5,409,410</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650,754</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b w:val="1"/>
                <w:bCs w:val="1"/>
                <w:color w:val="auto"/>
              </w:rPr>
              <w:t>98,821</w:t>
            </w:r>
            <w:r>
              <w:rPr>
                <w:rFonts w:ascii="Times New Roman" w:cs="Times New Roman" w:eastAsia="Times New Roman" w:hAnsi="Times New Roman"/>
                <w:sz w:val="29"/>
                <w:szCs w:val="29"/>
                <w:color w:val="auto"/>
                <w:vertAlign w:val="superscript"/>
              </w:rPr>
              <w:t>(11)</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11,275,830</w:t>
            </w:r>
          </w:p>
        </w:tc>
        <w:tc>
          <w:tcPr>
            <w:tcW w:w="0" w:type="dxa"/>
            <w:vAlign w:val="bottom"/>
          </w:tcPr>
          <w:p>
            <w:pPr>
              <w:spacing w:after="0"/>
              <w:rPr>
                <w:sz w:val="1"/>
                <w:szCs w:val="1"/>
                <w:color w:val="auto"/>
              </w:rPr>
            </w:pPr>
          </w:p>
        </w:tc>
      </w:tr>
      <w:tr>
        <w:trPr>
          <w:trHeight w:val="207"/>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President and Chief</w:t>
            </w:r>
          </w:p>
        </w:tc>
        <w:tc>
          <w:tcPr>
            <w:tcW w:w="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1,053,000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5,691,794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3,326,492</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1,000,350</w:t>
            </w:r>
          </w:p>
        </w:tc>
        <w:tc>
          <w:tcPr>
            <w:tcW w:w="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81,980</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11,153,616</w:t>
            </w:r>
          </w:p>
        </w:tc>
        <w:tc>
          <w:tcPr>
            <w:tcW w:w="0" w:type="dxa"/>
            <w:vAlign w:val="bottom"/>
          </w:tcPr>
          <w:p>
            <w:pPr>
              <w:spacing w:after="0"/>
              <w:rPr>
                <w:sz w:val="1"/>
                <w:szCs w:val="1"/>
                <w:color w:val="auto"/>
              </w:rPr>
            </w:pPr>
          </w:p>
        </w:tc>
      </w:tr>
      <w:tr>
        <w:trPr>
          <w:trHeight w:val="171"/>
        </w:trPr>
        <w:tc>
          <w:tcPr>
            <w:tcW w:w="20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80" w:type="dxa"/>
            <w:vAlign w:val="bottom"/>
            <w:gridSpan w:val="2"/>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1,053,000</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4,996,266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4,004,108</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1,092,000</w:t>
            </w: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95,775</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11,241,149</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b w:val="1"/>
                <w:bCs w:val="1"/>
                <w:color w:val="auto"/>
              </w:rPr>
              <w:t>Jillian B. Thomsen</w:t>
            </w:r>
            <w:r>
              <w:rPr>
                <w:rFonts w:ascii="Times New Roman" w:cs="Times New Roman" w:eastAsia="Times New Roman" w:hAnsi="Times New Roman"/>
                <w:sz w:val="29"/>
                <w:szCs w:val="29"/>
                <w:color w:val="auto"/>
                <w:vertAlign w:val="superscript"/>
              </w:rPr>
              <w:t>(1)</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522,200</w:t>
            </w: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1,629,478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2,185,994</w:t>
            </w: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198,000</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line="288" w:lineRule="exact"/>
              <w:rPr>
                <w:sz w:val="20"/>
                <w:szCs w:val="20"/>
                <w:color w:val="auto"/>
              </w:rPr>
            </w:pPr>
            <w:r>
              <w:rPr>
                <w:rFonts w:ascii="Times New Roman" w:cs="Times New Roman" w:eastAsia="Times New Roman" w:hAnsi="Times New Roman"/>
                <w:sz w:val="18"/>
                <w:szCs w:val="18"/>
                <w:b w:val="1"/>
                <w:bCs w:val="1"/>
                <w:color w:val="auto"/>
              </w:rPr>
              <w:t>22,645</w:t>
            </w:r>
            <w:r>
              <w:rPr>
                <w:rFonts w:ascii="Times New Roman" w:cs="Times New Roman" w:eastAsia="Times New Roman" w:hAnsi="Times New Roman"/>
                <w:sz w:val="29"/>
                <w:szCs w:val="29"/>
                <w:color w:val="auto"/>
                <w:vertAlign w:val="superscript"/>
              </w:rPr>
              <w:t>(12)</w:t>
            </w: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4,558,317</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Chief Accounting</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A. Wilson</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527,500</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1,629,478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2,185,994</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194,400</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28,093</w:t>
            </w:r>
            <w:r>
              <w:rPr>
                <w:rFonts w:ascii="Times New Roman" w:cs="Times New Roman" w:eastAsia="Times New Roman" w:hAnsi="Times New Roman"/>
                <w:sz w:val="29"/>
                <w:szCs w:val="29"/>
                <w:color w:val="auto"/>
                <w:vertAlign w:val="superscript"/>
              </w:rPr>
              <w:t>(13)</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4,565,465</w:t>
            </w:r>
          </w:p>
        </w:tc>
        <w:tc>
          <w:tcPr>
            <w:tcW w:w="0" w:type="dxa"/>
            <w:vAlign w:val="bottom"/>
          </w:tcPr>
          <w:p>
            <w:pPr>
              <w:spacing w:after="0"/>
              <w:rPr>
                <w:sz w:val="1"/>
                <w:szCs w:val="1"/>
                <w:color w:val="auto"/>
              </w:rPr>
            </w:pPr>
          </w:p>
        </w:tc>
      </w:tr>
      <w:tr>
        <w:trPr>
          <w:trHeight w:val="238"/>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Chief Legal Officer</w:t>
            </w:r>
          </w:p>
        </w:tc>
        <w:tc>
          <w:tcPr>
            <w:tcW w:w="2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1,707,078</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998,320</w:t>
            </w:r>
          </w:p>
        </w:tc>
        <w:tc>
          <w:tcPr>
            <w:tcW w:w="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287,500</w:t>
            </w:r>
          </w:p>
        </w:tc>
        <w:tc>
          <w:tcPr>
            <w:tcW w:w="6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10,763</w:t>
            </w:r>
          </w:p>
        </w:tc>
        <w:tc>
          <w:tcPr>
            <w:tcW w:w="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3,503,661</w:t>
            </w: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1,604,292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1,071,122</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270,000</w:t>
            </w: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10,492</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3,455,906</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703,490</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1,325,673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1,778,436</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253,256</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289,625</w:t>
            </w:r>
            <w:r>
              <w:rPr>
                <w:rFonts w:ascii="Times New Roman" w:cs="Times New Roman" w:eastAsia="Times New Roman" w:hAnsi="Times New Roman"/>
                <w:sz w:val="29"/>
                <w:szCs w:val="29"/>
                <w:color w:val="auto"/>
                <w:vertAlign w:val="superscript"/>
              </w:rPr>
              <w:t>(14)</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4,350,480</w:t>
            </w:r>
          </w:p>
        </w:tc>
        <w:tc>
          <w:tcPr>
            <w:tcW w:w="0" w:type="dxa"/>
            <w:vAlign w:val="bottom"/>
          </w:tcPr>
          <w:p>
            <w:pPr>
              <w:spacing w:after="0"/>
              <w:rPr>
                <w:sz w:val="1"/>
                <w:szCs w:val="1"/>
                <w:color w:val="auto"/>
              </w:rPr>
            </w:pPr>
          </w:p>
        </w:tc>
      </w:tr>
      <w:tr>
        <w:trPr>
          <w:trHeight w:val="207"/>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Chief Research and</w:t>
            </w:r>
          </w:p>
        </w:tc>
        <w:tc>
          <w:tcPr>
            <w:tcW w:w="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683,000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2,391,094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1,397,498</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471,270</w:t>
            </w:r>
          </w:p>
        </w:tc>
        <w:tc>
          <w:tcPr>
            <w:tcW w:w="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8,385</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4,951,247</w:t>
            </w:r>
          </w:p>
        </w:tc>
        <w:tc>
          <w:tcPr>
            <w:tcW w:w="0" w:type="dxa"/>
            <w:vAlign w:val="bottom"/>
          </w:tcPr>
          <w:p>
            <w:pPr>
              <w:spacing w:after="0"/>
              <w:rPr>
                <w:sz w:val="1"/>
                <w:szCs w:val="1"/>
                <w:color w:val="auto"/>
              </w:rPr>
            </w:pPr>
          </w:p>
        </w:tc>
      </w:tr>
      <w:tr>
        <w:trPr>
          <w:trHeight w:val="171"/>
        </w:trPr>
        <w:tc>
          <w:tcPr>
            <w:tcW w:w="20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Development Officer</w:t>
            </w:r>
          </w:p>
        </w:tc>
        <w:tc>
          <w:tcPr>
            <w:tcW w:w="2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80" w:type="dxa"/>
            <w:vAlign w:val="bottom"/>
            <w:gridSpan w:val="2"/>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683,000</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2,247,676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1,501,672</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9,149</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4,941,497</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b w:val="1"/>
                <w:bCs w:val="1"/>
                <w:color w:val="auto"/>
              </w:rPr>
              <w:t>Gil M. Labrucherie</w:t>
            </w:r>
            <w:r>
              <w:rPr>
                <w:rFonts w:ascii="Times New Roman" w:cs="Times New Roman" w:eastAsia="Times New Roman" w:hAnsi="Times New Roman"/>
                <w:sz w:val="29"/>
                <w:szCs w:val="29"/>
                <w:color w:val="auto"/>
                <w:vertAlign w:val="superscript"/>
              </w:rPr>
              <w:t>(2)</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576,733</w:t>
            </w: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line="288" w:lineRule="exact"/>
              <w:rPr>
                <w:sz w:val="20"/>
                <w:szCs w:val="20"/>
                <w:color w:val="auto"/>
              </w:rPr>
            </w:pPr>
            <w:r>
              <w:rPr>
                <w:rFonts w:ascii="Times New Roman" w:cs="Times New Roman" w:eastAsia="Times New Roman" w:hAnsi="Times New Roman"/>
                <w:sz w:val="18"/>
                <w:szCs w:val="18"/>
                <w:b w:val="1"/>
                <w:bCs w:val="1"/>
                <w:color w:val="auto"/>
              </w:rPr>
              <w:t>10,972</w:t>
            </w:r>
            <w:r>
              <w:rPr>
                <w:rFonts w:ascii="Times New Roman" w:cs="Times New Roman" w:eastAsia="Times New Roman" w:hAnsi="Times New Roman"/>
                <w:sz w:val="29"/>
                <w:szCs w:val="29"/>
                <w:color w:val="auto"/>
                <w:vertAlign w:val="superscript"/>
              </w:rPr>
              <w:t>(15)</w:t>
            </w: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587,705</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Former Chief</w:t>
            </w:r>
          </w:p>
        </w:tc>
        <w:tc>
          <w:tcPr>
            <w:tcW w:w="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788,000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2,391,094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1,397,498</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679,650</w:t>
            </w:r>
          </w:p>
        </w:tc>
        <w:tc>
          <w:tcPr>
            <w:tcW w:w="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23,314</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5,279,556</w:t>
            </w:r>
          </w:p>
        </w:tc>
        <w:tc>
          <w:tcPr>
            <w:tcW w:w="0" w:type="dxa"/>
            <w:vAlign w:val="bottom"/>
          </w:tcPr>
          <w:p>
            <w:pPr>
              <w:spacing w:after="0"/>
              <w:rPr>
                <w:sz w:val="1"/>
                <w:szCs w:val="1"/>
                <w:color w:val="auto"/>
              </w:rPr>
            </w:pPr>
          </w:p>
        </w:tc>
      </w:tr>
      <w:tr>
        <w:trPr>
          <w:trHeight w:val="130"/>
        </w:trPr>
        <w:tc>
          <w:tcPr>
            <w:tcW w:w="20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Officer and</w:t>
            </w:r>
          </w:p>
        </w:tc>
        <w:tc>
          <w:tcPr>
            <w:tcW w:w="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788,000</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2,247,676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1,501,672</w:t>
            </w: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721,000</w:t>
            </w:r>
          </w:p>
        </w:tc>
        <w:tc>
          <w:tcPr>
            <w:tcW w:w="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27,574</w:t>
            </w:r>
          </w:p>
        </w:tc>
        <w:tc>
          <w:tcPr>
            <w:tcW w:w="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5,285,922</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80" w:type="dxa"/>
            <w:vAlign w:val="bottom"/>
            <w:gridSpan w:val="2"/>
            <w:shd w:val="clear" w:color="auto" w:fill="CCEEFF"/>
          </w:tcPr>
          <w:p>
            <w:pPr>
              <w:spacing w:after="0" w:line="288" w:lineRule="exact"/>
              <w:rPr>
                <w:sz w:val="20"/>
                <w:szCs w:val="20"/>
                <w:color w:val="auto"/>
              </w:rPr>
            </w:pPr>
            <w:r>
              <w:rPr>
                <w:rFonts w:ascii="Times New Roman" w:cs="Times New Roman" w:eastAsia="Times New Roman" w:hAnsi="Times New Roman"/>
                <w:sz w:val="18"/>
                <w:szCs w:val="18"/>
                <w:b w:val="1"/>
                <w:bCs w:val="1"/>
                <w:color w:val="auto"/>
              </w:rPr>
              <w:t>John Northcott</w:t>
            </w:r>
            <w:r>
              <w:rPr>
                <w:rFonts w:ascii="Times New Roman" w:cs="Times New Roman" w:eastAsia="Times New Roman" w:hAnsi="Times New Roman"/>
                <w:sz w:val="29"/>
                <w:szCs w:val="29"/>
                <w:color w:val="auto"/>
                <w:vertAlign w:val="superscript"/>
              </w:rPr>
              <w:t>(3)</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441,662</w:t>
            </w: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line="288" w:lineRule="exact"/>
              <w:rPr>
                <w:sz w:val="20"/>
                <w:szCs w:val="20"/>
                <w:color w:val="auto"/>
              </w:rPr>
            </w:pPr>
            <w:r>
              <w:rPr>
                <w:rFonts w:ascii="Times New Roman" w:cs="Times New Roman" w:eastAsia="Times New Roman" w:hAnsi="Times New Roman"/>
                <w:sz w:val="18"/>
                <w:szCs w:val="18"/>
                <w:b w:val="1"/>
                <w:bCs w:val="1"/>
                <w:color w:val="auto"/>
              </w:rPr>
              <w:t>923,019</w:t>
            </w:r>
            <w:r>
              <w:rPr>
                <w:rFonts w:ascii="Times New Roman" w:cs="Times New Roman" w:eastAsia="Times New Roman" w:hAnsi="Times New Roman"/>
                <w:sz w:val="29"/>
                <w:szCs w:val="29"/>
                <w:color w:val="auto"/>
                <w:vertAlign w:val="superscript"/>
              </w:rPr>
              <w:t>(16)</w:t>
            </w: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1,364,681</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Former Chief</w:t>
            </w:r>
          </w:p>
        </w:tc>
        <w:tc>
          <w:tcPr>
            <w:tcW w:w="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1,707,078</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998,320</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388,125</w:t>
            </w:r>
          </w:p>
        </w:tc>
        <w:tc>
          <w:tcPr>
            <w:tcW w:w="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7,950</w:t>
            </w:r>
          </w:p>
        </w:tc>
        <w:tc>
          <w:tcPr>
            <w:tcW w:w="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3,776,473</w:t>
            </w:r>
          </w:p>
        </w:tc>
        <w:tc>
          <w:tcPr>
            <w:tcW w:w="0" w:type="dxa"/>
            <w:vAlign w:val="bottom"/>
          </w:tcPr>
          <w:p>
            <w:pPr>
              <w:spacing w:after="0"/>
              <w:rPr>
                <w:sz w:val="1"/>
                <w:szCs w:val="1"/>
                <w:color w:val="auto"/>
              </w:rPr>
            </w:pPr>
          </w:p>
        </w:tc>
      </w:tr>
      <w:tr>
        <w:trPr>
          <w:trHeight w:val="130"/>
        </w:trPr>
        <w:tc>
          <w:tcPr>
            <w:tcW w:w="20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Commercial Officer</w:t>
            </w:r>
          </w:p>
        </w:tc>
        <w:tc>
          <w:tcPr>
            <w:tcW w:w="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675,000</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1,604,292</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1,071,122</w:t>
            </w:r>
          </w:p>
        </w:tc>
        <w:tc>
          <w:tcPr>
            <w:tcW w:w="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364,500</w:t>
            </w:r>
          </w:p>
        </w:tc>
        <w:tc>
          <w:tcPr>
            <w:tcW w:w="6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117,884</w:t>
            </w:r>
          </w:p>
        </w:tc>
        <w:tc>
          <w:tcPr>
            <w:tcW w:w="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3,832,798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-4902835</wp:posOffset>
            </wp:positionV>
            <wp:extent cx="34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-4902835</wp:posOffset>
            </wp:positionV>
            <wp:extent cx="34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-4902835</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-4902835</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-4902835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-4902835</wp:posOffset>
            </wp:positionV>
            <wp:extent cx="34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-4902835</wp:posOffset>
            </wp:positionV>
            <wp:extent cx="342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-4902835</wp:posOffset>
            </wp:positionV>
            <wp:extent cx="34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4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Thomsen was appointed our Chief Financial Officer and Chief Accounting Officer as of July 1, 2022. Previously, Ms. Thomsen served as our Senior Vice President, Finance and Chief Accounting Officer and was not a named executive officer of the Company for the 2021 and 2020 fiscal years.</w:t>
      </w:r>
    </w:p>
    <w:p>
      <w:pPr>
        <w:spacing w:after="0" w:line="14"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Labrucherie’s employment with the Company ended on July 15, 2022. The amount of base salary reported reflects the amount of base salary paid to Mr. Labrucherie in 2022 before his departure. Mr. Labrucherie did not receive any grants of stock awards or option awards or non-equity incentive plan compensation in 2022.</w:t>
      </w:r>
    </w:p>
    <w:p>
      <w:pPr>
        <w:spacing w:after="0" w:line="14"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Northcott’s employment with the Company ended on June 30, 2022. The amount of base salary reported reflects the amount of base salary paid to Mr. Northcott in 2022 before his departure. Mr. Northcott did not receive any grants of stock awards or option awards or non-equity incentive plan compensation in 2022.</w:t>
      </w:r>
    </w:p>
    <w:p>
      <w:pPr>
        <w:spacing w:after="0" w:line="14" w:lineRule="exact"/>
        <w:rPr>
          <w:rFonts w:ascii="Times New Roman" w:cs="Times New Roman" w:eastAsia="Times New Roman" w:hAnsi="Times New Roman"/>
          <w:sz w:val="14"/>
          <w:szCs w:val="14"/>
          <w:color w:val="auto"/>
        </w:rPr>
      </w:pPr>
    </w:p>
    <w:p>
      <w:pPr>
        <w:ind w:left="640" w:right="299" w:hanging="348"/>
        <w:spacing w:after="0" w:line="23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RSU awards computed in accordance with Financial Accounting Standards Board Accounting Standards Codification Topic 718, Compensation-Stock Compensation (“FASB ASC Topic 718”), based on the closing price of the Company’s common stock on the grant date and excluding the effects of estimated forfeitures. For a complete description of the assumptions made in determining the valuation, please refer to (i) Note 12 (Stock-Based Compensation) to our audited financial statements in our annual report on Form 10-K for the fiscal year ended December 31, 2022 and (ii) similar footnotes to our audited financial statements in our annual reports on Form 10-K for prior years when the awards were granted.</w:t>
      </w:r>
    </w:p>
    <w:p>
      <w:pPr>
        <w:spacing w:after="0" w:line="15"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the stock options granted in the applicable year computed in accordance with FASB ASC Topic 718, which excludes the effects of estimated forfeitures. For a complete description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59"/>
        <w:spacing w:after="0" w:line="241" w:lineRule="auto"/>
        <w:rPr>
          <w:sz w:val="20"/>
          <w:szCs w:val="20"/>
          <w:color w:val="auto"/>
        </w:rPr>
      </w:pPr>
      <w:r>
        <w:rPr>
          <w:rFonts w:ascii="Times New Roman" w:cs="Times New Roman" w:eastAsia="Times New Roman" w:hAnsi="Times New Roman"/>
          <w:sz w:val="14"/>
          <w:szCs w:val="14"/>
          <w:color w:val="auto"/>
        </w:rPr>
        <w:t>assumptions made in determining the valuation, please refer to (i) Note 12 (Stock-Based Compensation) to our audited financial statements in our annual report on Form 10-K for the fiscal year ended December 31, 2022 and (ii) similar footnotes to our audited financial statements in our annual reports on Form 10-K for prior years when the awards were granted.</w:t>
      </w:r>
    </w:p>
    <w:p>
      <w:pPr>
        <w:spacing w:after="0" w:line="15" w:lineRule="exact"/>
        <w:rPr>
          <w:sz w:val="20"/>
          <w:szCs w:val="20"/>
          <w:color w:val="auto"/>
        </w:rPr>
      </w:pPr>
    </w:p>
    <w:p>
      <w:pPr>
        <w:ind w:left="640" w:right="479"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(54% for Mr. Robin) of the annual equity awards granted to the NEOs in 2020 were performance-based with, 40% (44% for Mr. Robin) of the annual equity award granted to the NEOs in 2020 vesting only to the extent a specified performance-based vesting condition is satisfied within 5 years of grant and 20% (11% for Mr. Robin) of the annual equity award vesting at 2 and 3 years if certain total shareholder return criteria are satisfied on December 31, 2022. If the performance-based vesting condition is satisfied, then the performance-based equity awards also remain subject to a time-based vesting requirement. The amounts reported in the “Stock Awards” and “Option Awards” column of the table for 2020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02" w:lineRule="exact"/>
        <w:rPr>
          <w:rFonts w:ascii="Times New Roman" w:cs="Times New Roman" w:eastAsia="Times New Roman" w:hAnsi="Times New Roman"/>
          <w:sz w:val="14"/>
          <w:szCs w:val="14"/>
          <w:color w:val="auto"/>
        </w:rPr>
      </w:pPr>
    </w:p>
    <w:p>
      <w:pPr>
        <w:ind w:left="640" w:right="319" w:hanging="348"/>
        <w:spacing w:after="0" w:line="228"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 of the annual equity awards granted to the NEOs in 2021 were performance-based with, 37% of the annual equity award granted to the NEOs in 2021 vesting only to the extent a specified performance-based vesting condition is satisfied within 5 years of grant and 19% of the annual equity award vesting at 2 and 3 years if certain total shareholder return criteria are satisfied on December 31, 2023. If the performance-based vesting condition is satisfied, then the performance-based equity awards also remain subject to a time-based vesting requirement. The amounts reported in the “Stock Awards” and “Option Awards” column of the table for 2021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8" w:lineRule="exact"/>
        <w:rPr>
          <w:rFonts w:ascii="Times New Roman" w:cs="Times New Roman" w:eastAsia="Times New Roman" w:hAnsi="Times New Roman"/>
          <w:sz w:val="14"/>
          <w:szCs w:val="14"/>
          <w:color w:val="auto"/>
        </w:rPr>
      </w:pPr>
    </w:p>
    <w:p>
      <w:pPr>
        <w:ind w:left="640" w:right="379"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the 2021 performance-based equity awards vest only to the extent a specified performance-based vesting condition is satisfied by June 1, 2022. Since the performance-based vesting condition was not met, all RSUs granted under such performance grants were forfeited and cancelled in 2022. However, the amounts reported in the “Stock Awards” column of the table for 2021 include the grant date fair value of such RSUs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40" w:lineRule="exact"/>
        <w:rPr>
          <w:rFonts w:ascii="Times New Roman" w:cs="Times New Roman" w:eastAsia="Times New Roman" w:hAnsi="Times New Roman"/>
          <w:sz w:val="14"/>
          <w:szCs w:val="14"/>
          <w:color w:val="auto"/>
        </w:rPr>
      </w:pPr>
    </w:p>
    <w:p>
      <w:pPr>
        <w:ind w:left="640" w:right="479" w:hanging="348"/>
        <w:spacing w:after="0" w:line="229"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annual equity awards granted to the NEOs in 2022 were performance-based with vesting only to the extent a specified performance-based vesting condition is satisfied within 3 years of grant. If the performance-based vesting condition is satisfied, then the performance-based equity awards also remain subject to a time-based vesting requirement. The amounts reported in the “Stock Awards” and “Option Awards” column of the table for 2022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8" w:lineRule="exact"/>
        <w:rPr>
          <w:rFonts w:ascii="Times New Roman" w:cs="Times New Roman" w:eastAsia="Times New Roman" w:hAnsi="Times New Roman"/>
          <w:sz w:val="14"/>
          <w:szCs w:val="14"/>
          <w:color w:val="auto"/>
        </w:rPr>
      </w:pPr>
    </w:p>
    <w:p>
      <w:pPr>
        <w:ind w:left="640" w:right="93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2020, 2021 and 2022 represent amounts earned under the Incentive Compensation Plan for that year or, for Mr. Robin, under his amended and restated offer letter effective as of December 1, 2008.</w:t>
      </w:r>
    </w:p>
    <w:p>
      <w:pPr>
        <w:ind w:left="640" w:right="5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$68,683, (ii) group term life insurance premiums of $12,192, (iii) $1,735 for tax gross-up, (iv) a $12,000 contribution to the Company’s 401(k) plan, (v) a service award of $2,500, and (iv) $1,710 for long term disability post tax.</w:t>
      </w:r>
    </w:p>
    <w:p>
      <w:pPr>
        <w:ind w:left="640" w:right="7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$2,867, (ii) group term life insurance premiums of $4,128, (iii) a $12,000 contribution to the Company’s 401(k) plan, and (vi) a $3,650 contribution to a Health Savings Account.</w:t>
      </w:r>
    </w:p>
    <w:p>
      <w:pPr>
        <w:ind w:left="640" w:right="299" w:hanging="348"/>
        <w:spacing w:after="0" w:line="24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$1,605, (ii) group term life insurance premiums of 2,208, (iii) $2,643 for tax gross up, (vi) a $12,000 contribution to the Company’s 401(k) plan, (v) a service award of $5,000, (vi) a $3,650 contribution to the Health Savings Account, and (vii) $987 for parking pass and tax gross-up.</w:t>
      </w:r>
    </w:p>
    <w:p>
      <w:pPr>
        <w:spacing w:after="0" w:line="14"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$1,185, (ii) group term life insurance premiums of $1,440, (iii) a $12,000 contribution to the company’s 401(k) plan and (iv) a retention cash award of $275,000 that Dr. Zalevsky received on August 31, 2022, which is subject to full repayment by Dr. Zalevsky if Dr. Zalevsky resigns or is terminated for cause on or before October 1, 2023.</w:t>
      </w:r>
    </w:p>
    <w:p>
      <w:pPr>
        <w:spacing w:after="0" w:line="14" w:lineRule="exact"/>
        <w:rPr>
          <w:rFonts w:ascii="Times New Roman" w:cs="Times New Roman" w:eastAsia="Times New Roman" w:hAnsi="Times New Roman"/>
          <w:sz w:val="14"/>
          <w:szCs w:val="14"/>
          <w:color w:val="auto"/>
        </w:rPr>
      </w:pPr>
    </w:p>
    <w:p>
      <w:pPr>
        <w:ind w:left="640" w:right="299" w:hanging="348"/>
        <w:spacing w:after="0" w:line="24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$881, (ii) group term life insurance premiums of $1,104, (iii) $76 for tax gross up, (iv) $855 for long term disability post tax, (v) a $1,825 contribution to the Health Savings Account, (vi) $38 for parking pass and tax gross up, (vii) $6,049 in imputed income for domestic partner insurance coverage, and (viii) a $144 raffle prize.</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$309, (ii) group term life insurance premiums of $720, (iii) $784 for long term disability post tax, and (iv) a $921,206 severance payment in connection with Mr. Northcott’s departure from the Company.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Employment Agreements</w:t>
      </w:r>
    </w:p>
    <w:p>
      <w:pPr>
        <w:spacing w:after="0" w:line="121" w:lineRule="exact"/>
        <w:rPr>
          <w:sz w:val="20"/>
          <w:szCs w:val="20"/>
          <w:color w:val="auto"/>
        </w:rPr>
      </w:pPr>
    </w:p>
    <w:p>
      <w:pPr>
        <w:ind w:left="300" w:right="679" w:firstLine="360"/>
        <w:spacing w:after="0" w:line="273" w:lineRule="auto"/>
        <w:rPr>
          <w:sz w:val="20"/>
          <w:szCs w:val="20"/>
          <w:color w:val="auto"/>
        </w:rPr>
      </w:pPr>
      <w:r>
        <w:rPr>
          <w:rFonts w:ascii="Times New Roman" w:cs="Times New Roman" w:eastAsia="Times New Roman" w:hAnsi="Times New Roman"/>
          <w:sz w:val="17"/>
          <w:szCs w:val="17"/>
          <w:color w:val="auto"/>
        </w:rPr>
        <w:t>Each of the NEOs has entered into our standard form of employment agreement and an offer letter or letter agreement. The form of employment agreement provides for protective covenants with respect to confidential information, intellectual property and assignment of inventions and also sets forth other standard terms and conditions of employment. The offer letter agreements do not provide for any minimum or guaranteed term of employment. The letter agreements entered into by each of the NEOs establish the compensation arrangements following separation from us under certain circumstances. Please see “Potential Payments upon Termination or Change of Control” below for more information on these separation arrangements.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 BASED AWARDS IN 2022</w:t>
      </w:r>
    </w:p>
    <w:p>
      <w:pPr>
        <w:spacing w:after="0" w:line="121" w:lineRule="exact"/>
        <w:rPr>
          <w:sz w:val="20"/>
          <w:szCs w:val="20"/>
          <w:color w:val="auto"/>
        </w:rPr>
      </w:pPr>
    </w:p>
    <w:p>
      <w:pPr>
        <w:ind w:left="340" w:right="5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2022, certain information regarding grants of plan-based awards to the NEOs.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46"/>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center"/>
              <w:ind w:right="100"/>
              <w:spacing w:after="0" w:line="146" w:lineRule="exact"/>
              <w:rPr>
                <w:sz w:val="20"/>
                <w:szCs w:val="20"/>
                <w:color w:val="auto"/>
              </w:rPr>
            </w:pPr>
            <w:r>
              <w:rPr>
                <w:rFonts w:ascii="Times New Roman" w:cs="Times New Roman" w:eastAsia="Times New Roman" w:hAnsi="Times New Roman"/>
                <w:sz w:val="13"/>
                <w:szCs w:val="13"/>
                <w:b w:val="1"/>
                <w:bCs w:val="1"/>
                <w:color w:val="auto"/>
              </w:rPr>
              <w:t>Under Non-Equity</w:t>
            </w:r>
          </w:p>
        </w:tc>
        <w:tc>
          <w:tcPr>
            <w:tcW w:w="186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Under Equity</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3"/>
                <w:szCs w:val="13"/>
                <w:b w:val="1"/>
                <w:bCs w:val="1"/>
                <w:color w:val="auto"/>
              </w:rPr>
              <w:t>Awards:</w:t>
            </w:r>
          </w:p>
        </w:tc>
        <w:tc>
          <w:tcPr>
            <w:tcW w:w="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3"/>
                <w:szCs w:val="13"/>
                <w:b w:val="1"/>
                <w:bCs w:val="1"/>
                <w:color w:val="auto"/>
              </w:rPr>
              <w:t>Awards:</w:t>
            </w:r>
          </w:p>
        </w:tc>
        <w:tc>
          <w:tcPr>
            <w:tcW w:w="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8"/>
        </w:trPr>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100"/>
              <w:spacing w:after="0" w:line="168" w:lineRule="exact"/>
              <w:rPr>
                <w:sz w:val="20"/>
                <w:szCs w:val="20"/>
                <w:color w:val="auto"/>
              </w:rPr>
            </w:pPr>
            <w:r>
              <w:rPr>
                <w:rFonts w:ascii="Times New Roman" w:cs="Times New Roman" w:eastAsia="Times New Roman" w:hAnsi="Times New Roman"/>
                <w:sz w:val="12"/>
                <w:szCs w:val="12"/>
                <w:b w:val="1"/>
                <w:bCs w:val="1"/>
                <w:color w:val="auto"/>
              </w:rPr>
              <w:t>Incentive Plan Awards</w:t>
            </w:r>
            <w:r>
              <w:rPr>
                <w:rFonts w:ascii="Times New Roman" w:cs="Times New Roman" w:eastAsia="Times New Roman" w:hAnsi="Times New Roman"/>
                <w:sz w:val="19"/>
                <w:szCs w:val="19"/>
                <w:b w:val="1"/>
                <w:bCs w:val="1"/>
                <w:color w:val="auto"/>
                <w:vertAlign w:val="superscript"/>
              </w:rPr>
              <w:t>(1)</w:t>
            </w:r>
          </w:p>
        </w:tc>
        <w:tc>
          <w:tcPr>
            <w:tcW w:w="1860" w:type="dxa"/>
            <w:vAlign w:val="bottom"/>
            <w:gridSpan w:val="5"/>
          </w:tcPr>
          <w:p>
            <w:pPr>
              <w:jc w:val="center"/>
              <w:spacing w:after="0" w:line="168" w:lineRule="exact"/>
              <w:rPr>
                <w:sz w:val="20"/>
                <w:szCs w:val="20"/>
                <w:color w:val="auto"/>
              </w:rPr>
            </w:pPr>
            <w:r>
              <w:rPr>
                <w:rFonts w:ascii="Times New Roman" w:cs="Times New Roman" w:eastAsia="Times New Roman" w:hAnsi="Times New Roman"/>
                <w:sz w:val="12"/>
                <w:szCs w:val="12"/>
                <w:b w:val="1"/>
                <w:bCs w:val="1"/>
                <w:color w:val="auto"/>
              </w:rPr>
              <w:t>Incentive Plan Awards</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or Base</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r>
      <w:tr>
        <w:trPr>
          <w:trHeight w:val="112"/>
        </w:trPr>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2"/>
                <w:szCs w:val="12"/>
                <w:b w:val="1"/>
                <w:bCs w:val="1"/>
                <w:color w:val="auto"/>
              </w:rPr>
              <w:t>of Shares</w:t>
            </w:r>
          </w:p>
        </w:tc>
        <w:tc>
          <w:tcPr>
            <w:tcW w:w="78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62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2"/>
                <w:szCs w:val="12"/>
                <w:b w:val="1"/>
                <w:bCs w:val="1"/>
                <w:color w:val="auto"/>
              </w:rPr>
              <w:t>Price of</w:t>
            </w:r>
          </w:p>
        </w:tc>
        <w:tc>
          <w:tcPr>
            <w:tcW w:w="680" w:type="dxa"/>
            <w:vAlign w:val="bottom"/>
          </w:tcPr>
          <w:p>
            <w:pPr>
              <w:jc w:val="center"/>
              <w:spacing w:after="0" w:line="112" w:lineRule="exact"/>
              <w:rPr>
                <w:sz w:val="20"/>
                <w:szCs w:val="20"/>
                <w:color w:val="auto"/>
              </w:rPr>
            </w:pPr>
            <w:r>
              <w:rPr>
                <w:rFonts w:ascii="Times New Roman" w:cs="Times New Roman" w:eastAsia="Times New Roman" w:hAnsi="Times New Roman"/>
                <w:sz w:val="12"/>
                <w:szCs w:val="12"/>
                <w:b w:val="1"/>
                <w:bCs w:val="1"/>
                <w:color w:val="auto"/>
              </w:rPr>
              <w:t>and</w:t>
            </w:r>
          </w:p>
        </w:tc>
      </w:tr>
      <w:tr>
        <w:trPr>
          <w:trHeight w:val="148"/>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r>
      <w:tr>
        <w:trPr>
          <w:trHeight w:val="165"/>
        </w:trPr>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r>
      <w:tr>
        <w:trPr>
          <w:trHeight w:val="159"/>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center"/>
              <w:ind w:left="35"/>
              <w:spacing w:after="0" w:line="15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(4)</w:t>
            </w:r>
          </w:p>
        </w:tc>
        <w:tc>
          <w:tcPr>
            <w:tcW w:w="100" w:type="dxa"/>
            <w:vAlign w:val="bottom"/>
          </w:tcPr>
          <w:p>
            <w:pPr>
              <w:spacing w:after="0"/>
              <w:rPr>
                <w:sz w:val="13"/>
                <w:szCs w:val="13"/>
                <w:color w:val="auto"/>
              </w:rPr>
            </w:pPr>
          </w:p>
        </w:tc>
        <w:tc>
          <w:tcPr>
            <w:tcW w:w="62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1"/>
                <w:szCs w:val="11"/>
                <w:b w:val="1"/>
                <w:bCs w:val="1"/>
                <w:color w:val="auto"/>
              </w:rPr>
              <w:t>($/sh)</w:t>
            </w:r>
            <w:r>
              <w:rPr>
                <w:rFonts w:ascii="Times New Roman" w:cs="Times New Roman" w:eastAsia="Times New Roman" w:hAnsi="Times New Roman"/>
                <w:sz w:val="18"/>
                <w:szCs w:val="18"/>
                <w:b w:val="1"/>
                <w:bCs w:val="1"/>
                <w:color w:val="auto"/>
                <w:vertAlign w:val="superscript"/>
              </w:rPr>
              <w:t>(5)</w:t>
            </w: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(6)</w:t>
            </w:r>
          </w:p>
        </w:tc>
      </w:tr>
      <w:tr>
        <w:trPr>
          <w:trHeight w:val="178"/>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2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(j)</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(k)</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w:t>
            </w:r>
          </w:p>
        </w:tc>
      </w:tr>
      <w:tr>
        <w:trPr>
          <w:trHeight w:val="54"/>
        </w:trPr>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44"/>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Howard W. Robin</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Annual Incentive Award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N/A</w:t>
            </w:r>
          </w:p>
        </w:tc>
        <w:tc>
          <w:tcPr>
            <w:tcW w:w="6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1,084,590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2,169,180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410,625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2,016,169</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410,625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2,016,169</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821,250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2,704,705</w:t>
            </w: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821,250</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2,704,705</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7"/>
        </w:trPr>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Jillian B. Thomsen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Annual Incentive Award</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N/A</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330,000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660,000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165,938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814,756</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165,938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814,756</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331,875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1,092,997</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331,875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1,092,997</w:t>
            </w:r>
          </w:p>
        </w:tc>
      </w:tr>
      <w:tr>
        <w:trPr>
          <w:trHeight w:val="257"/>
        </w:trPr>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6"/>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Mark A. Wilson</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Annual Incentive Award</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N/A</w:t>
            </w:r>
          </w:p>
        </w:tc>
        <w:tc>
          <w:tcPr>
            <w:tcW w:w="6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324,000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648,000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165,938</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814,756</w:t>
            </w: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165,938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814,756</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7"/>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331,875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1,092,997</w:t>
            </w: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331,875</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1,092,997</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6"/>
        </w:trPr>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Jonathan Zalevsky, Ph.D.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6"/>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Annual Incentive Award</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N/A</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422,094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844,188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135,000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662,850</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6"/>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135,000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662,850</w:t>
            </w:r>
          </w:p>
        </w:tc>
      </w:tr>
      <w:tr>
        <w:trPr>
          <w:trHeight w:val="215"/>
        </w:trPr>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270,000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889,218</w:t>
            </w:r>
          </w:p>
        </w:tc>
      </w:tr>
      <w:tr>
        <w:trPr>
          <w:trHeight w:val="41"/>
        </w:trPr>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6"/>
        </w:trPr>
        <w:tc>
          <w:tcPr>
            <w:tcW w:w="1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8/15/2022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270,000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889,218</w:t>
            </w:r>
          </w:p>
        </w:tc>
      </w:tr>
      <w:tr>
        <w:trPr>
          <w:trHeight w:val="54"/>
        </w:trPr>
        <w:tc>
          <w:tcPr>
            <w:tcW w:w="3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-4457065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-4457065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-4457065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-4457065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-4457065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-4457065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-4457065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-4457065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-4457065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-4457065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-4457065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ind w:left="680" w:right="460" w:hanging="348"/>
        <w:spacing w:after="0"/>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potential short-term incentive compensation amounts payable for our 2022 fiscal year under our Incentive Compensation Plan (or for Mr. Robin, the potential amounts payable under his offer letter). The amounts reported represent each NEO’s target and maximum possible payments for 2022. Because actual payments to the NEOs could range from 0% to 200% of their target bonus, no threshold payment amount has been established for the NEOs. The actual short-term incentive bonus amount earned by each NEO for 2022 is reported in Column (g) (Non-Equity Incentive Plan Compensation) of the Summary Compensation Table—Fiscal 2020-2022 above.</w:t>
      </w:r>
    </w:p>
    <w:p>
      <w:pPr>
        <w:spacing w:after="0" w:line="140" w:lineRule="exact"/>
        <w:rPr>
          <w:rFonts w:ascii="Times New Roman" w:cs="Times New Roman" w:eastAsia="Times New Roman" w:hAnsi="Times New Roman"/>
          <w:sz w:val="14"/>
          <w:szCs w:val="14"/>
          <w:color w:val="auto"/>
        </w:rPr>
      </w:pPr>
    </w:p>
    <w:p>
      <w:pPr>
        <w:ind w:left="680" w:right="420" w:hanging="348"/>
        <w:spacing w:after="0"/>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RSU grants (excluding the Performance Grants) are subject to both a three year time-based vesting requirement (quarterly pro-rata vesting) and the achievement of specified performance criteria within three years of grant. There are no thresholds or maximums for such performance-based RSUs or stock options. The performance-based stock option grants are subject to both a three-year time-based vesting requirement (monthly pro-rata vesting) and the achievement of specified performance criteria within three years of grant.</w:t>
      </w:r>
    </w:p>
    <w:p>
      <w:pPr>
        <w:spacing w:after="0" w:line="152"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 grants are subject to a three-year quarterly pro-rata time vesting requirement.</w:t>
      </w:r>
    </w:p>
    <w:p>
      <w:pPr>
        <w:spacing w:after="0" w:line="41"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 grants are subject to a three-year monthly pro-rata time vesting requirement.</w:t>
      </w:r>
    </w:p>
    <w:p>
      <w:pPr>
        <w:spacing w:after="0" w:line="41"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 is the closing price of our common stock on the date of grant.</w:t>
      </w:r>
    </w:p>
    <w:p>
      <w:pPr>
        <w:spacing w:after="0" w:line="41" w:lineRule="exact"/>
        <w:rPr>
          <w:rFonts w:ascii="Times New Roman" w:cs="Times New Roman" w:eastAsia="Times New Roman" w:hAnsi="Times New Roman"/>
          <w:sz w:val="14"/>
          <w:szCs w:val="14"/>
          <w:color w:val="auto"/>
        </w:rPr>
      </w:pPr>
    </w:p>
    <w:p>
      <w:pPr>
        <w:ind w:left="680" w:right="360" w:hanging="348"/>
        <w:spacing w:after="0" w:line="231" w:lineRule="auto"/>
        <w:tabs>
          <w:tab w:leader="none" w:pos="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12 (Stock-Based Compensation) to our audited financial statements in our annual report on Form 10-K for the fiscal year ended December 31, 2022 for the relevant assumptions used to determine the grant date fair value of the stock options granted during 2022. The grant date fair value of the RSUs was based on the closing price of our common stock on the grant date. The amounts reflected in this column for RSUs and stock options granted during 2022 that are subject to performance-based vesting conditions represent the grant date fair value of these awards based on the probable outcome (determined as of the grant date in accordance with applicable accounting rules) of the performance-based conditions applicable to the awards.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Plan-Based Awards</w:t>
      </w:r>
    </w:p>
    <w:p>
      <w:pPr>
        <w:spacing w:after="0" w:line="119"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Time-Based Stock Options. </w:t>
      </w:r>
      <w:r>
        <w:rPr>
          <w:rFonts w:ascii="Times New Roman" w:cs="Times New Roman" w:eastAsia="Times New Roman" w:hAnsi="Times New Roman"/>
          <w:sz w:val="18"/>
          <w:szCs w:val="18"/>
          <w:color w:val="auto"/>
        </w:rPr>
        <w:t>Each stock option granted to the NEOs during 2022 may be exercised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designated number of shares of our common stock at an exercise price equal to the closing price of the underlying common stock on the grant date. Each NEO’s stock option award granted in 2022 has a maximum term of eight (8) years and is subject to a vesting schedule that requires the executive’s continued service through the vesting date. The 2022 stock option awards granted to the NEOs will vest on a monthly pro-rata basis over a three-year period following the grant date, subject to the executive’s continued service through the vesting date.</w:t>
      </w:r>
    </w:p>
    <w:p>
      <w:pPr>
        <w:spacing w:after="0" w:line="7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Time-Based Restricted Stock Units. </w:t>
      </w:r>
      <w:r>
        <w:rPr>
          <w:rFonts w:ascii="Times New Roman" w:cs="Times New Roman" w:eastAsia="Times New Roman" w:hAnsi="Times New Roman"/>
          <w:sz w:val="18"/>
          <w:szCs w:val="18"/>
          <w:color w:val="auto"/>
        </w:rPr>
        <w:t>Each NEO’s RSU award granted in 2022 is subject to a vesting 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requires the executive’s continued service through the vesting date. The 2022 RSU annual awards granted to the NEOs will vest on a quarterly pro-rata basis over a three-year period following the grant date, subject to the executive’s continued service through the vesting date.</w:t>
      </w:r>
    </w:p>
    <w:p>
      <w:pPr>
        <w:spacing w:after="0" w:line="74"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Any stock options or RSUs that are unvested upon an NEO’s termination of continuous employment or services will be forfeited without any value, unless the termination of continuous service is a result of death, in which event, subject to any restrictions in the stock option or RSU agreement or equity incentive plan, the stock option would become fully vested and exercisable as of the date of death and the RSU would become fully vested and released as of the date of death. For Mr. Robin, in accordance with his letter agreements, if any stock options are unvested upon a termination of continuous employment as a result of a disability, 50% of the unvested stock options would become fully vested and exercisable as of the date of termination. In accordance with the letter agreements for the NEOs described above, any stock options that are vested upon termination of continuous service by us without cause or by the executive for a good reason resignation (as defined in the CIC Plan) will remain outstanding and exercisable for eighteen (18) months for Mr. Robin and three (3) months for Ms. Thomsen, Mr. Wilson and Dr. Zalevsky. This exercise period is also twelve (12) months if the termination of employment or continuous services is because of disability and is eighteen (18) months if the termination is a result of death. We also have the discretion to extend the applicable exercise period in connection with other terminations of employment. Any vested stock options that are not exercised within the applicable post-termination of employment exercise period will terminate.</w:t>
      </w:r>
    </w:p>
    <w:p>
      <w:pPr>
        <w:spacing w:after="0" w:line="76"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2017 Plan, if there is a change of control of the Company, outstanding awards granted under the plan will generally become fully vested and, in the case of stock options, exercisable, unless the Organization and Compensation Committee provides for the substitution, assumption, exchange or other continuation of the outstanding awards. Any stock options that become vested in connection with a change of control generally must be exercised prior to the change of control, or they will be cancelled in exchange for the right to receive a cash payment in connection with the change of control transaction. In addition, outstanding awards held by our NEOs may vest, upon certain terminations of the NEO’s employment without cause or for a good reason resignation in connection with a change of control and in connection with terminations of employment resulting from disability or death. Please see the “Potential Payments Upon Termination or Change of Control” section below for a description of the vesting that may occur in such circumstances.</w:t>
      </w:r>
    </w:p>
    <w:p>
      <w:pPr>
        <w:spacing w:after="0" w:line="86"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2022 each NEO’s stock option and RSU award was granted under, and is subject to the terms of, the 2017 Plan. The plan is administered by the Organization and Compensation Committee, and this committee has the ability to interpret and make all required determinations under the plan. This authority includes making required proportionate adjustments to outstanding equity awards to reflect certain corporate transactions and making provision to ensure that participants satisfy any required withholding taxes.</w:t>
      </w:r>
    </w:p>
    <w:p>
      <w:pPr>
        <w:spacing w:after="0" w:line="75"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NEOs are not entitled to any dividend equivalent rights on their stock option or RSU awards, and stock option and RSU awards are generally only transferable to a beneficiary of an NEO upon his death.</w:t>
      </w:r>
    </w:p>
    <w:p>
      <w:pPr>
        <w:spacing w:after="0" w:line="5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Short-Term Incentive Compensation. </w:t>
      </w:r>
      <w:r>
        <w:rPr>
          <w:rFonts w:ascii="Times New Roman" w:cs="Times New Roman" w:eastAsia="Times New Roman" w:hAnsi="Times New Roman"/>
          <w:sz w:val="18"/>
          <w:szCs w:val="18"/>
          <w:color w:val="auto"/>
        </w:rPr>
        <w:t>All of the NEOs were eligible to earn a short-term incentive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under the Incentive Compensation Plan or, for Mr. Robin, under an arrangement that mirrors the Incentive Compensation Plan in his amended and restated offer letter effective as of December 1, 2008. These opportunities are reflected in the “Estimated Possible Payouts Under Non-Equity Incentive Plan Awards” columns of the table above. Please see “Compensation Discussion and Analysis—Current Executive Compensation Program Elements— Short-Term Incentive Compensation” for a description of the material terms of the Incentive Compensation Plan and Mr. Robin’s related short-term incentive compensation arrangement. 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2022 each NEO was eligible to earn an incentive cash compensation payment for the 2022 performance period based on a combination of the Company’s achievement of corporate performance objectives and individual performance, except Mr. Robin’s incentive cash compensation payment is based solely on the Company’s corporate performance.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2022</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value of all unexercised stock options and outstanding equity awards previously awarded to the NEOs as of December 31, 2022.</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60" w:type="dxa"/>
            <w:vAlign w:val="bottom"/>
          </w:tcPr>
          <w:p>
            <w:pPr>
              <w:spacing w:after="0"/>
              <w:rPr>
                <w:sz w:val="16"/>
                <w:szCs w:val="16"/>
                <w:color w:val="auto"/>
              </w:rPr>
            </w:pPr>
          </w:p>
        </w:tc>
      </w:tr>
      <w:tr>
        <w:trPr>
          <w:trHeight w:val="51"/>
        </w:trPr>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76"/>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69"/>
        </w:trPr>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r>
      <w:tr>
        <w:trPr>
          <w:trHeight w:val="135"/>
        </w:trPr>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42"/>
        </w:trPr>
        <w:tc>
          <w:tcPr>
            <w:tcW w:w="15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6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Grant</w:t>
            </w: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8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0"/>
                <w:szCs w:val="10"/>
                <w:b w:val="1"/>
                <w:bCs w:val="1"/>
                <w:color w:val="auto"/>
              </w:rPr>
              <w:t>Options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0"/>
                <w:szCs w:val="10"/>
                <w:b w:val="1"/>
                <w:bCs w:val="1"/>
                <w:color w:val="auto"/>
              </w:rPr>
              <w:t>Date</w:t>
            </w:r>
            <w:r>
              <w:rPr>
                <w:rFonts w:ascii="Times New Roman" w:cs="Times New Roman" w:eastAsia="Times New Roman" w:hAnsi="Times New Roman"/>
                <w:sz w:val="16"/>
                <w:szCs w:val="16"/>
                <w:b w:val="1"/>
                <w:bCs w:val="1"/>
                <w:color w:val="auto"/>
                <w:vertAlign w:val="superscript"/>
              </w:rPr>
              <w:t>(2)</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ind w:left="100"/>
              <w:spacing w:after="0" w:line="14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6"/>
                <w:szCs w:val="16"/>
                <w:b w:val="1"/>
                <w:bCs w:val="1"/>
                <w:color w:val="auto"/>
                <w:vertAlign w:val="superscript"/>
              </w:rPr>
              <w:t>(3)</w:t>
            </w:r>
          </w:p>
        </w:tc>
        <w:tc>
          <w:tcPr>
            <w:tcW w:w="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2"/>
                <w:szCs w:val="12"/>
                <w:color w:val="auto"/>
              </w:rPr>
            </w:pPr>
          </w:p>
        </w:tc>
        <w:tc>
          <w:tcPr>
            <w:tcW w:w="560" w:type="dxa"/>
            <w:vAlign w:val="bottom"/>
          </w:tcPr>
          <w:p>
            <w:pPr>
              <w:ind w:left="120"/>
              <w:spacing w:after="0" w:line="14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6"/>
                <w:szCs w:val="16"/>
                <w:b w:val="1"/>
                <w:bCs w:val="1"/>
                <w:color w:val="auto"/>
                <w:vertAlign w:val="superscript"/>
              </w:rPr>
              <w:t>(3)</w:t>
            </w:r>
          </w:p>
        </w:tc>
      </w:tr>
      <w:tr>
        <w:trPr>
          <w:trHeight w:val="166"/>
        </w:trPr>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(h)</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(j)</w:t>
            </w:r>
          </w:p>
        </w:tc>
      </w:tr>
      <w:tr>
        <w:trPr>
          <w:trHeight w:val="56"/>
        </w:trPr>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30"/>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Howard W. Robin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12/15/2015</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56,250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15.55</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12/14/2023</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12/15/2015</w:t>
            </w:r>
          </w:p>
        </w:tc>
        <w:tc>
          <w:tcPr>
            <w:tcW w:w="80" w:type="dxa"/>
            <w:vAlign w:val="bottom"/>
          </w:tcPr>
          <w:p>
            <w:pPr>
              <w:spacing w:after="0"/>
              <w:rPr>
                <w:sz w:val="17"/>
                <w:szCs w:val="17"/>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56,250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15.55</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12/14/2023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12/13/2016</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137,500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12/12/2024</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12/13/2016</w:t>
            </w:r>
          </w:p>
        </w:tc>
        <w:tc>
          <w:tcPr>
            <w:tcW w:w="80" w:type="dxa"/>
            <w:vAlign w:val="bottom"/>
          </w:tcPr>
          <w:p>
            <w:pPr>
              <w:spacing w:after="0"/>
              <w:rPr>
                <w:sz w:val="17"/>
                <w:szCs w:val="17"/>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137,500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12/12/2024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12/15/2017</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151,250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56.90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12/14/2025</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12/15/2017</w:t>
            </w:r>
          </w:p>
        </w:tc>
        <w:tc>
          <w:tcPr>
            <w:tcW w:w="80" w:type="dxa"/>
            <w:vAlign w:val="bottom"/>
          </w:tcPr>
          <w:p>
            <w:pPr>
              <w:spacing w:after="0"/>
              <w:rPr>
                <w:sz w:val="17"/>
                <w:szCs w:val="17"/>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151,250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56.90</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12/14/2025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12/14/2018</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138,350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36.51</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12/13/2026</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12/14/2018</w:t>
            </w:r>
          </w:p>
        </w:tc>
        <w:tc>
          <w:tcPr>
            <w:tcW w:w="80" w:type="dxa"/>
            <w:vAlign w:val="bottom"/>
          </w:tcPr>
          <w:p>
            <w:pPr>
              <w:spacing w:after="0"/>
              <w:rPr>
                <w:sz w:val="17"/>
                <w:szCs w:val="17"/>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138,350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36.51</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12/13/2026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12/12/2019</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125,742</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41,908</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21.79</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12/11/2027</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12/12/2019</w:t>
            </w:r>
          </w:p>
        </w:tc>
        <w:tc>
          <w:tcPr>
            <w:tcW w:w="8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125,737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41,913</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21.79</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12/11/2027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12/12/2019</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33,450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11,150</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21.79</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12/11/2027</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4"/>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95,325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95,325</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12/17/2028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190,650</w:t>
            </w:r>
            <w:r>
              <w:rPr>
                <w:rFonts w:ascii="Times New Roman" w:cs="Times New Roman" w:eastAsia="Times New Roman" w:hAnsi="Times New Roman"/>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12/17/2028</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35,550</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80,343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106,650</w:t>
            </w:r>
            <w:r>
              <w:rPr>
                <w:rFonts w:ascii="Times New Roman" w:cs="Times New Roman" w:eastAsia="Times New Roman" w:hAnsi="Times New Roman"/>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241,029</w:t>
            </w: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55,937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167,813</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12/15/2029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223,750</w:t>
            </w:r>
            <w:r>
              <w:rPr>
                <w:rFonts w:ascii="Times New Roman" w:cs="Times New Roman" w:eastAsia="Times New Roman" w:hAnsi="Times New Roman"/>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12/15/2029</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4"/>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84,034</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189,917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126,050</w:t>
            </w:r>
            <w:r>
              <w:rPr>
                <w:rFonts w:ascii="Times New Roman" w:cs="Times New Roman" w:eastAsia="Times New Roman" w:hAnsi="Times New Roman"/>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284,873</w:t>
            </w:r>
          </w:p>
        </w:tc>
      </w:tr>
      <w:tr>
        <w:trPr>
          <w:trHeight w:val="284"/>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84,300</w:t>
            </w:r>
            <w:r>
              <w:rPr>
                <w:rFonts w:ascii="Times New Roman" w:cs="Times New Roman" w:eastAsia="Times New Roman" w:hAnsi="Times New Roman"/>
                <w:sz w:val="20"/>
                <w:szCs w:val="20"/>
                <w:color w:val="auto"/>
                <w:vertAlign w:val="superscript"/>
              </w:rPr>
              <w:t>(9)</w:t>
            </w:r>
          </w:p>
        </w:tc>
        <w:tc>
          <w:tcPr>
            <w:tcW w:w="8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190,518</w:t>
            </w:r>
          </w:p>
        </w:tc>
      </w:tr>
      <w:tr>
        <w:trPr>
          <w:trHeight w:val="283"/>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91,250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730,000</w:t>
            </w:r>
            <w:r>
              <w:rPr>
                <w:rFonts w:ascii="Times New Roman" w:cs="Times New Roman" w:eastAsia="Times New Roman" w:hAnsi="Times New Roman"/>
                <w:sz w:val="20"/>
                <w:szCs w:val="20"/>
                <w:color w:val="auto"/>
                <w:vertAlign w:val="superscript"/>
              </w:rPr>
              <w:t>(10)</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08/14/2030</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821,250</w:t>
            </w:r>
            <w:r>
              <w:rPr>
                <w:rFonts w:ascii="Times New Roman" w:cs="Times New Roman" w:eastAsia="Times New Roman" w:hAnsi="Times New Roman"/>
                <w:sz w:val="20"/>
                <w:szCs w:val="20"/>
                <w:color w:val="auto"/>
                <w:vertAlign w:val="superscript"/>
              </w:rPr>
              <w:t>(11)</w:t>
            </w:r>
          </w:p>
        </w:tc>
        <w:tc>
          <w:tcPr>
            <w:tcW w:w="8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08/14/2030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376,407</w:t>
            </w:r>
            <w:r>
              <w:rPr>
                <w:rFonts w:ascii="Times New Roman" w:cs="Times New Roman" w:eastAsia="Times New Roman" w:hAnsi="Times New Roman"/>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850,680</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4"/>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410,625</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928,013</w:t>
            </w:r>
          </w:p>
        </w:tc>
      </w:tr>
      <w:tr>
        <w:trPr>
          <w:trHeight w:val="223"/>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Jillian B. Thomsen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12/15/2015</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18,750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15.55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12/14/2023</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12/15/2015</w:t>
            </w:r>
          </w:p>
        </w:tc>
        <w:tc>
          <w:tcPr>
            <w:tcW w:w="80" w:type="dxa"/>
            <w:vAlign w:val="bottom"/>
          </w:tcPr>
          <w:p>
            <w:pPr>
              <w:spacing w:after="0"/>
              <w:rPr>
                <w:sz w:val="17"/>
                <w:szCs w:val="17"/>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18,750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15.55</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12/14/2023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12/13/2016</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37,500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12/12/2024</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12/13/2016</w:t>
            </w:r>
          </w:p>
        </w:tc>
        <w:tc>
          <w:tcPr>
            <w:tcW w:w="80" w:type="dxa"/>
            <w:vAlign w:val="bottom"/>
          </w:tcPr>
          <w:p>
            <w:pPr>
              <w:spacing w:after="0"/>
              <w:rPr>
                <w:sz w:val="17"/>
                <w:szCs w:val="17"/>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37,500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12/12/2024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12/15/2017</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26,250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56.90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12/14/2025</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12/15/2017</w:t>
            </w:r>
          </w:p>
        </w:tc>
        <w:tc>
          <w:tcPr>
            <w:tcW w:w="80" w:type="dxa"/>
            <w:vAlign w:val="bottom"/>
          </w:tcPr>
          <w:p>
            <w:pPr>
              <w:spacing w:after="0"/>
              <w:rPr>
                <w:sz w:val="17"/>
                <w:szCs w:val="17"/>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26,250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56.90</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12/14/2025</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3"/>
        </w:trPr>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12/14/2018</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22,150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36.51</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12/13/2026</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00"/>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12/14/2018</w:t>
            </w:r>
          </w:p>
        </w:tc>
        <w:tc>
          <w:tcPr>
            <w:tcW w:w="80" w:type="dxa"/>
            <w:vAlign w:val="bottom"/>
          </w:tcPr>
          <w:p>
            <w:pPr>
              <w:spacing w:after="0"/>
              <w:rPr>
                <w:sz w:val="17"/>
                <w:szCs w:val="17"/>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22,150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36.51</w:t>
            </w: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12/13/2026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
        </w:trPr>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12/12/2019</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19,952</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6,648</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21.79</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12/11/2027</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12/12/2019</w:t>
            </w:r>
          </w:p>
        </w:tc>
        <w:tc>
          <w:tcPr>
            <w:tcW w:w="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19,950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6,650</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21.79</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12/11/2027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12/12/2019</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8,850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21.79</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12/11/2027</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14,300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14,300</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12/17/2028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28,600</w:t>
            </w:r>
            <w:r>
              <w:rPr>
                <w:rFonts w:ascii="Times New Roman" w:cs="Times New Roman" w:eastAsia="Times New Roman" w:hAnsi="Times New Roman"/>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12/17/2028</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5,334</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12,055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4"/>
        </w:trPr>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w:t>
            </w:r>
            <w:r>
              <w:rPr>
                <w:rFonts w:ascii="Times New Roman" w:cs="Times New Roman" w:eastAsia="Times New Roman" w:hAnsi="Times New Roman"/>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36,160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-6625590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-6625590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-6625590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-6625590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-6625590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-6625590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-6625590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-6625590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-6625590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-6625590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67" w:name="page68"/>
    <w:bookmarkEnd w:id="67"/>
    <w:tbl>
      <w:tblPr>
        <w:tblLayout w:type="fixed"/>
        <w:tblInd w:w="30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20" w:type="dxa"/>
            <w:vAlign w:val="bottom"/>
          </w:tcPr>
          <w:p>
            <w:pPr>
              <w:spacing w:after="0"/>
              <w:rPr>
                <w:sz w:val="24"/>
                <w:szCs w:val="24"/>
                <w:color w:val="auto"/>
              </w:rPr>
            </w:pPr>
          </w:p>
        </w:tc>
      </w:tr>
      <w:tr>
        <w:trPr>
          <w:trHeight w:val="50"/>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76"/>
        </w:trPr>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69"/>
        </w:trPr>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7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42"/>
        </w:trPr>
        <w:tc>
          <w:tcPr>
            <w:tcW w:w="16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60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Options (#)</w:t>
            </w:r>
            <w:r>
              <w:rPr>
                <w:rFonts w:ascii="Times New Roman" w:cs="Times New Roman" w:eastAsia="Times New Roman" w:hAnsi="Times New Roman"/>
                <w:sz w:val="16"/>
                <w:szCs w:val="16"/>
                <w:b w:val="1"/>
                <w:bCs w:val="1"/>
                <w:color w:val="auto"/>
                <w:vertAlign w:val="superscript"/>
              </w:rPr>
              <w:t>(1)</w:t>
            </w: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0"/>
                <w:szCs w:val="10"/>
                <w:b w:val="1"/>
                <w:bCs w:val="1"/>
                <w:color w:val="auto"/>
              </w:rPr>
              <w:t>Date</w:t>
            </w:r>
            <w:r>
              <w:rPr>
                <w:rFonts w:ascii="Times New Roman" w:cs="Times New Roman" w:eastAsia="Times New Roman" w:hAnsi="Times New Roman"/>
                <w:sz w:val="16"/>
                <w:szCs w:val="16"/>
                <w:b w:val="1"/>
                <w:bCs w:val="1"/>
                <w:color w:val="auto"/>
                <w:vertAlign w:val="superscript"/>
              </w:rPr>
              <w:t>(2)</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6"/>
                <w:szCs w:val="16"/>
                <w:b w:val="1"/>
                <w:bCs w:val="1"/>
                <w:color w:val="auto"/>
                <w:vertAlign w:val="superscript"/>
              </w:rPr>
              <w:t>(3)</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6"/>
                <w:szCs w:val="16"/>
                <w:b w:val="1"/>
                <w:bCs w:val="1"/>
                <w:color w:val="auto"/>
                <w:vertAlign w:val="superscript"/>
              </w:rPr>
              <w:t>(3)</w:t>
            </w:r>
          </w:p>
        </w:tc>
      </w:tr>
      <w:tr>
        <w:trPr>
          <w:trHeight w:val="166"/>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6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(h)</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(j)</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36195</wp:posOffset>
            </wp:positionV>
            <wp:extent cx="5349240"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p>
      <w:pPr>
        <w:spacing w:after="0" w:line="119" w:lineRule="exact"/>
        <w:rPr>
          <w:sz w:val="20"/>
          <w:szCs w:val="20"/>
          <w:color w:val="auto"/>
        </w:rPr>
      </w:pPr>
    </w:p>
    <w:tbl>
      <w:tblPr>
        <w:tblLayout w:type="fixed"/>
        <w:tblInd w:w="300" w:type="dxa"/>
        <w:tblCellMar>
          <w:top w:w="0" w:type="dxa"/>
          <w:left w:w="0" w:type="dxa"/>
          <w:bottom w:w="0" w:type="dxa"/>
          <w:right w:w="0" w:type="dxa"/>
        </w:tblCellMar>
      </w:tblPr>
      <w:tr>
        <w:trPr>
          <w:trHeight w:val="164"/>
        </w:trPr>
        <w:tc>
          <w:tcPr>
            <w:tcW w:w="120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36,875</w:t>
            </w: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Mark A. Wilson</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12/15/2015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243"/>
        </w:trPr>
        <w:tc>
          <w:tcPr>
            <w:tcW w:w="120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7/15/2016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243"/>
        </w:trPr>
        <w:tc>
          <w:tcPr>
            <w:tcW w:w="12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12/13/2016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r>
      <w:tr>
        <w:trPr>
          <w:trHeight w:val="243"/>
        </w:trPr>
        <w:tc>
          <w:tcPr>
            <w:tcW w:w="12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12/15/2017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110,000</w:t>
            </w:r>
          </w:p>
        </w:tc>
      </w:tr>
      <w:tr>
        <w:trPr>
          <w:trHeight w:val="243"/>
        </w:trPr>
        <w:tc>
          <w:tcPr>
            <w:tcW w:w="12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12/15/2017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r>
      <w:tr>
        <w:trPr>
          <w:trHeight w:val="243"/>
        </w:trPr>
        <w:tc>
          <w:tcPr>
            <w:tcW w:w="12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12/14/2018</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10,225</w:t>
            </w:r>
          </w:p>
        </w:tc>
      </w:tr>
      <w:tr>
        <w:trPr>
          <w:trHeight w:val="243"/>
        </w:trPr>
        <w:tc>
          <w:tcPr>
            <w:tcW w:w="12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12/12/2019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26,854</w:t>
            </w: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12/12/2019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26,850</w:t>
            </w: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12/12/2019</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8,700</w:t>
            </w: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12/18/2020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25,500</w:t>
            </w: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12/18/2020</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12/18/2020</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12/18/2020</w:t>
            </w:r>
          </w:p>
        </w:tc>
        <w:tc>
          <w:tcPr>
            <w:tcW w:w="520" w:type="dxa"/>
            <w:vAlign w:val="bottom"/>
          </w:tcPr>
          <w:p>
            <w:pPr>
              <w:spacing w:after="0"/>
              <w:rPr>
                <w:sz w:val="24"/>
                <w:szCs w:val="24"/>
                <w:color w:val="auto"/>
              </w:rPr>
            </w:pP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16,787</w:t>
            </w: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12/16/2021</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36,875</w:t>
            </w: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spacing w:after="0"/>
              <w:rPr>
                <w:sz w:val="24"/>
                <w:szCs w:val="24"/>
                <w:color w:val="auto"/>
              </w:rPr>
            </w:pPr>
          </w:p>
        </w:tc>
      </w:tr>
      <w:tr>
        <w:trPr>
          <w:trHeight w:val="284"/>
        </w:trPr>
        <w:tc>
          <w:tcPr>
            <w:tcW w:w="1200" w:type="dxa"/>
            <w:vAlign w:val="bottom"/>
          </w:tcPr>
          <w:p>
            <w:pPr>
              <w:spacing w:after="0"/>
              <w:rPr>
                <w:sz w:val="24"/>
                <w:szCs w:val="24"/>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08/15/2022</w:t>
            </w: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28,200</w:t>
      </w:r>
      <w:r>
        <w:rPr>
          <w:rFonts w:ascii="Times New Roman" w:cs="Times New Roman" w:eastAsia="Times New Roman" w:hAnsi="Times New Roman"/>
          <w:sz w:val="20"/>
          <w:szCs w:val="20"/>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295,000</w:t>
      </w:r>
      <w:r>
        <w:rPr>
          <w:rFonts w:ascii="Times New Roman" w:cs="Times New Roman" w:eastAsia="Times New Roman" w:hAnsi="Times New Roman"/>
          <w:sz w:val="17"/>
          <w:szCs w:val="17"/>
          <w:color w:val="auto"/>
          <w:vertAlign w:val="superscript"/>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8,946</w:t>
      </w:r>
      <w:r>
        <w:rPr>
          <w:rFonts w:ascii="Times New Roman" w:cs="Times New Roman" w:eastAsia="Times New Roman" w:hAnsi="Times New Roman"/>
          <w:sz w:val="20"/>
          <w:szCs w:val="20"/>
          <w:color w:val="auto"/>
          <w:vertAlign w:val="superscript"/>
        </w:rPr>
        <w:t>(4)</w:t>
      </w:r>
    </w:p>
    <w:p>
      <w:pPr>
        <w:spacing w:after="0" w:line="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8,950</w:t>
      </w:r>
      <w:r>
        <w:rPr>
          <w:rFonts w:ascii="Times New Roman" w:cs="Times New Roman" w:eastAsia="Times New Roman" w:hAnsi="Times New Roman"/>
          <w:sz w:val="20"/>
          <w:szCs w:val="20"/>
          <w:color w:val="auto"/>
          <w:vertAlign w:val="superscript"/>
        </w:rPr>
        <w:t>(5)</w:t>
      </w:r>
    </w:p>
    <w:p>
      <w:pPr>
        <w:spacing w:after="0" w:line="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2,900</w:t>
      </w:r>
      <w:r>
        <w:rPr>
          <w:rFonts w:ascii="Times New Roman" w:cs="Times New Roman" w:eastAsia="Times New Roman" w:hAnsi="Times New Roman"/>
          <w:sz w:val="20"/>
          <w:szCs w:val="20"/>
          <w:color w:val="auto"/>
          <w:vertAlign w:val="superscript"/>
        </w:rPr>
        <w:t>(5)</w:t>
      </w:r>
    </w:p>
    <w:p>
      <w:pPr>
        <w:spacing w:after="0" w:line="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3"/>
          <w:szCs w:val="13"/>
          <w:color w:val="auto"/>
        </w:rPr>
        <w:t>25,500</w:t>
      </w:r>
      <w:r>
        <w:rPr>
          <w:rFonts w:ascii="Times New Roman" w:cs="Times New Roman" w:eastAsia="Times New Roman" w:hAnsi="Times New Roman"/>
          <w:sz w:val="20"/>
          <w:szCs w:val="20"/>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50,363</w:t>
      </w:r>
      <w:r>
        <w:rPr>
          <w:rFonts w:ascii="Times New Roman" w:cs="Times New Roman" w:eastAsia="Times New Roman" w:hAnsi="Times New Roman"/>
          <w:sz w:val="20"/>
          <w:szCs w:val="20"/>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295,000</w:t>
      </w:r>
      <w:r>
        <w:rPr>
          <w:rFonts w:ascii="Times New Roman" w:cs="Times New Roman" w:eastAsia="Times New Roman" w:hAnsi="Times New Roman"/>
          <w:sz w:val="17"/>
          <w:szCs w:val="17"/>
          <w:color w:val="auto"/>
          <w:vertAlign w:val="superscript"/>
        </w:rPr>
        <w:t>(10)</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13.22</w:t>
      </w:r>
      <w:r>
        <w:rPr>
          <w:sz w:val="20"/>
          <w:szCs w:val="20"/>
          <w:color w:val="auto"/>
        </w:rPr>
        <w:tab/>
      </w:r>
      <w:r>
        <w:rPr>
          <w:rFonts w:ascii="Times New Roman" w:cs="Times New Roman" w:eastAsia="Times New Roman" w:hAnsi="Times New Roman"/>
          <w:sz w:val="12"/>
          <w:szCs w:val="12"/>
          <w:color w:val="auto"/>
        </w:rPr>
        <w:t>12/15/2029</w:t>
      </w:r>
    </w:p>
    <w:p>
      <w:pPr>
        <w:spacing w:after="0" w:line="15" w:lineRule="exact"/>
        <w:rPr>
          <w:sz w:val="20"/>
          <w:szCs w:val="20"/>
          <w:color w:val="auto"/>
        </w:rPr>
      </w:pPr>
    </w:p>
    <w:p>
      <w:pPr>
        <w:ind w:left="60"/>
        <w:spacing w:after="0"/>
        <w:tabs>
          <w:tab w:leader="none" w:pos="760" w:val="left"/>
          <w:tab w:leader="none" w:pos="1200" w:val="left"/>
        </w:tabs>
        <w:rPr>
          <w:sz w:val="20"/>
          <w:szCs w:val="20"/>
          <w:color w:val="auto"/>
        </w:rPr>
      </w:pPr>
      <w:r>
        <w:rPr>
          <w:rFonts w:ascii="Times New Roman" w:cs="Times New Roman" w:eastAsia="Times New Roman" w:hAnsi="Times New Roman"/>
          <w:sz w:val="25"/>
          <w:szCs w:val="25"/>
          <w:color w:val="auto"/>
          <w:vertAlign w:val="subscript"/>
        </w:rPr>
        <w:t>37,600</w:t>
      </w:r>
      <w:r>
        <w:rPr>
          <w:rFonts w:ascii="Times New Roman" w:cs="Times New Roman" w:eastAsia="Times New Roman" w:hAnsi="Times New Roman"/>
          <w:sz w:val="10"/>
          <w:szCs w:val="10"/>
          <w:color w:val="auto"/>
        </w:rPr>
        <w:t>(6)</w:t>
      </w:r>
      <w:r>
        <w:rPr>
          <w:sz w:val="20"/>
          <w:szCs w:val="20"/>
          <w:color w:val="auto"/>
        </w:rPr>
        <w:tab/>
      </w:r>
      <w:r>
        <w:rPr>
          <w:rFonts w:ascii="Times New Roman" w:cs="Times New Roman" w:eastAsia="Times New Roman" w:hAnsi="Times New Roman"/>
          <w:sz w:val="13"/>
          <w:szCs w:val="13"/>
          <w:color w:val="auto"/>
        </w:rPr>
        <w:t>13.22</w:t>
      </w:r>
      <w:r>
        <w:rPr>
          <w:sz w:val="20"/>
          <w:szCs w:val="20"/>
          <w:color w:val="auto"/>
        </w:rPr>
        <w:tab/>
      </w:r>
      <w:r>
        <w:rPr>
          <w:rFonts w:ascii="Times New Roman" w:cs="Times New Roman" w:eastAsia="Times New Roman" w:hAnsi="Times New Roman"/>
          <w:sz w:val="12"/>
          <w:szCs w:val="12"/>
          <w:color w:val="auto"/>
        </w:rPr>
        <w:t>12/15/2029</w:t>
      </w:r>
    </w:p>
    <w:p>
      <w:pPr>
        <w:spacing w:after="0" w:line="33" w:lineRule="exact"/>
        <w:rPr>
          <w:sz w:val="20"/>
          <w:szCs w:val="20"/>
          <w:color w:val="auto"/>
        </w:rPr>
      </w:pPr>
    </w:p>
    <w:p>
      <w:pPr>
        <w:ind w:left="2040"/>
        <w:spacing w:after="0"/>
        <w:tabs>
          <w:tab w:leader="none" w:pos="2700" w:val="left"/>
        </w:tabs>
        <w:rPr>
          <w:sz w:val="20"/>
          <w:szCs w:val="20"/>
          <w:color w:val="auto"/>
        </w:rPr>
      </w:pPr>
      <w:r>
        <w:rPr>
          <w:rFonts w:ascii="Times New Roman" w:cs="Times New Roman" w:eastAsia="Times New Roman" w:hAnsi="Times New Roman"/>
          <w:sz w:val="25"/>
          <w:szCs w:val="25"/>
          <w:color w:val="auto"/>
          <w:vertAlign w:val="subscript"/>
        </w:rPr>
        <w:t>14,134</w:t>
      </w:r>
      <w:r>
        <w:rPr>
          <w:rFonts w:ascii="Times New Roman" w:cs="Times New Roman" w:eastAsia="Times New Roman" w:hAnsi="Times New Roman"/>
          <w:sz w:val="10"/>
          <w:szCs w:val="10"/>
          <w:color w:val="auto"/>
        </w:rPr>
        <w:t>(7)</w:t>
      </w:r>
      <w:r>
        <w:rPr>
          <w:sz w:val="20"/>
          <w:szCs w:val="20"/>
          <w:color w:val="auto"/>
        </w:rPr>
        <w:tab/>
      </w:r>
      <w:r>
        <w:rPr>
          <w:rFonts w:ascii="Times New Roman" w:cs="Times New Roman" w:eastAsia="Times New Roman" w:hAnsi="Times New Roman"/>
          <w:sz w:val="12"/>
          <w:szCs w:val="12"/>
          <w:color w:val="auto"/>
        </w:rPr>
        <w:t>31,943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-152400</wp:posOffset>
            </wp:positionV>
            <wp:extent cx="534924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ind w:left="3360"/>
        <w:spacing w:after="0"/>
        <w:tabs>
          <w:tab w:leader="none" w:pos="4040" w:val="left"/>
        </w:tabs>
        <w:rPr>
          <w:sz w:val="20"/>
          <w:szCs w:val="20"/>
          <w:color w:val="auto"/>
        </w:rPr>
      </w:pPr>
      <w:r>
        <w:rPr>
          <w:rFonts w:ascii="Times New Roman" w:cs="Times New Roman" w:eastAsia="Times New Roman" w:hAnsi="Times New Roman"/>
          <w:sz w:val="25"/>
          <w:szCs w:val="25"/>
          <w:color w:val="auto"/>
          <w:vertAlign w:val="subscript"/>
        </w:rPr>
        <w:t>21,200</w:t>
      </w:r>
      <w:r>
        <w:rPr>
          <w:rFonts w:ascii="Times New Roman" w:cs="Times New Roman" w:eastAsia="Times New Roman" w:hAnsi="Times New Roman"/>
          <w:sz w:val="10"/>
          <w:szCs w:val="10"/>
          <w:color w:val="auto"/>
        </w:rPr>
        <w:t>(8)</w:t>
      </w:r>
      <w:r>
        <w:rPr>
          <w:sz w:val="20"/>
          <w:szCs w:val="20"/>
          <w:color w:val="auto"/>
        </w:rPr>
        <w:tab/>
      </w:r>
      <w:r>
        <w:rPr>
          <w:rFonts w:ascii="Times New Roman" w:cs="Times New Roman" w:eastAsia="Times New Roman" w:hAnsi="Times New Roman"/>
          <w:sz w:val="12"/>
          <w:szCs w:val="12"/>
          <w:color w:val="auto"/>
        </w:rPr>
        <w:t>47,912</w:t>
      </w:r>
    </w:p>
    <w:p>
      <w:pPr>
        <w:ind w:left="3360"/>
        <w:spacing w:after="0"/>
        <w:tabs>
          <w:tab w:leader="none" w:pos="4040" w:val="left"/>
        </w:tabs>
        <w:rPr>
          <w:sz w:val="20"/>
          <w:szCs w:val="20"/>
          <w:color w:val="auto"/>
        </w:rPr>
      </w:pPr>
      <w:r>
        <w:rPr>
          <w:rFonts w:ascii="Times New Roman" w:cs="Times New Roman" w:eastAsia="Times New Roman" w:hAnsi="Times New Roman"/>
          <w:sz w:val="25"/>
          <w:szCs w:val="25"/>
          <w:color w:val="auto"/>
          <w:vertAlign w:val="subscript"/>
        </w:rPr>
        <w:t>14,200</w:t>
      </w:r>
      <w:r>
        <w:rPr>
          <w:rFonts w:ascii="Times New Roman" w:cs="Times New Roman" w:eastAsia="Times New Roman" w:hAnsi="Times New Roman"/>
          <w:sz w:val="10"/>
          <w:szCs w:val="10"/>
          <w:color w:val="auto"/>
        </w:rPr>
        <w:t>(9)</w:t>
      </w:r>
      <w:r>
        <w:rPr>
          <w:sz w:val="20"/>
          <w:szCs w:val="20"/>
          <w:color w:val="auto"/>
        </w:rPr>
        <w:tab/>
      </w:r>
      <w:r>
        <w:rPr>
          <w:rFonts w:ascii="Times New Roman" w:cs="Times New Roman" w:eastAsia="Times New Roman" w:hAnsi="Times New Roman"/>
          <w:sz w:val="12"/>
          <w:szCs w:val="12"/>
          <w:color w:val="auto"/>
        </w:rPr>
        <w:t>32,092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-151765</wp:posOffset>
            </wp:positionV>
            <wp:extent cx="534924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59" w:lineRule="exact"/>
        <w:rPr>
          <w:sz w:val="20"/>
          <w:szCs w:val="20"/>
          <w:color w:val="auto"/>
        </w:rPr>
      </w:pPr>
    </w:p>
    <w:p>
      <w:pPr>
        <w:ind w:left="840"/>
        <w:spacing w:after="0"/>
        <w:tabs>
          <w:tab w:leader="none" w:pos="1200" w:val="left"/>
        </w:tabs>
        <w:rPr>
          <w:sz w:val="20"/>
          <w:szCs w:val="20"/>
          <w:color w:val="auto"/>
        </w:rPr>
      </w:pPr>
      <w:r>
        <w:rPr>
          <w:rFonts w:ascii="Times New Roman" w:cs="Times New Roman" w:eastAsia="Times New Roman" w:hAnsi="Times New Roman"/>
          <w:sz w:val="13"/>
          <w:szCs w:val="13"/>
          <w:color w:val="auto"/>
        </w:rPr>
        <w:t>4.91</w:t>
      </w:r>
      <w:r>
        <w:rPr>
          <w:sz w:val="20"/>
          <w:szCs w:val="20"/>
          <w:color w:val="auto"/>
        </w:rPr>
        <w:tab/>
      </w:r>
      <w:r>
        <w:rPr>
          <w:rFonts w:ascii="Times New Roman" w:cs="Times New Roman" w:eastAsia="Times New Roman" w:hAnsi="Times New Roman"/>
          <w:sz w:val="12"/>
          <w:szCs w:val="12"/>
          <w:color w:val="auto"/>
        </w:rPr>
        <w:t>08/14/2030</w:t>
      </w:r>
    </w:p>
    <w:p>
      <w:pPr>
        <w:spacing w:after="0" w:line="15" w:lineRule="exact"/>
        <w:rPr>
          <w:sz w:val="20"/>
          <w:szCs w:val="20"/>
          <w:color w:val="auto"/>
        </w:rPr>
      </w:pPr>
    </w:p>
    <w:p>
      <w:pPr>
        <w:spacing w:after="0"/>
        <w:tabs>
          <w:tab w:leader="none" w:pos="820" w:val="left"/>
          <w:tab w:leader="none" w:pos="1200" w:val="left"/>
        </w:tabs>
        <w:rPr>
          <w:sz w:val="20"/>
          <w:szCs w:val="20"/>
          <w:color w:val="auto"/>
        </w:rPr>
      </w:pPr>
      <w:r>
        <w:rPr>
          <w:rFonts w:ascii="Times New Roman" w:cs="Times New Roman" w:eastAsia="Times New Roman" w:hAnsi="Times New Roman"/>
          <w:sz w:val="25"/>
          <w:szCs w:val="25"/>
          <w:color w:val="auto"/>
          <w:vertAlign w:val="subscript"/>
        </w:rPr>
        <w:t>331,875</w:t>
      </w:r>
      <w:r>
        <w:rPr>
          <w:rFonts w:ascii="Times New Roman" w:cs="Times New Roman" w:eastAsia="Times New Roman" w:hAnsi="Times New Roman"/>
          <w:sz w:val="10"/>
          <w:szCs w:val="10"/>
          <w:color w:val="auto"/>
        </w:rPr>
        <w:t>(11)</w:t>
      </w:r>
      <w:r>
        <w:rPr>
          <w:sz w:val="20"/>
          <w:szCs w:val="20"/>
          <w:color w:val="auto"/>
        </w:rPr>
        <w:tab/>
      </w:r>
      <w:r>
        <w:rPr>
          <w:rFonts w:ascii="Times New Roman" w:cs="Times New Roman" w:eastAsia="Times New Roman" w:hAnsi="Times New Roman"/>
          <w:sz w:val="13"/>
          <w:szCs w:val="13"/>
          <w:color w:val="auto"/>
        </w:rPr>
        <w:t>4.91</w:t>
      </w:r>
      <w:r>
        <w:rPr>
          <w:sz w:val="20"/>
          <w:szCs w:val="20"/>
          <w:color w:val="auto"/>
        </w:rPr>
        <w:tab/>
      </w:r>
      <w:r>
        <w:rPr>
          <w:rFonts w:ascii="Times New Roman" w:cs="Times New Roman" w:eastAsia="Times New Roman" w:hAnsi="Times New Roman"/>
          <w:sz w:val="12"/>
          <w:szCs w:val="12"/>
          <w:color w:val="auto"/>
        </w:rPr>
        <w:t>08/14/2030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-128905</wp:posOffset>
            </wp:positionV>
            <wp:extent cx="534924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13" w:lineRule="exact"/>
        <w:rPr>
          <w:sz w:val="20"/>
          <w:szCs w:val="20"/>
          <w:color w:val="auto"/>
        </w:rPr>
      </w:pPr>
    </w:p>
    <w:p>
      <w:pPr>
        <w:ind w:left="1980"/>
        <w:spacing w:after="0"/>
        <w:tabs>
          <w:tab w:leader="none" w:pos="2640" w:val="left"/>
        </w:tabs>
        <w:rPr>
          <w:sz w:val="20"/>
          <w:szCs w:val="20"/>
          <w:color w:val="auto"/>
        </w:rPr>
      </w:pPr>
      <w:r>
        <w:rPr>
          <w:rFonts w:ascii="Times New Roman" w:cs="Times New Roman" w:eastAsia="Times New Roman" w:hAnsi="Times New Roman"/>
          <w:sz w:val="25"/>
          <w:szCs w:val="25"/>
          <w:color w:val="auto"/>
          <w:vertAlign w:val="subscript"/>
        </w:rPr>
        <w:t>152,110</w:t>
      </w:r>
      <w:r>
        <w:rPr>
          <w:rFonts w:ascii="Times New Roman" w:cs="Times New Roman" w:eastAsia="Times New Roman" w:hAnsi="Times New Roman"/>
          <w:sz w:val="10"/>
          <w:szCs w:val="10"/>
          <w:color w:val="auto"/>
        </w:rPr>
        <w:t>(7)</w:t>
      </w:r>
      <w:r>
        <w:rPr>
          <w:sz w:val="20"/>
          <w:szCs w:val="20"/>
          <w:color w:val="auto"/>
        </w:rPr>
        <w:tab/>
      </w:r>
      <w:r>
        <w:rPr>
          <w:rFonts w:ascii="Times New Roman" w:cs="Times New Roman" w:eastAsia="Times New Roman" w:hAnsi="Times New Roman"/>
          <w:sz w:val="12"/>
          <w:szCs w:val="12"/>
          <w:color w:val="auto"/>
        </w:rPr>
        <w:t>343,769</w:t>
      </w:r>
    </w:p>
    <w:p>
      <w:pPr>
        <w:jc w:val="right"/>
        <w:ind w:right="359"/>
        <w:spacing w:after="0"/>
        <w:tabs>
          <w:tab w:leader="none" w:pos="400" w:val="left"/>
        </w:tabs>
        <w:rPr>
          <w:sz w:val="20"/>
          <w:szCs w:val="20"/>
          <w:color w:val="auto"/>
        </w:rPr>
      </w:pPr>
      <w:r>
        <w:rPr>
          <w:rFonts w:ascii="Times New Roman" w:cs="Times New Roman" w:eastAsia="Times New Roman" w:hAnsi="Times New Roman"/>
          <w:sz w:val="25"/>
          <w:szCs w:val="25"/>
          <w:color w:val="auto"/>
          <w:vertAlign w:val="subscript"/>
        </w:rPr>
        <w:t>165,938</w:t>
      </w:r>
      <w:r>
        <w:rPr>
          <w:rFonts w:ascii="Times New Roman" w:cs="Times New Roman" w:eastAsia="Times New Roman" w:hAnsi="Times New Roman"/>
          <w:sz w:val="10"/>
          <w:szCs w:val="10"/>
          <w:color w:val="auto"/>
        </w:rPr>
        <w:t>(8)</w:t>
      </w:r>
      <w:r>
        <w:rPr>
          <w:sz w:val="20"/>
          <w:szCs w:val="20"/>
          <w:color w:val="auto"/>
        </w:rPr>
        <w:tab/>
      </w:r>
      <w:r>
        <w:rPr>
          <w:rFonts w:ascii="Times New Roman" w:cs="Times New Roman" w:eastAsia="Times New Roman" w:hAnsi="Times New Roman"/>
          <w:sz w:val="12"/>
          <w:szCs w:val="12"/>
          <w:color w:val="auto"/>
        </w:rPr>
        <w:t>375,020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-151765</wp:posOffset>
            </wp:positionV>
            <wp:extent cx="534924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60"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15.55</w:t>
      </w:r>
      <w:r>
        <w:rPr>
          <w:sz w:val="20"/>
          <w:szCs w:val="20"/>
          <w:color w:val="auto"/>
        </w:rPr>
        <w:tab/>
      </w:r>
      <w:r>
        <w:rPr>
          <w:rFonts w:ascii="Times New Roman" w:cs="Times New Roman" w:eastAsia="Times New Roman" w:hAnsi="Times New Roman"/>
          <w:sz w:val="12"/>
          <w:szCs w:val="12"/>
          <w:color w:val="auto"/>
        </w:rPr>
        <w:t>12/14/2023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36830</wp:posOffset>
            </wp:positionV>
            <wp:extent cx="534924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74" w:lineRule="exact"/>
        <w:rPr>
          <w:sz w:val="20"/>
          <w:szCs w:val="20"/>
          <w:color w:val="auto"/>
        </w:rPr>
      </w:pPr>
    </w:p>
    <w:p>
      <w:pPr>
        <w:ind w:left="780"/>
        <w:spacing w:after="0"/>
        <w:tabs>
          <w:tab w:leader="none" w:pos="1240" w:val="left"/>
        </w:tabs>
        <w:rPr>
          <w:sz w:val="20"/>
          <w:szCs w:val="20"/>
          <w:color w:val="auto"/>
        </w:rPr>
      </w:pPr>
      <w:r>
        <w:rPr>
          <w:rFonts w:ascii="Times New Roman" w:cs="Times New Roman" w:eastAsia="Times New Roman" w:hAnsi="Times New Roman"/>
          <w:sz w:val="13"/>
          <w:szCs w:val="13"/>
          <w:color w:val="auto"/>
        </w:rPr>
        <w:t>15.45</w:t>
      </w:r>
      <w:r>
        <w:rPr>
          <w:sz w:val="20"/>
          <w:szCs w:val="20"/>
          <w:color w:val="auto"/>
        </w:rPr>
        <w:tab/>
      </w:r>
      <w:r>
        <w:rPr>
          <w:rFonts w:ascii="Times New Roman" w:cs="Times New Roman" w:eastAsia="Times New Roman" w:hAnsi="Times New Roman"/>
          <w:sz w:val="12"/>
          <w:szCs w:val="12"/>
          <w:color w:val="auto"/>
        </w:rPr>
        <w:t>7/14/2024</w:t>
      </w:r>
    </w:p>
    <w:p>
      <w:pPr>
        <w:spacing w:after="0" w:line="9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12.24</w:t>
      </w:r>
      <w:r>
        <w:rPr>
          <w:sz w:val="20"/>
          <w:szCs w:val="20"/>
          <w:color w:val="auto"/>
        </w:rPr>
        <w:tab/>
      </w:r>
      <w:r>
        <w:rPr>
          <w:rFonts w:ascii="Times New Roman" w:cs="Times New Roman" w:eastAsia="Times New Roman" w:hAnsi="Times New Roman"/>
          <w:sz w:val="12"/>
          <w:szCs w:val="12"/>
          <w:color w:val="auto"/>
        </w:rPr>
        <w:t>12/12/2024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36830</wp:posOffset>
            </wp:positionV>
            <wp:extent cx="534924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7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56.90</w:t>
      </w:r>
      <w:r>
        <w:rPr>
          <w:sz w:val="20"/>
          <w:szCs w:val="20"/>
          <w:color w:val="auto"/>
        </w:rPr>
        <w:tab/>
      </w:r>
      <w:r>
        <w:rPr>
          <w:rFonts w:ascii="Times New Roman" w:cs="Times New Roman" w:eastAsia="Times New Roman" w:hAnsi="Times New Roman"/>
          <w:sz w:val="12"/>
          <w:szCs w:val="12"/>
          <w:color w:val="auto"/>
        </w:rPr>
        <w:t>12/14/2025</w:t>
      </w:r>
    </w:p>
    <w:p>
      <w:pPr>
        <w:spacing w:after="0" w:line="9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56.90</w:t>
      </w:r>
      <w:r>
        <w:rPr>
          <w:sz w:val="20"/>
          <w:szCs w:val="20"/>
          <w:color w:val="auto"/>
        </w:rPr>
        <w:tab/>
      </w:r>
      <w:r>
        <w:rPr>
          <w:rFonts w:ascii="Times New Roman" w:cs="Times New Roman" w:eastAsia="Times New Roman" w:hAnsi="Times New Roman"/>
          <w:sz w:val="12"/>
          <w:szCs w:val="12"/>
          <w:color w:val="auto"/>
        </w:rPr>
        <w:t>12/14/2025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36830</wp:posOffset>
            </wp:positionV>
            <wp:extent cx="534924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7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36.51</w:t>
      </w:r>
      <w:r>
        <w:rPr>
          <w:sz w:val="20"/>
          <w:szCs w:val="20"/>
          <w:color w:val="auto"/>
        </w:rPr>
        <w:tab/>
      </w:r>
      <w:r>
        <w:rPr>
          <w:rFonts w:ascii="Times New Roman" w:cs="Times New Roman" w:eastAsia="Times New Roman" w:hAnsi="Times New Roman"/>
          <w:sz w:val="12"/>
          <w:szCs w:val="12"/>
          <w:color w:val="auto"/>
        </w:rPr>
        <w:t>12/13/2026</w:t>
      </w:r>
    </w:p>
    <w:p>
      <w:pPr>
        <w:spacing w:after="0" w:line="9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21.79</w:t>
      </w:r>
      <w:r>
        <w:rPr>
          <w:sz w:val="20"/>
          <w:szCs w:val="20"/>
          <w:color w:val="auto"/>
        </w:rPr>
        <w:tab/>
      </w:r>
      <w:r>
        <w:rPr>
          <w:rFonts w:ascii="Times New Roman" w:cs="Times New Roman" w:eastAsia="Times New Roman" w:hAnsi="Times New Roman"/>
          <w:sz w:val="12"/>
          <w:szCs w:val="12"/>
          <w:color w:val="auto"/>
        </w:rPr>
        <w:t>12/11/2027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62230</wp:posOffset>
            </wp:positionV>
            <wp:extent cx="534924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11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21.79</w:t>
      </w:r>
      <w:r>
        <w:rPr>
          <w:sz w:val="20"/>
          <w:szCs w:val="20"/>
          <w:color w:val="auto"/>
        </w:rPr>
        <w:tab/>
      </w:r>
      <w:r>
        <w:rPr>
          <w:rFonts w:ascii="Times New Roman" w:cs="Times New Roman" w:eastAsia="Times New Roman" w:hAnsi="Times New Roman"/>
          <w:sz w:val="12"/>
          <w:szCs w:val="12"/>
          <w:color w:val="auto"/>
        </w:rPr>
        <w:t>12/11/2027</w:t>
      </w:r>
    </w:p>
    <w:p>
      <w:pPr>
        <w:spacing w:after="0" w:line="13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21.79</w:t>
      </w:r>
      <w:r>
        <w:rPr>
          <w:sz w:val="20"/>
          <w:szCs w:val="20"/>
          <w:color w:val="auto"/>
        </w:rPr>
        <w:tab/>
      </w:r>
      <w:r>
        <w:rPr>
          <w:rFonts w:ascii="Times New Roman" w:cs="Times New Roman" w:eastAsia="Times New Roman" w:hAnsi="Times New Roman"/>
          <w:sz w:val="12"/>
          <w:szCs w:val="12"/>
          <w:color w:val="auto"/>
        </w:rPr>
        <w:t>12/11/2027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62230</wp:posOffset>
            </wp:positionV>
            <wp:extent cx="5349240"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49240" cy="180340"/>
                    </a:xfrm>
                    <a:prstGeom prst="rect">
                      <a:avLst/>
                    </a:prstGeom>
                    <a:noFill/>
                  </pic:spPr>
                </pic:pic>
              </a:graphicData>
            </a:graphic>
          </wp:anchor>
        </w:drawing>
      </w:r>
    </w:p>
    <w:p>
      <w:pPr>
        <w:spacing w:after="0" w:line="114"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18.75</w:t>
      </w:r>
      <w:r>
        <w:rPr>
          <w:sz w:val="20"/>
          <w:szCs w:val="20"/>
          <w:color w:val="auto"/>
        </w:rPr>
        <w:tab/>
      </w:r>
      <w:r>
        <w:rPr>
          <w:rFonts w:ascii="Times New Roman" w:cs="Times New Roman" w:eastAsia="Times New Roman" w:hAnsi="Times New Roman"/>
          <w:sz w:val="12"/>
          <w:szCs w:val="12"/>
          <w:color w:val="auto"/>
        </w:rPr>
        <w:t>12/17/2028</w:t>
      </w:r>
    </w:p>
    <w:p>
      <w:pPr>
        <w:spacing w:after="0" w:line="15" w:lineRule="exact"/>
        <w:rPr>
          <w:sz w:val="20"/>
          <w:szCs w:val="20"/>
          <w:color w:val="auto"/>
        </w:rPr>
      </w:pPr>
    </w:p>
    <w:p>
      <w:pPr>
        <w:ind w:left="60"/>
        <w:spacing w:after="0"/>
        <w:tabs>
          <w:tab w:leader="none" w:pos="760" w:val="left"/>
          <w:tab w:leader="none" w:pos="1200" w:val="left"/>
        </w:tabs>
        <w:rPr>
          <w:sz w:val="20"/>
          <w:szCs w:val="20"/>
          <w:color w:val="auto"/>
        </w:rPr>
      </w:pPr>
      <w:r>
        <w:rPr>
          <w:rFonts w:ascii="Times New Roman" w:cs="Times New Roman" w:eastAsia="Times New Roman" w:hAnsi="Times New Roman"/>
          <w:sz w:val="25"/>
          <w:szCs w:val="25"/>
          <w:color w:val="auto"/>
          <w:vertAlign w:val="subscript"/>
        </w:rPr>
        <w:t>51,000</w:t>
      </w:r>
      <w:r>
        <w:rPr>
          <w:rFonts w:ascii="Times New Roman" w:cs="Times New Roman" w:eastAsia="Times New Roman" w:hAnsi="Times New Roman"/>
          <w:sz w:val="10"/>
          <w:szCs w:val="10"/>
          <w:color w:val="auto"/>
        </w:rPr>
        <w:t>(6)</w:t>
      </w:r>
      <w:r>
        <w:rPr>
          <w:sz w:val="20"/>
          <w:szCs w:val="20"/>
          <w:color w:val="auto"/>
        </w:rPr>
        <w:tab/>
      </w:r>
      <w:r>
        <w:rPr>
          <w:rFonts w:ascii="Times New Roman" w:cs="Times New Roman" w:eastAsia="Times New Roman" w:hAnsi="Times New Roman"/>
          <w:sz w:val="13"/>
          <w:szCs w:val="13"/>
          <w:color w:val="auto"/>
        </w:rPr>
        <w:t>18.75</w:t>
      </w:r>
      <w:r>
        <w:rPr>
          <w:sz w:val="20"/>
          <w:szCs w:val="20"/>
          <w:color w:val="auto"/>
        </w:rPr>
        <w:tab/>
      </w:r>
      <w:r>
        <w:rPr>
          <w:rFonts w:ascii="Times New Roman" w:cs="Times New Roman" w:eastAsia="Times New Roman" w:hAnsi="Times New Roman"/>
          <w:sz w:val="12"/>
          <w:szCs w:val="12"/>
          <w:color w:val="auto"/>
        </w:rPr>
        <w:t>12/17/2028</w:t>
      </w:r>
    </w:p>
    <w:p>
      <w:pPr>
        <w:spacing w:after="0" w:line="33" w:lineRule="exact"/>
        <w:rPr>
          <w:sz w:val="20"/>
          <w:szCs w:val="20"/>
          <w:color w:val="auto"/>
        </w:rPr>
      </w:pPr>
    </w:p>
    <w:p>
      <w:pPr>
        <w:ind w:left="2080"/>
        <w:spacing w:after="0"/>
        <w:tabs>
          <w:tab w:leader="none" w:pos="2700" w:val="left"/>
        </w:tabs>
        <w:rPr>
          <w:sz w:val="20"/>
          <w:szCs w:val="20"/>
          <w:color w:val="auto"/>
        </w:rPr>
      </w:pPr>
      <w:r>
        <w:rPr>
          <w:rFonts w:ascii="Times New Roman" w:cs="Times New Roman" w:eastAsia="Times New Roman" w:hAnsi="Times New Roman"/>
          <w:sz w:val="25"/>
          <w:szCs w:val="25"/>
          <w:color w:val="auto"/>
          <w:vertAlign w:val="subscript"/>
        </w:rPr>
        <w:t>9,517</w:t>
      </w:r>
      <w:r>
        <w:rPr>
          <w:rFonts w:ascii="Times New Roman" w:cs="Times New Roman" w:eastAsia="Times New Roman" w:hAnsi="Times New Roman"/>
          <w:sz w:val="10"/>
          <w:szCs w:val="10"/>
          <w:color w:val="auto"/>
        </w:rPr>
        <w:t>(7)</w:t>
      </w:r>
      <w:r>
        <w:rPr>
          <w:sz w:val="20"/>
          <w:szCs w:val="20"/>
          <w:color w:val="auto"/>
        </w:rPr>
        <w:tab/>
      </w:r>
      <w:r>
        <w:rPr>
          <w:rFonts w:ascii="Times New Roman" w:cs="Times New Roman" w:eastAsia="Times New Roman" w:hAnsi="Times New Roman"/>
          <w:sz w:val="12"/>
          <w:szCs w:val="12"/>
          <w:color w:val="auto"/>
        </w:rPr>
        <w:t>21,509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-151765</wp:posOffset>
            </wp:positionV>
            <wp:extent cx="534924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ind w:left="3360"/>
        <w:spacing w:after="0"/>
        <w:tabs>
          <w:tab w:leader="none" w:pos="4040" w:val="left"/>
        </w:tabs>
        <w:rPr>
          <w:sz w:val="20"/>
          <w:szCs w:val="20"/>
          <w:color w:val="auto"/>
        </w:rPr>
      </w:pPr>
      <w:r>
        <w:rPr>
          <w:rFonts w:ascii="Times New Roman" w:cs="Times New Roman" w:eastAsia="Times New Roman" w:hAnsi="Times New Roman"/>
          <w:sz w:val="25"/>
          <w:szCs w:val="25"/>
          <w:color w:val="auto"/>
          <w:vertAlign w:val="subscript"/>
        </w:rPr>
        <w:t>28,550</w:t>
      </w:r>
      <w:r>
        <w:rPr>
          <w:rFonts w:ascii="Times New Roman" w:cs="Times New Roman" w:eastAsia="Times New Roman" w:hAnsi="Times New Roman"/>
          <w:sz w:val="10"/>
          <w:szCs w:val="10"/>
          <w:color w:val="auto"/>
        </w:rPr>
        <w:t>(8)</w:t>
      </w:r>
      <w:r>
        <w:rPr>
          <w:sz w:val="20"/>
          <w:szCs w:val="20"/>
          <w:color w:val="auto"/>
        </w:rPr>
        <w:tab/>
      </w:r>
      <w:r>
        <w:rPr>
          <w:rFonts w:ascii="Times New Roman" w:cs="Times New Roman" w:eastAsia="Times New Roman" w:hAnsi="Times New Roman"/>
          <w:sz w:val="12"/>
          <w:szCs w:val="12"/>
          <w:color w:val="auto"/>
        </w:rPr>
        <w:t>64,523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27940</wp:posOffset>
            </wp:positionV>
            <wp:extent cx="534924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60" w:lineRule="exact"/>
        <w:rPr>
          <w:sz w:val="20"/>
          <w:szCs w:val="20"/>
          <w:color w:val="auto"/>
        </w:rPr>
      </w:pPr>
    </w:p>
    <w:p>
      <w:pPr>
        <w:ind w:left="780"/>
        <w:spacing w:after="0"/>
        <w:tabs>
          <w:tab w:leader="none" w:pos="1200" w:val="left"/>
        </w:tabs>
        <w:rPr>
          <w:sz w:val="20"/>
          <w:szCs w:val="20"/>
          <w:color w:val="auto"/>
        </w:rPr>
      </w:pPr>
      <w:r>
        <w:rPr>
          <w:rFonts w:ascii="Times New Roman" w:cs="Times New Roman" w:eastAsia="Times New Roman" w:hAnsi="Times New Roman"/>
          <w:sz w:val="13"/>
          <w:szCs w:val="13"/>
          <w:color w:val="auto"/>
        </w:rPr>
        <w:t>13.22</w:t>
      </w:r>
      <w:r>
        <w:rPr>
          <w:sz w:val="20"/>
          <w:szCs w:val="20"/>
          <w:color w:val="auto"/>
        </w:rPr>
        <w:tab/>
      </w:r>
      <w:r>
        <w:rPr>
          <w:rFonts w:ascii="Times New Roman" w:cs="Times New Roman" w:eastAsia="Times New Roman" w:hAnsi="Times New Roman"/>
          <w:sz w:val="12"/>
          <w:szCs w:val="12"/>
          <w:color w:val="auto"/>
        </w:rPr>
        <w:t>12/15/2029</w:t>
      </w:r>
    </w:p>
    <w:p>
      <w:pPr>
        <w:spacing w:after="0" w:line="15" w:lineRule="exact"/>
        <w:rPr>
          <w:sz w:val="20"/>
          <w:szCs w:val="20"/>
          <w:color w:val="auto"/>
        </w:rPr>
      </w:pPr>
    </w:p>
    <w:p>
      <w:pPr>
        <w:ind w:left="60"/>
        <w:spacing w:after="0"/>
        <w:tabs>
          <w:tab w:leader="none" w:pos="760" w:val="left"/>
          <w:tab w:leader="none" w:pos="1200" w:val="left"/>
        </w:tabs>
        <w:rPr>
          <w:sz w:val="20"/>
          <w:szCs w:val="20"/>
          <w:color w:val="auto"/>
        </w:rPr>
      </w:pPr>
      <w:r>
        <w:rPr>
          <w:rFonts w:ascii="Times New Roman" w:cs="Times New Roman" w:eastAsia="Times New Roman" w:hAnsi="Times New Roman"/>
          <w:sz w:val="25"/>
          <w:szCs w:val="25"/>
          <w:color w:val="auto"/>
          <w:vertAlign w:val="subscript"/>
        </w:rPr>
        <w:t>67,150</w:t>
      </w:r>
      <w:r>
        <w:rPr>
          <w:rFonts w:ascii="Times New Roman" w:cs="Times New Roman" w:eastAsia="Times New Roman" w:hAnsi="Times New Roman"/>
          <w:sz w:val="10"/>
          <w:szCs w:val="10"/>
          <w:color w:val="auto"/>
        </w:rPr>
        <w:t>(6)</w:t>
      </w:r>
      <w:r>
        <w:rPr>
          <w:sz w:val="20"/>
          <w:szCs w:val="20"/>
          <w:color w:val="auto"/>
        </w:rPr>
        <w:tab/>
      </w:r>
      <w:r>
        <w:rPr>
          <w:rFonts w:ascii="Times New Roman" w:cs="Times New Roman" w:eastAsia="Times New Roman" w:hAnsi="Times New Roman"/>
          <w:sz w:val="13"/>
          <w:szCs w:val="13"/>
          <w:color w:val="auto"/>
        </w:rPr>
        <w:t>13.22</w:t>
      </w:r>
      <w:r>
        <w:rPr>
          <w:sz w:val="20"/>
          <w:szCs w:val="20"/>
          <w:color w:val="auto"/>
        </w:rPr>
        <w:tab/>
      </w:r>
      <w:r>
        <w:rPr>
          <w:rFonts w:ascii="Times New Roman" w:cs="Times New Roman" w:eastAsia="Times New Roman" w:hAnsi="Times New Roman"/>
          <w:sz w:val="12"/>
          <w:szCs w:val="12"/>
          <w:color w:val="auto"/>
        </w:rPr>
        <w:t>12/15/2029</w:t>
      </w:r>
    </w:p>
    <w:p>
      <w:pPr>
        <w:spacing w:after="0" w:line="33" w:lineRule="exact"/>
        <w:rPr>
          <w:sz w:val="20"/>
          <w:szCs w:val="20"/>
          <w:color w:val="auto"/>
        </w:rPr>
      </w:pPr>
    </w:p>
    <w:p>
      <w:pPr>
        <w:ind w:left="3360"/>
        <w:spacing w:after="0"/>
        <w:tabs>
          <w:tab w:leader="none" w:pos="4040" w:val="left"/>
        </w:tabs>
        <w:rPr>
          <w:sz w:val="20"/>
          <w:szCs w:val="20"/>
          <w:color w:val="auto"/>
        </w:rPr>
      </w:pPr>
      <w:r>
        <w:rPr>
          <w:rFonts w:ascii="Times New Roman" w:cs="Times New Roman" w:eastAsia="Times New Roman" w:hAnsi="Times New Roman"/>
          <w:sz w:val="25"/>
          <w:szCs w:val="25"/>
          <w:color w:val="auto"/>
          <w:vertAlign w:val="subscript"/>
        </w:rPr>
        <w:t>25,300</w:t>
      </w:r>
      <w:r>
        <w:rPr>
          <w:rFonts w:ascii="Times New Roman" w:cs="Times New Roman" w:eastAsia="Times New Roman" w:hAnsi="Times New Roman"/>
          <w:sz w:val="10"/>
          <w:szCs w:val="10"/>
          <w:color w:val="auto"/>
        </w:rPr>
        <w:t>(9)</w:t>
      </w:r>
      <w:r>
        <w:rPr>
          <w:sz w:val="20"/>
          <w:szCs w:val="20"/>
          <w:color w:val="auto"/>
        </w:rPr>
        <w:tab/>
      </w:r>
      <w:r>
        <w:rPr>
          <w:rFonts w:ascii="Times New Roman" w:cs="Times New Roman" w:eastAsia="Times New Roman" w:hAnsi="Times New Roman"/>
          <w:sz w:val="12"/>
          <w:szCs w:val="12"/>
          <w:color w:val="auto"/>
        </w:rPr>
        <w:t>57,178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-151765</wp:posOffset>
            </wp:positionV>
            <wp:extent cx="534924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ind w:left="2040"/>
        <w:spacing w:after="0"/>
        <w:tabs>
          <w:tab w:leader="none" w:pos="2700" w:val="left"/>
        </w:tabs>
        <w:rPr>
          <w:sz w:val="20"/>
          <w:szCs w:val="20"/>
          <w:color w:val="auto"/>
        </w:rPr>
      </w:pPr>
      <w:r>
        <w:rPr>
          <w:rFonts w:ascii="Times New Roman" w:cs="Times New Roman" w:eastAsia="Times New Roman" w:hAnsi="Times New Roman"/>
          <w:sz w:val="25"/>
          <w:szCs w:val="25"/>
          <w:color w:val="auto"/>
          <w:vertAlign w:val="subscript"/>
        </w:rPr>
        <w:t>25,200</w:t>
      </w:r>
      <w:r>
        <w:rPr>
          <w:rFonts w:ascii="Times New Roman" w:cs="Times New Roman" w:eastAsia="Times New Roman" w:hAnsi="Times New Roman"/>
          <w:sz w:val="10"/>
          <w:szCs w:val="10"/>
          <w:color w:val="auto"/>
        </w:rPr>
        <w:t xml:space="preserve"> (7)</w:t>
      </w:r>
      <w:r>
        <w:rPr>
          <w:sz w:val="20"/>
          <w:szCs w:val="20"/>
          <w:color w:val="auto"/>
        </w:rPr>
        <w:tab/>
      </w:r>
      <w:r>
        <w:rPr>
          <w:rFonts w:ascii="Times New Roman" w:cs="Times New Roman" w:eastAsia="Times New Roman" w:hAnsi="Times New Roman"/>
          <w:sz w:val="12"/>
          <w:szCs w:val="12"/>
          <w:color w:val="auto"/>
        </w:rPr>
        <w:t>56,952</w:t>
      </w:r>
    </w:p>
    <w:p>
      <w:pPr>
        <w:ind w:left="3360"/>
        <w:spacing w:after="0"/>
        <w:tabs>
          <w:tab w:leader="none" w:pos="4040" w:val="left"/>
        </w:tabs>
        <w:rPr>
          <w:sz w:val="20"/>
          <w:szCs w:val="20"/>
          <w:color w:val="auto"/>
        </w:rPr>
      </w:pPr>
      <w:r>
        <w:rPr>
          <w:rFonts w:ascii="Times New Roman" w:cs="Times New Roman" w:eastAsia="Times New Roman" w:hAnsi="Times New Roman"/>
          <w:sz w:val="25"/>
          <w:szCs w:val="25"/>
          <w:color w:val="auto"/>
          <w:vertAlign w:val="subscript"/>
        </w:rPr>
        <w:t>37,800</w:t>
      </w:r>
      <w:r>
        <w:rPr>
          <w:rFonts w:ascii="Times New Roman" w:cs="Times New Roman" w:eastAsia="Times New Roman" w:hAnsi="Times New Roman"/>
          <w:sz w:val="10"/>
          <w:szCs w:val="10"/>
          <w:color w:val="auto"/>
        </w:rPr>
        <w:t>(8)</w:t>
      </w:r>
      <w:r>
        <w:rPr>
          <w:sz w:val="20"/>
          <w:szCs w:val="20"/>
          <w:color w:val="auto"/>
        </w:rPr>
        <w:tab/>
      </w:r>
      <w:r>
        <w:rPr>
          <w:rFonts w:ascii="Times New Roman" w:cs="Times New Roman" w:eastAsia="Times New Roman" w:hAnsi="Times New Roman"/>
          <w:sz w:val="12"/>
          <w:szCs w:val="12"/>
          <w:color w:val="auto"/>
        </w:rPr>
        <w:t>85,428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-151765</wp:posOffset>
            </wp:positionV>
            <wp:extent cx="5349240" cy="180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180340"/>
                    </a:xfrm>
                    <a:prstGeom prst="rect">
                      <a:avLst/>
                    </a:prstGeom>
                    <a:noFill/>
                  </pic:spPr>
                </pic:pic>
              </a:graphicData>
            </a:graphic>
          </wp:anchor>
        </w:drawing>
      </w:r>
    </w:p>
    <w:p>
      <w:pPr>
        <w:spacing w:after="0" w:line="59" w:lineRule="exact"/>
        <w:rPr>
          <w:sz w:val="20"/>
          <w:szCs w:val="20"/>
          <w:color w:val="auto"/>
        </w:rPr>
      </w:pPr>
    </w:p>
    <w:p>
      <w:pPr>
        <w:ind w:left="840"/>
        <w:spacing w:after="0"/>
        <w:tabs>
          <w:tab w:leader="none" w:pos="1200" w:val="left"/>
        </w:tabs>
        <w:rPr>
          <w:sz w:val="20"/>
          <w:szCs w:val="20"/>
          <w:color w:val="auto"/>
        </w:rPr>
      </w:pPr>
      <w:r>
        <w:rPr>
          <w:rFonts w:ascii="Times New Roman" w:cs="Times New Roman" w:eastAsia="Times New Roman" w:hAnsi="Times New Roman"/>
          <w:sz w:val="13"/>
          <w:szCs w:val="13"/>
          <w:color w:val="auto"/>
        </w:rPr>
        <w:t>4.91</w:t>
      </w:r>
      <w:r>
        <w:rPr>
          <w:sz w:val="20"/>
          <w:szCs w:val="20"/>
          <w:color w:val="auto"/>
        </w:rPr>
        <w:tab/>
      </w:r>
      <w:r>
        <w:rPr>
          <w:rFonts w:ascii="Times New Roman" w:cs="Times New Roman" w:eastAsia="Times New Roman" w:hAnsi="Times New Roman"/>
          <w:sz w:val="12"/>
          <w:szCs w:val="12"/>
          <w:color w:val="auto"/>
        </w:rPr>
        <w:t>08/14/2030</w:t>
      </w:r>
    </w:p>
    <w:p>
      <w:pPr>
        <w:spacing w:after="0" w:line="15" w:lineRule="exact"/>
        <w:rPr>
          <w:sz w:val="20"/>
          <w:szCs w:val="20"/>
          <w:color w:val="auto"/>
        </w:rPr>
      </w:pPr>
    </w:p>
    <w:p>
      <w:pPr>
        <w:spacing w:after="0"/>
        <w:tabs>
          <w:tab w:leader="none" w:pos="820" w:val="left"/>
          <w:tab w:leader="none" w:pos="1200" w:val="left"/>
        </w:tabs>
        <w:rPr>
          <w:sz w:val="20"/>
          <w:szCs w:val="20"/>
          <w:color w:val="auto"/>
        </w:rPr>
      </w:pPr>
      <w:r>
        <w:rPr>
          <w:rFonts w:ascii="Times New Roman" w:cs="Times New Roman" w:eastAsia="Times New Roman" w:hAnsi="Times New Roman"/>
          <w:sz w:val="25"/>
          <w:szCs w:val="25"/>
          <w:color w:val="auto"/>
          <w:vertAlign w:val="subscript"/>
        </w:rPr>
        <w:t>331,875</w:t>
      </w:r>
      <w:r>
        <w:rPr>
          <w:rFonts w:ascii="Times New Roman" w:cs="Times New Roman" w:eastAsia="Times New Roman" w:hAnsi="Times New Roman"/>
          <w:sz w:val="10"/>
          <w:szCs w:val="10"/>
          <w:color w:val="auto"/>
        </w:rPr>
        <w:t>(11)</w:t>
      </w:r>
      <w:r>
        <w:rPr>
          <w:sz w:val="20"/>
          <w:szCs w:val="20"/>
          <w:color w:val="auto"/>
        </w:rPr>
        <w:tab/>
      </w:r>
      <w:r>
        <w:rPr>
          <w:rFonts w:ascii="Times New Roman" w:cs="Times New Roman" w:eastAsia="Times New Roman" w:hAnsi="Times New Roman"/>
          <w:sz w:val="13"/>
          <w:szCs w:val="13"/>
          <w:color w:val="auto"/>
        </w:rPr>
        <w:t>4.91</w:t>
      </w:r>
      <w:r>
        <w:rPr>
          <w:sz w:val="20"/>
          <w:szCs w:val="20"/>
          <w:color w:val="auto"/>
        </w:rPr>
        <w:tab/>
      </w:r>
      <w:r>
        <w:rPr>
          <w:rFonts w:ascii="Times New Roman" w:cs="Times New Roman" w:eastAsia="Times New Roman" w:hAnsi="Times New Roman"/>
          <w:sz w:val="12"/>
          <w:szCs w:val="12"/>
          <w:color w:val="auto"/>
        </w:rPr>
        <w:t>08/14/2030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-128905</wp:posOffset>
            </wp:positionV>
            <wp:extent cx="534924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13" w:lineRule="exact"/>
        <w:rPr>
          <w:sz w:val="20"/>
          <w:szCs w:val="20"/>
          <w:color w:val="auto"/>
        </w:rPr>
      </w:pPr>
    </w:p>
    <w:p>
      <w:pPr>
        <w:ind w:left="1980"/>
        <w:spacing w:after="0"/>
        <w:tabs>
          <w:tab w:leader="none" w:pos="2640" w:val="left"/>
        </w:tabs>
        <w:rPr>
          <w:sz w:val="20"/>
          <w:szCs w:val="20"/>
          <w:color w:val="auto"/>
        </w:rPr>
      </w:pPr>
      <w:r>
        <w:rPr>
          <w:rFonts w:ascii="Times New Roman" w:cs="Times New Roman" w:eastAsia="Times New Roman" w:hAnsi="Times New Roman"/>
          <w:sz w:val="25"/>
          <w:szCs w:val="25"/>
          <w:color w:val="auto"/>
          <w:vertAlign w:val="subscript"/>
        </w:rPr>
        <w:t>152,110</w:t>
      </w:r>
      <w:r>
        <w:rPr>
          <w:rFonts w:ascii="Times New Roman" w:cs="Times New Roman" w:eastAsia="Times New Roman" w:hAnsi="Times New Roman"/>
          <w:sz w:val="10"/>
          <w:szCs w:val="10"/>
          <w:color w:val="auto"/>
        </w:rPr>
        <w:t>(7)</w:t>
      </w:r>
      <w:r>
        <w:rPr>
          <w:sz w:val="20"/>
          <w:szCs w:val="20"/>
          <w:color w:val="auto"/>
        </w:rPr>
        <w:tab/>
      </w:r>
      <w:r>
        <w:rPr>
          <w:rFonts w:ascii="Times New Roman" w:cs="Times New Roman" w:eastAsia="Times New Roman" w:hAnsi="Times New Roman"/>
          <w:sz w:val="12"/>
          <w:szCs w:val="12"/>
          <w:color w:val="auto"/>
        </w:rPr>
        <w:t>343,769</w:t>
      </w:r>
    </w:p>
    <w:p>
      <w:pPr>
        <w:jc w:val="right"/>
        <w:ind w:right="359"/>
        <w:spacing w:after="0"/>
        <w:tabs>
          <w:tab w:leader="none" w:pos="400" w:val="left"/>
        </w:tabs>
        <w:rPr>
          <w:sz w:val="20"/>
          <w:szCs w:val="20"/>
          <w:color w:val="auto"/>
        </w:rPr>
      </w:pPr>
      <w:r>
        <w:rPr>
          <w:rFonts w:ascii="Times New Roman" w:cs="Times New Roman" w:eastAsia="Times New Roman" w:hAnsi="Times New Roman"/>
          <w:sz w:val="25"/>
          <w:szCs w:val="25"/>
          <w:color w:val="auto"/>
          <w:vertAlign w:val="subscript"/>
        </w:rPr>
        <w:t>165,938</w:t>
      </w:r>
      <w:r>
        <w:rPr>
          <w:rFonts w:ascii="Times New Roman" w:cs="Times New Roman" w:eastAsia="Times New Roman" w:hAnsi="Times New Roman"/>
          <w:sz w:val="10"/>
          <w:szCs w:val="10"/>
          <w:color w:val="auto"/>
        </w:rPr>
        <w:t>(8)</w:t>
      </w:r>
      <w:r>
        <w:rPr>
          <w:sz w:val="20"/>
          <w:szCs w:val="20"/>
          <w:color w:val="auto"/>
        </w:rPr>
        <w:tab/>
      </w:r>
      <w:r>
        <w:rPr>
          <w:rFonts w:ascii="Times New Roman" w:cs="Times New Roman" w:eastAsia="Times New Roman" w:hAnsi="Times New Roman"/>
          <w:sz w:val="12"/>
          <w:szCs w:val="12"/>
          <w:color w:val="auto"/>
        </w:rPr>
        <w:t>375,020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-151765</wp:posOffset>
            </wp:positionV>
            <wp:extent cx="534924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40" w:space="380"/>
            <w:col w:w="580" w:space="240"/>
            <w:col w:w="4779"/>
          </w:cols>
          <w:pgMar w:left="1440" w:top="262" w:right="1440" w:bottom="0" w:gutter="0" w:footer="0" w:header="0"/>
          <w:type w:val="continuous"/>
        </w:sectPr>
      </w:pP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 xml:space="preserve">Johnathan Zalevsky, Ph.D.   </w:t>
            </w:r>
            <w:r>
              <w:rPr>
                <w:rFonts w:ascii="Times New Roman" w:cs="Times New Roman" w:eastAsia="Times New Roman" w:hAnsi="Times New Roman"/>
                <w:sz w:val="13"/>
                <w:szCs w:val="13"/>
                <w:color w:val="auto"/>
                <w:w w:val="97"/>
              </w:rPr>
              <w:t>7/31/2015</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21,875</w:t>
            </w:r>
          </w:p>
        </w:tc>
        <w:tc>
          <w:tcPr>
            <w:tcW w:w="1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12.61</w:t>
            </w:r>
          </w:p>
        </w:tc>
        <w:tc>
          <w:tcPr>
            <w:tcW w:w="3340" w:type="dxa"/>
            <w:vAlign w:val="bottom"/>
            <w:tcBorders>
              <w:bottom w:val="single" w:sz="8" w:color="CCEEFF"/>
            </w:tcBorders>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7/30/2023</w:t>
            </w:r>
          </w:p>
        </w:tc>
      </w:tr>
      <w:tr>
        <w:trPr>
          <w:trHeight w:val="200"/>
        </w:trPr>
        <w:tc>
          <w:tcPr>
            <w:tcW w:w="2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12/15/2015</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29,688</w:t>
            </w:r>
          </w:p>
        </w:tc>
        <w:tc>
          <w:tcPr>
            <w:tcW w:w="1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15.55</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12/14/2023</w:t>
            </w: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23"/>
        </w:trPr>
        <w:tc>
          <w:tcPr>
            <w:tcW w:w="2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5/31/2016</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37,500</w:t>
            </w:r>
          </w:p>
        </w:tc>
        <w:tc>
          <w:tcPr>
            <w:tcW w:w="1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15.44</w:t>
            </w:r>
          </w:p>
        </w:tc>
        <w:tc>
          <w:tcPr>
            <w:tcW w:w="3340" w:type="dxa"/>
            <w:vAlign w:val="bottom"/>
            <w:tcBorders>
              <w:bottom w:val="single" w:sz="8" w:color="CCEEFF"/>
            </w:tcBorders>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5/30/2024</w:t>
            </w:r>
          </w:p>
        </w:tc>
      </w:tr>
      <w:tr>
        <w:trPr>
          <w:trHeight w:val="200"/>
        </w:trPr>
        <w:tc>
          <w:tcPr>
            <w:tcW w:w="2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11/15/2016</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46,875</w:t>
            </w:r>
          </w:p>
        </w:tc>
        <w:tc>
          <w:tcPr>
            <w:tcW w:w="1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13.93</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11/14/2024</w:t>
            </w: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23"/>
        </w:trPr>
        <w:tc>
          <w:tcPr>
            <w:tcW w:w="2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12/13/2016</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15,500</w:t>
            </w:r>
          </w:p>
        </w:tc>
        <w:tc>
          <w:tcPr>
            <w:tcW w:w="1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12.24</w:t>
            </w:r>
          </w:p>
        </w:tc>
        <w:tc>
          <w:tcPr>
            <w:tcW w:w="3340" w:type="dxa"/>
            <w:vAlign w:val="bottom"/>
            <w:tcBorders>
              <w:bottom w:val="single" w:sz="8" w:color="CCEEFF"/>
            </w:tcBorders>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12/12/2024</w:t>
            </w:r>
          </w:p>
        </w:tc>
      </w:tr>
      <w:tr>
        <w:trPr>
          <w:trHeight w:val="200"/>
        </w:trPr>
        <w:tc>
          <w:tcPr>
            <w:tcW w:w="2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3/16/2017</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21,250</w:t>
            </w:r>
          </w:p>
        </w:tc>
        <w:tc>
          <w:tcPr>
            <w:tcW w:w="1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15.71</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3/14/2025</w:t>
            </w: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23"/>
        </w:trPr>
        <w:tc>
          <w:tcPr>
            <w:tcW w:w="2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4/18/2017</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36,459</w:t>
            </w:r>
          </w:p>
        </w:tc>
        <w:tc>
          <w:tcPr>
            <w:tcW w:w="1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18.585</w:t>
            </w:r>
          </w:p>
        </w:tc>
        <w:tc>
          <w:tcPr>
            <w:tcW w:w="3340" w:type="dxa"/>
            <w:vAlign w:val="bottom"/>
            <w:tcBorders>
              <w:bottom w:val="single" w:sz="8" w:color="CCEEFF"/>
            </w:tcBorders>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4/17/2025</w:t>
            </w:r>
          </w:p>
        </w:tc>
      </w:tr>
      <w:tr>
        <w:trPr>
          <w:trHeight w:val="200"/>
        </w:trPr>
        <w:tc>
          <w:tcPr>
            <w:tcW w:w="22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6/15/2017</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77,084</w:t>
            </w:r>
          </w:p>
        </w:tc>
        <w:tc>
          <w:tcPr>
            <w:tcW w:w="1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18.09</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6/14/2025</w:t>
            </w: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23"/>
        </w:trPr>
        <w:tc>
          <w:tcPr>
            <w:tcW w:w="2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11/15/2017</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87,500</w:t>
            </w:r>
          </w:p>
        </w:tc>
        <w:tc>
          <w:tcPr>
            <w:tcW w:w="1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43.07</w:t>
            </w:r>
          </w:p>
        </w:tc>
        <w:tc>
          <w:tcPr>
            <w:tcW w:w="3340" w:type="dxa"/>
            <w:vAlign w:val="bottom"/>
            <w:tcBorders>
              <w:bottom w:val="single" w:sz="8" w:color="CCEEFF"/>
            </w:tcBorders>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11/14/2025</w:t>
            </w:r>
          </w:p>
        </w:tc>
      </w:tr>
      <w:tr>
        <w:trPr>
          <w:trHeight w:val="200"/>
        </w:trPr>
        <w:tc>
          <w:tcPr>
            <w:tcW w:w="2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12/15/2017</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37,625</w:t>
            </w:r>
          </w:p>
        </w:tc>
        <w:tc>
          <w:tcPr>
            <w:tcW w:w="1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56.90</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12/14/2025</w:t>
            </w: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23"/>
        </w:trPr>
        <w:tc>
          <w:tcPr>
            <w:tcW w:w="2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12/14/2018</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48,400</w:t>
            </w:r>
          </w:p>
        </w:tc>
        <w:tc>
          <w:tcPr>
            <w:tcW w:w="1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36.51</w:t>
            </w:r>
          </w:p>
        </w:tc>
        <w:tc>
          <w:tcPr>
            <w:tcW w:w="3340" w:type="dxa"/>
            <w:vAlign w:val="bottom"/>
            <w:tcBorders>
              <w:bottom w:val="single" w:sz="8" w:color="CCEEFF"/>
            </w:tcBorders>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12/13/2026</w:t>
            </w:r>
          </w:p>
        </w:tc>
      </w:tr>
      <w:tr>
        <w:trPr>
          <w:trHeight w:val="200"/>
        </w:trPr>
        <w:tc>
          <w:tcPr>
            <w:tcW w:w="2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12/14/2018</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48,400</w:t>
            </w:r>
          </w:p>
        </w:tc>
        <w:tc>
          <w:tcPr>
            <w:tcW w:w="120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36.51</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12/13/2026</w:t>
            </w: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83"/>
        </w:trPr>
        <w:tc>
          <w:tcPr>
            <w:tcW w:w="2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10/01/2019</w:t>
            </w:r>
          </w:p>
        </w:tc>
        <w:tc>
          <w:tcPr>
            <w:tcW w:w="7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118,750</w:t>
            </w:r>
          </w:p>
        </w:tc>
        <w:tc>
          <w:tcPr>
            <w:tcW w:w="12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31,250</w:t>
            </w:r>
            <w:r>
              <w:rPr>
                <w:rFonts w:ascii="Times New Roman" w:cs="Times New Roman" w:eastAsia="Times New Roman" w:hAnsi="Times New Roman"/>
                <w:sz w:val="20"/>
                <w:szCs w:val="20"/>
                <w:color w:val="auto"/>
                <w:vertAlign w:val="superscript"/>
              </w:rPr>
              <w:t>(5)</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18.43</w:t>
            </w:r>
          </w:p>
        </w:tc>
        <w:tc>
          <w:tcPr>
            <w:tcW w:w="3340" w:type="dxa"/>
            <w:vAlign w:val="bottom"/>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9/30/2027</w:t>
            </w:r>
          </w:p>
        </w:tc>
      </w:tr>
      <w:tr>
        <w:trPr>
          <w:trHeight w:val="284"/>
        </w:trPr>
        <w:tc>
          <w:tcPr>
            <w:tcW w:w="2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12/12/2019</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53,662</w:t>
            </w: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17,888</w:t>
            </w:r>
            <w:r>
              <w:rPr>
                <w:rFonts w:ascii="Times New Roman" w:cs="Times New Roman" w:eastAsia="Times New Roman" w:hAnsi="Times New Roman"/>
                <w:sz w:val="20"/>
                <w:szCs w:val="20"/>
                <w:color w:val="auto"/>
                <w:vertAlign w:val="superscript"/>
              </w:rPr>
              <w:t>(5)</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21.79</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12/11/2027</w:t>
            </w:r>
          </w:p>
        </w:tc>
      </w:tr>
      <w:tr>
        <w:trPr>
          <w:trHeight w:val="284"/>
        </w:trPr>
        <w:tc>
          <w:tcPr>
            <w:tcW w:w="2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12/12/2019</w:t>
            </w:r>
          </w:p>
        </w:tc>
        <w:tc>
          <w:tcPr>
            <w:tcW w:w="7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53,669</w:t>
            </w:r>
          </w:p>
        </w:tc>
        <w:tc>
          <w:tcPr>
            <w:tcW w:w="12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17,881</w:t>
            </w:r>
            <w:r>
              <w:rPr>
                <w:rFonts w:ascii="Times New Roman" w:cs="Times New Roman" w:eastAsia="Times New Roman" w:hAnsi="Times New Roman"/>
                <w:sz w:val="20"/>
                <w:szCs w:val="20"/>
                <w:color w:val="auto"/>
                <w:vertAlign w:val="superscript"/>
              </w:rPr>
              <w:t>(4)</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21.79</w:t>
            </w:r>
          </w:p>
        </w:tc>
        <w:tc>
          <w:tcPr>
            <w:tcW w:w="3340" w:type="dxa"/>
            <w:vAlign w:val="bottom"/>
            <w:shd w:val="clear" w:color="auto" w:fill="CCEEFF"/>
          </w:tcPr>
          <w:p>
            <w:pPr>
              <w:jc w:val="right"/>
              <w:ind w:right="2637"/>
              <w:spacing w:after="0"/>
              <w:rPr>
                <w:sz w:val="20"/>
                <w:szCs w:val="20"/>
                <w:color w:val="auto"/>
              </w:rPr>
            </w:pPr>
            <w:r>
              <w:rPr>
                <w:rFonts w:ascii="Times New Roman" w:cs="Times New Roman" w:eastAsia="Times New Roman" w:hAnsi="Times New Roman"/>
                <w:sz w:val="13"/>
                <w:szCs w:val="13"/>
                <w:color w:val="auto"/>
              </w:rPr>
              <w:t>12/11/2027</w:t>
            </w:r>
          </w:p>
        </w:tc>
      </w:tr>
      <w:tr>
        <w:trPr>
          <w:trHeight w:val="321"/>
        </w:trPr>
        <w:tc>
          <w:tcPr>
            <w:tcW w:w="2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12/12/2019</w:t>
            </w: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15,075</w:t>
            </w: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5,025</w:t>
            </w:r>
            <w:r>
              <w:rPr>
                <w:rFonts w:ascii="Times New Roman" w:cs="Times New Roman" w:eastAsia="Times New Roman" w:hAnsi="Times New Roman"/>
                <w:sz w:val="20"/>
                <w:szCs w:val="20"/>
                <w:color w:val="auto"/>
                <w:vertAlign w:val="superscript"/>
              </w:rPr>
              <w:t>(5)</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21.79</w:t>
            </w:r>
          </w:p>
        </w:tc>
        <w:tc>
          <w:tcPr>
            <w:tcW w:w="3340" w:type="dxa"/>
            <w:vAlign w:val="bottom"/>
          </w:tcPr>
          <w:p>
            <w:pPr>
              <w:jc w:val="right"/>
              <w:ind w:right="2637"/>
              <w:spacing w:after="0"/>
              <w:rPr>
                <w:sz w:val="20"/>
                <w:szCs w:val="20"/>
                <w:color w:val="auto"/>
              </w:rPr>
            </w:pPr>
            <w:r>
              <w:rPr>
                <w:rFonts w:ascii="Times New Roman" w:cs="Times New Roman" w:eastAsia="Times New Roman" w:hAnsi="Times New Roman"/>
                <w:sz w:val="13"/>
                <w:szCs w:val="13"/>
                <w:color w:val="auto"/>
              </w:rPr>
              <w:t>12/11/2027</w:t>
            </w:r>
          </w:p>
        </w:tc>
      </w:tr>
    </w:tbl>
    <w:p>
      <w:pPr>
        <w:sectPr>
          <w:pgSz w:w="11900" w:h="16838" w:orient="portrait"/>
          <w:cols w:equalWidth="0" w:num="1">
            <w:col w:w="9019"/>
          </w:cols>
          <w:pgMar w:left="1440" w:top="262" w:right="144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tbl>
      <w:tblPr>
        <w:tblLayout w:type="fixed"/>
        <w:tblInd w:w="300" w:type="dxa"/>
        <w:tblCellMar>
          <w:top w:w="0" w:type="dxa"/>
          <w:left w:w="0" w:type="dxa"/>
          <w:bottom w:w="0" w:type="dxa"/>
          <w:right w:w="0" w:type="dxa"/>
        </w:tblCellMar>
      </w:tblPr>
      <w:tr>
        <w:trPr>
          <w:trHeight w:val="161"/>
        </w:trPr>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402"/>
        </w:trPr>
        <w:tc>
          <w:tcPr>
            <w:tcW w:w="1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60" w:type="dxa"/>
            <w:vAlign w:val="bottom"/>
          </w:tcPr>
          <w:p>
            <w:pPr>
              <w:spacing w:after="0"/>
              <w:rPr>
                <w:sz w:val="24"/>
                <w:szCs w:val="24"/>
                <w:color w:val="auto"/>
              </w:rPr>
            </w:pPr>
          </w:p>
        </w:tc>
      </w:tr>
      <w:tr>
        <w:trPr>
          <w:trHeight w:val="50"/>
        </w:trPr>
        <w:tc>
          <w:tcPr>
            <w:tcW w:w="1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76"/>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69"/>
        </w:trPr>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42"/>
        </w:trPr>
        <w:tc>
          <w:tcPr>
            <w:tcW w:w="156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6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Grant</w:t>
            </w:r>
          </w:p>
        </w:tc>
        <w:tc>
          <w:tcPr>
            <w:tcW w:w="7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8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0"/>
                <w:szCs w:val="10"/>
                <w:b w:val="1"/>
                <w:bCs w:val="1"/>
                <w:color w:val="auto"/>
              </w:rPr>
              <w:t>Options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0"/>
                <w:szCs w:val="10"/>
                <w:b w:val="1"/>
                <w:bCs w:val="1"/>
                <w:color w:val="auto"/>
              </w:rPr>
              <w:t>Date</w:t>
            </w:r>
            <w:r>
              <w:rPr>
                <w:rFonts w:ascii="Times New Roman" w:cs="Times New Roman" w:eastAsia="Times New Roman" w:hAnsi="Times New Roman"/>
                <w:sz w:val="16"/>
                <w:szCs w:val="16"/>
                <w:b w:val="1"/>
                <w:bCs w:val="1"/>
                <w:color w:val="auto"/>
                <w:vertAlign w:val="superscript"/>
              </w:rPr>
              <w:t>(2)</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500" w:type="dxa"/>
            <w:vAlign w:val="bottom"/>
          </w:tcPr>
          <w:p>
            <w:pPr>
              <w:ind w:left="100"/>
              <w:spacing w:after="0" w:line="14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6"/>
                <w:szCs w:val="16"/>
                <w:b w:val="1"/>
                <w:bCs w:val="1"/>
                <w:color w:val="auto"/>
                <w:vertAlign w:val="superscript"/>
              </w:rPr>
              <w:t>(3)</w:t>
            </w:r>
          </w:p>
        </w:tc>
        <w:tc>
          <w:tcPr>
            <w:tcW w:w="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6"/>
                <w:szCs w:val="16"/>
                <w:b w:val="1"/>
                <w:bCs w:val="1"/>
                <w:color w:val="auto"/>
                <w:vertAlign w:val="superscript"/>
              </w:rPr>
              <w:t>(3)</w:t>
            </w:r>
          </w:p>
        </w:tc>
      </w:tr>
      <w:tr>
        <w:trPr>
          <w:trHeight w:val="166"/>
        </w:trPr>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(h)</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(j)</w:t>
            </w:r>
          </w:p>
        </w:tc>
      </w:tr>
      <w:tr>
        <w:trPr>
          <w:trHeight w:val="57"/>
        </w:trPr>
        <w:tc>
          <w:tcPr>
            <w:tcW w:w="14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90"/>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35,750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3"/>
              </w:rPr>
              <w:t>35,750</w:t>
            </w:r>
            <w:r>
              <w:rPr>
                <w:rFonts w:ascii="Times New Roman" w:cs="Times New Roman" w:eastAsia="Times New Roman" w:hAnsi="Times New Roman"/>
                <w:sz w:val="20"/>
                <w:szCs w:val="20"/>
                <w:color w:val="auto"/>
                <w:w w:val="93"/>
                <w:vertAlign w:val="superscript"/>
              </w:rPr>
              <w:t>(5)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12/17/2028</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4"/>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3"/>
              </w:rPr>
              <w:t>71,500</w:t>
            </w:r>
            <w:r>
              <w:rPr>
                <w:rFonts w:ascii="Times New Roman" w:cs="Times New Roman" w:eastAsia="Times New Roman" w:hAnsi="Times New Roman"/>
                <w:sz w:val="20"/>
                <w:szCs w:val="20"/>
                <w:color w:val="auto"/>
                <w:w w:val="93"/>
                <w:vertAlign w:val="superscript"/>
              </w:rPr>
              <w:t>(6)</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12/17/2028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13,334</w:t>
            </w:r>
            <w:r>
              <w:rPr>
                <w:rFonts w:ascii="Times New Roman" w:cs="Times New Roman" w:eastAsia="Times New Roman" w:hAnsi="Times New Roman"/>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30,135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12/18/2020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24"/>
                <w:szCs w:val="24"/>
                <w:color w:val="auto"/>
              </w:rPr>
            </w:pPr>
          </w:p>
        </w:tc>
        <w:tc>
          <w:tcPr>
            <w:tcW w:w="5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90,400</w:t>
            </w:r>
          </w:p>
        </w:tc>
      </w:tr>
      <w:tr>
        <w:trPr>
          <w:trHeight w:val="283"/>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23,500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3"/>
              </w:rPr>
              <w:t>70,500</w:t>
            </w:r>
            <w:r>
              <w:rPr>
                <w:rFonts w:ascii="Times New Roman" w:cs="Times New Roman" w:eastAsia="Times New Roman" w:hAnsi="Times New Roman"/>
                <w:sz w:val="20"/>
                <w:szCs w:val="20"/>
                <w:color w:val="auto"/>
                <w:w w:val="93"/>
                <w:vertAlign w:val="superscript"/>
              </w:rPr>
              <w:t>(5)</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12/15/2029</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3"/>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94,000</w:t>
            </w:r>
            <w:r>
              <w:rPr>
                <w:rFonts w:ascii="Times New Roman" w:cs="Times New Roman" w:eastAsia="Times New Roman" w:hAnsi="Times New Roman"/>
                <w:sz w:val="20"/>
                <w:szCs w:val="20"/>
                <w:color w:val="auto"/>
                <w:vertAlign w:val="superscript"/>
              </w:rPr>
              <w:t>(6)</w:t>
            </w:r>
          </w:p>
        </w:tc>
        <w:tc>
          <w:tcPr>
            <w:tcW w:w="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12/15/2029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35,300</w:t>
            </w:r>
            <w:r>
              <w:rPr>
                <w:rFonts w:ascii="Times New Roman" w:cs="Times New Roman" w:eastAsia="Times New Roman" w:hAnsi="Times New Roman"/>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79,778</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4"/>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52,950</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24"/>
                <w:szCs w:val="24"/>
                <w:color w:val="auto"/>
              </w:rPr>
            </w:pPr>
          </w:p>
        </w:tc>
        <w:tc>
          <w:tcPr>
            <w:tcW w:w="5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119,667</w:t>
            </w:r>
          </w:p>
        </w:tc>
      </w:tr>
      <w:tr>
        <w:trPr>
          <w:trHeight w:val="283"/>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12/16/2021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35,400</w:t>
            </w:r>
            <w:r>
              <w:rPr>
                <w:rFonts w:ascii="Times New Roman" w:cs="Times New Roman" w:eastAsia="Times New Roman" w:hAnsi="Times New Roman"/>
                <w:sz w:val="20"/>
                <w:szCs w:val="20"/>
                <w:color w:val="auto"/>
                <w:vertAlign w:val="superscript"/>
              </w:rPr>
              <w:t>(9)</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80,004</w:t>
            </w:r>
          </w:p>
        </w:tc>
      </w:tr>
      <w:tr>
        <w:trPr>
          <w:trHeight w:val="283"/>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30,000</w:t>
            </w:r>
          </w:p>
        </w:tc>
        <w:tc>
          <w:tcPr>
            <w:tcW w:w="80" w:type="dxa"/>
            <w:vAlign w:val="bottom"/>
          </w:tcPr>
          <w:p>
            <w:pPr>
              <w:spacing w:after="0"/>
              <w:rPr>
                <w:sz w:val="24"/>
                <w:szCs w:val="24"/>
                <w:color w:val="auto"/>
              </w:rPr>
            </w:pPr>
          </w:p>
        </w:tc>
        <w:tc>
          <w:tcPr>
            <w:tcW w:w="76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89"/>
              </w:rPr>
              <w:t>240,000</w:t>
            </w:r>
            <w:r>
              <w:rPr>
                <w:rFonts w:ascii="Times New Roman" w:cs="Times New Roman" w:eastAsia="Times New Roman" w:hAnsi="Times New Roman"/>
                <w:sz w:val="20"/>
                <w:szCs w:val="20"/>
                <w:color w:val="auto"/>
                <w:w w:val="89"/>
                <w:vertAlign w:val="superscript"/>
              </w:rPr>
              <w:t>(10)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08/14/2030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270,000</w:t>
            </w:r>
            <w:r>
              <w:rPr>
                <w:rFonts w:ascii="Times New Roman" w:cs="Times New Roman" w:eastAsia="Times New Roman" w:hAnsi="Times New Roman"/>
                <w:sz w:val="20"/>
                <w:szCs w:val="20"/>
                <w:color w:val="auto"/>
                <w:vertAlign w:val="superscript"/>
              </w:rPr>
              <w:t>(11)</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08/14/2030</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84"/>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123,750</w:t>
            </w:r>
            <w:r>
              <w:rPr>
                <w:rFonts w:ascii="Times New Roman" w:cs="Times New Roman" w:eastAsia="Times New Roman" w:hAnsi="Times New Roman"/>
                <w:sz w:val="20"/>
                <w:szCs w:val="20"/>
                <w:color w:val="auto"/>
                <w:vertAlign w:val="superscript"/>
              </w:rPr>
              <w:t>(7)</w:t>
            </w:r>
          </w:p>
        </w:tc>
        <w:tc>
          <w:tcPr>
            <w:tcW w:w="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279,675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1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08/15/2022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135,000</w:t>
            </w:r>
            <w:r>
              <w:rPr>
                <w:rFonts w:ascii="Times New Roman" w:cs="Times New Roman" w:eastAsia="Times New Roman" w:hAnsi="Times New Roman"/>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-2356485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-2356485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-2356485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-2356485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-2356485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-2356485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-2356485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-2356485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-2356485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-2356485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196850</wp:posOffset>
            </wp:positionV>
            <wp:extent cx="8229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35" w:lineRule="exact"/>
        <w:rPr>
          <w:sz w:val="20"/>
          <w:szCs w:val="20"/>
          <w:color w:val="auto"/>
        </w:rPr>
      </w:pP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are subject to achievement of specified performance criteria as of December 31, 2022.</w:t>
      </w:r>
    </w:p>
    <w:p>
      <w:pPr>
        <w:spacing w:after="0" w:line="41"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NEOs, the expiration date shown is the normal expiration date occurring on the eighth anniversary of the grant date, which is the latest date that the stock options may be exercised. Stock options may terminate earlier in certain circumstances, such as in connection with an NEO’s termination of employment or in connection with certain corporate transactions, including a change of control.</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market value is calculated based on $2.26 per share, the closing price of our common stock on December 30, 2022.</w:t>
      </w:r>
    </w:p>
    <w:p>
      <w:pPr>
        <w:spacing w:after="0" w:line="41"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performance criteria were met however stock options will continue to be subject to time-based vesting over a four-year period from the date of grant, subject to the executive’s continued service through each vesting date.</w:t>
      </w:r>
    </w:p>
    <w:p>
      <w:pPr>
        <w:ind w:left="640" w:right="49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pro-rata on a monthly basis over a period of four years from the date of grant, subject to the executive’s continued service through each vesting date.</w:t>
      </w:r>
    </w:p>
    <w:p>
      <w:pPr>
        <w:ind w:left="640" w:right="43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only after achievement of specified performance criteria and pro-rata monthly vesting over a four-year period from the date of grant, subject to the executive’s continued service through each vesting date.</w:t>
      </w: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pro-rata on a quarterly basis over a three-year period from the date of grant.</w:t>
      </w:r>
    </w:p>
    <w:p>
      <w:pPr>
        <w:spacing w:after="0" w:line="41"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only after achievement of specified performance criteria and pro-rata quarterly vesting over a three-year period from the date of grant, subject to the executive’s continued service through each vesting date.</w:t>
      </w:r>
    </w:p>
    <w:p>
      <w:pPr>
        <w:ind w:left="640" w:right="319" w:hanging="348"/>
        <w:spacing w:after="0" w:line="23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RSUs at the target achievement of 100%. Achievement level between 0% to 200% of the reported target number of TSR RSUs may be earned based on the Company’s TSR percentile ranking relative to the Nasdaq Biotech Index for a two year cumulative performance period commencing December 16, 2021 and ending December 31, 2023. Any earned awards vest two-thirds on February 15th on or following the date the Organization and Compensation Committee meets to determine the actual number of RSUs credited following the end of the two-year performance period (the “Initial Vesting Date”), with 1/3rd vesting on the one-year anniversary of the Initial Vesting Date, subject to the executive’s continued service through each vesting date.</w:t>
      </w:r>
    </w:p>
    <w:p>
      <w:pPr>
        <w:spacing w:after="0" w:line="15"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pro-rata on a monthly basis over a period of three years from the date of grant, subject to the executive’s continued service through each vesting date.</w:t>
      </w:r>
    </w:p>
    <w:p>
      <w:pPr>
        <w:ind w:left="640" w:right="379" w:hanging="348"/>
        <w:spacing w:after="0" w:line="261"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only after achievement of specified performance criteria and pro-rata monthly vesting over a three-year period from the date of grant, subject to the executive’s continued service through each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2022</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exercise of stock options and vesting of stock awards held by the NEOs during the fiscal year ended December 31, 2022.</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2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260" w:type="dxa"/>
            <w:vAlign w:val="bottom"/>
            <w:vMerge w:val="restart"/>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 ($)</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Vesting (#)</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9"/>
              </w:rPr>
              <w:t>(c)</w:t>
            </w:r>
            <w:r>
              <w:rPr>
                <w:rFonts w:ascii="Times New Roman" w:cs="Times New Roman" w:eastAsia="Times New Roman" w:hAnsi="Times New Roman"/>
                <w:sz w:val="23"/>
                <w:szCs w:val="23"/>
                <w:b w:val="1"/>
                <w:bCs w:val="1"/>
                <w:color w:val="auto"/>
                <w:w w:val="89"/>
                <w:vertAlign w:val="superscript"/>
              </w:rPr>
              <w:t>(1)</w:t>
            </w:r>
          </w:p>
        </w:tc>
        <w:tc>
          <w:tcPr>
            <w:tcW w:w="2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9"/>
              </w:rPr>
              <w:t>(e)</w:t>
            </w:r>
            <w:r>
              <w:rPr>
                <w:rFonts w:ascii="Times New Roman" w:cs="Times New Roman" w:eastAsia="Times New Roman" w:hAnsi="Times New Roman"/>
                <w:sz w:val="23"/>
                <w:szCs w:val="23"/>
                <w:b w:val="1"/>
                <w:bCs w:val="1"/>
                <w:color w:val="auto"/>
                <w:w w:val="89"/>
                <w:vertAlign w:val="superscript"/>
              </w:rPr>
              <w:t>(2)</w:t>
            </w:r>
          </w:p>
        </w:tc>
        <w:tc>
          <w:tcPr>
            <w:tcW w:w="0" w:type="dxa"/>
            <w:vAlign w:val="bottom"/>
          </w:tcPr>
          <w:p>
            <w:pPr>
              <w:spacing w:after="0"/>
              <w:rPr>
                <w:sz w:val="1"/>
                <w:szCs w:val="1"/>
                <w:color w:val="auto"/>
              </w:rPr>
            </w:pPr>
          </w:p>
        </w:tc>
      </w:tr>
      <w:tr>
        <w:trPr>
          <w:trHeight w:val="311"/>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0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243,219</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1,251,856</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Jillian B. Thomsen</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47,151</w:t>
            </w:r>
          </w:p>
        </w:tc>
        <w:tc>
          <w:tcPr>
            <w:tcW w:w="28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232,340</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A. Wilson</w:t>
            </w:r>
          </w:p>
        </w:tc>
        <w:tc>
          <w:tcPr>
            <w:tcW w:w="10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49,399</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267,909</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111,808</w:t>
            </w:r>
          </w:p>
        </w:tc>
        <w:tc>
          <w:tcPr>
            <w:tcW w:w="28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612,857</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Gil M. Labrucherie</w:t>
            </w:r>
            <w:r>
              <w:rPr>
                <w:rFonts w:ascii="Times New Roman" w:cs="Times New Roman" w:eastAsia="Times New Roman" w:hAnsi="Times New Roman"/>
                <w:sz w:val="29"/>
                <w:szCs w:val="29"/>
                <w:b w:val="1"/>
                <w:bCs w:val="1"/>
                <w:color w:val="auto"/>
                <w:vertAlign w:val="superscript"/>
              </w:rPr>
              <w:t>3</w:t>
            </w:r>
          </w:p>
        </w:tc>
        <w:tc>
          <w:tcPr>
            <w:tcW w:w="10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70,233</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429,739</w:t>
            </w:r>
          </w:p>
        </w:tc>
        <w:tc>
          <w:tcPr>
            <w:tcW w:w="0" w:type="dxa"/>
            <w:vAlign w:val="bottom"/>
          </w:tcPr>
          <w:p>
            <w:pPr>
              <w:spacing w:after="0"/>
              <w:rPr>
                <w:sz w:val="1"/>
                <w:szCs w:val="1"/>
                <w:color w:val="auto"/>
              </w:rPr>
            </w:pPr>
          </w:p>
        </w:tc>
      </w:tr>
      <w:tr>
        <w:trPr>
          <w:trHeight w:val="43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Northcott</w:t>
            </w:r>
            <w:r>
              <w:rPr>
                <w:rFonts w:ascii="Times New Roman" w:cs="Times New Roman" w:eastAsia="Times New Roman" w:hAnsi="Times New Roman"/>
                <w:sz w:val="29"/>
                <w:szCs w:val="29"/>
                <w:b w:val="1"/>
                <w:bCs w:val="1"/>
                <w:color w:val="auto"/>
                <w:vertAlign w:val="superscript"/>
              </w:rPr>
              <w:t>4</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36,059</w:t>
            </w:r>
          </w:p>
        </w:tc>
        <w:tc>
          <w:tcPr>
            <w:tcW w:w="280" w:type="dxa"/>
            <w:vAlign w:val="bottom"/>
          </w:tcPr>
          <w:p>
            <w:pPr>
              <w:spacing w:after="0"/>
              <w:rPr>
                <w:sz w:val="24"/>
                <w:szCs w:val="24"/>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273,504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-1346200</wp:posOffset>
            </wp:positionV>
            <wp:extent cx="171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-1346200</wp:posOffset>
            </wp:positionV>
            <wp:extent cx="171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-1346200</wp:posOffset>
            </wp:positionV>
            <wp:extent cx="1714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-1346200</wp:posOffset>
            </wp:positionV>
            <wp:extent cx="171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640" w:right="439" w:hanging="348"/>
        <w:spacing w:after="0" w:line="24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the exercise of stock options is calculated by (a) subtracting the stock option exercise price from the market price on the date of exercise to get the realized value per share, and (b) multiplying the realized value per share by the number of shares underlying the stock options exercised.</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vesting of RSUs is calculated by multiplying the number of RSUs vested by the market price on the vest date.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provided up until Mr. Labrucherie’s ending date of employment, July 15,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provided up until Mr. Northcott’s ending date of employment, June 30, 2022.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following section describes the benefits that may become payable to the NEOs in connection with their termination of employment with us or in connection with a change of control. We did not make any policy changes in 2022 in connection with any terminations under our 2022 Restructuring Plan. Please see “Compensation Discussion and Analysis—Severance and Change of Control Benefits” for a discussion of how the payments and benefits presented below were determined.</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Benefits—No Change of Control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Robin and Ms. Thomsen are and, during their employment with the Company, Mr. Labrucherie and</w:t>
      </w:r>
    </w:p>
    <w:p>
      <w:pPr>
        <w:spacing w:after="0" w:line="27"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Mr. Northcott were, a party to certain letter agreement or our standard form executive employment agreement, and these agreements include provisions for severance benefits upon certain terminations of employment that are not related to a change of control. Upon a termination of employment by us without Cause or by the executive for a Good Reason Resignation (as defined in the CIC Plan and described below), the executive would be entitled to the following severance benefits: (i) a cash severance payment equal to his or her total annual cash compensation target (including base salary and the target value of his or her annual incentive bonus, as such bonus target may be adjusted downward to take into account our performance through the fiscal quarter preceding termination), (ii) an extension of the exercise period for the vested and unexercised portion of all outstanding stock options held by him or her for up to eighteen (18) months for Mr. Robin and twelve (12) months for Ms. Thomsen, Mr. Labrucherie and</w:t>
      </w:r>
    </w:p>
    <w:p>
      <w:pPr>
        <w:spacing w:after="0" w:line="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Mr. Northcott, following termination and (iii) payment of all applicable COBRA premiums for the same period as the severance benefit following the termination date. In order to receive the severance benefits described above, each executive must first execute an effective waiver and release of claims in favor of us. Each executive’s cash severance payment would ordinarily be paid in a lump-sum within 60 days following the executive’s separation from service, although payment will be delayed to the extent required to comply with Section 409A of the Internal Revenue Code.</w:t>
      </w:r>
    </w:p>
    <w:p>
      <w:pPr>
        <w:spacing w:after="0" w:line="82"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Dr. Zalevsky nor Mr. Wilson is a party to a letter agreement or our standard form executive employment agreement that provides for severance benefits upon certain terminations of employment that are not related to a change of control. Upon a termination of employment by us without Cause or by the executive for a Good Reason Resignation (as defined in the CIC Plan and described below), Dr. Zalevsky and Mr. Wilson would be entitled to the following severance benefits: (i) a negotiated cash severance payment, (ii) an extension of the exercise period for the vested and unexercised portion of all outstanding stock options held by them for up to three (3) months following termination and (iii) payment of all applicable COBRA premiums for the same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as the severance benefit following the termination date. In order to receive the severance benefit described above, Dr. Zalevsky and Mr. Wilson must first execute an effective waiver and release of claims in favor of us. Dr. Zalevsky’s and Mr. Wilson’s cash severance payment would ordinarily be paid in a lump-sum within 60 days following their separation from service, although payment will be delayed to the extent required to comply with Section 409A of the Internal Revenue Code.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July 2022, Mr. Labrucherie resigned as our Chief Financial Officer and Chief Operating Officer and departed</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Because Mr. Labrucherie’ s resignation and departure was voluntary, Mr. Labrucherie did not receive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severance benefits. Pursuant to the terms of Mr. Labrucherie’ s equity award agreements and notices, 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unvested equity held by Mr. Labrucherie was forfeited immediately upon termination of his employment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exercise period for vested and unexercised stock options held by Mr. Labrucherie expired upon the earlier of three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months (3) months after the termination of his employment or the expiration date indicated in the award notices.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connection with the 2022 Restructuring, Mr. Northcott, our former Chief Commercial Officer, was terminated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without Cause. Pursuant to the Employment Transition, Separation and Consultation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entered into between Mr. Northcott and the Company and following Mr. Northcott’s execution of a waiver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release of claims in favor of the Company, Mr. Northcott received a cash severance payment in the amount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$921,206 and payment of his COBRA premiums in the amount of $8,140 All vested and unexercised options held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Mr. Northcott remain exercisable until June 30, 2023, if not earlier expired or otherwise terminated. All unvested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 held by Mr. Northcott ceased vesting upon the termination of his employment and was all forfeited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January 1, 2023.</w:t>
      </w:r>
    </w:p>
    <w:p>
      <w:pPr>
        <w:spacing w:after="0" w:line="99" w:lineRule="exact"/>
        <w:rPr>
          <w:sz w:val="20"/>
          <w:szCs w:val="20"/>
          <w:color w:val="auto"/>
        </w:rPr>
      </w:pPr>
    </w:p>
    <w:p>
      <w:pPr>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If an NEO’s employment with us terminates due to death, the executive’s outstanding unvested stock options will become fully vested and will be exercisable for up to eighteen months following termination pursuant to the terms of the Company’s equity incentive compensation plans and agreement, and the NEO’s RSUs will become fully vested and released. If the termination due to death occurs before the end of the two year performance period for any TSR RSUs, the NEO will vest assuming target achievement. If the termination due to death occurs on or after the end of the two year performance period but prior to the Organization and Compensation Committee’s determination of the number of TSR RSUs credited following the end of the performance period, the NEO will vest in the number of TSR RSUs based on the Compensation Committee’s determination of the number of TSR RSUs credited following the end of the performance period. In addition, in the case of Mr. Robin, the executive’s estate would be entitled to a pro-rata portion of the target annual incentive bonus for the year in which their death occurred.</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NEO terminates employment with us as a result of disability, vested stock options will be exercisable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 to twelve months following termination pursuant to the terms of the Company’s stock option agreement.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Mr. Robin, he is also entitled to have 50% of outstanding unvested stock options become fully vested upon disability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stock options granted under the equity plan in place at time of grant in accordance with the terms and conditions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his offer letter agreement. The NEO’s unvested RSUs are forfeited. In addition, pursuant to his offer letter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agreement, Mr. Robin would be entitled to receive a pro-rata portion of his target annual incentive bonus for the year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termination in the event of a termination due to disability.</w:t>
      </w:r>
    </w:p>
    <w:p>
      <w:pPr>
        <w:spacing w:after="0" w:line="9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our standard form employment agreement, following a termination of employment, each NEO will be subject to an indefinite restriction on the disclosure of our confidential information and a one-year non-solicitation restriction covering our customers and employees.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lists the estimated amounts that would become payable to each of the NEOs under the circumstances described above, assuming that the applicable triggering event occurred on December 31, 2022. With respect to Mr. Labrucherie and Mr. Northcott, the following table lists the actual payments made to each individual in connection with their termination from the Company.</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&amp;</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 of Cash</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COBRA</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Pro-Rata</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8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75"/>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w:t>
            </w:r>
            <w:r>
              <w:rPr>
                <w:rFonts w:ascii="Times New Roman" w:cs="Times New Roman" w:eastAsia="Times New Roman" w:hAnsi="Times New Roman"/>
                <w:sz w:val="12"/>
                <w:szCs w:val="12"/>
                <w:b w:val="1"/>
                <w:bCs w:val="1"/>
                <w:color w:val="auto"/>
                <w:w w:val="89"/>
              </w:rPr>
              <w:t>(2)</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311"/>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2,169,180</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54,781</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2,223,961</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Disability</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1,084,590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1,084,590</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2,765,372</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1,084,590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3,849,962</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Jillian B. Thomsen</w:t>
            </w:r>
          </w:p>
        </w:tc>
        <w:tc>
          <w:tcPr>
            <w:tcW w:w="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917,851</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Disability</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878,950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878,950</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Wilson</w:t>
            </w:r>
            <w:r>
              <w:rPr>
                <w:rFonts w:ascii="Times New Roman" w:cs="Times New Roman" w:eastAsia="Times New Roman" w:hAnsi="Times New Roman"/>
                <w:sz w:val="29"/>
                <w:szCs w:val="29"/>
                <w:color w:val="auto"/>
                <w:vertAlign w:val="superscript"/>
              </w:rPr>
              <w:t>(3)</w:t>
            </w: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Disability</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1,004,378</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1,004,378</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Johnathan Zalevsky, Ph.D.</w:t>
            </w:r>
            <w:r>
              <w:rPr>
                <w:rFonts w:ascii="Times New Roman" w:cs="Times New Roman" w:eastAsia="Times New Roman" w:hAnsi="Times New Roman"/>
                <w:sz w:val="29"/>
                <w:szCs w:val="29"/>
                <w:color w:val="auto"/>
                <w:vertAlign w:val="superscript"/>
              </w:rPr>
              <w:t>(3)</w:t>
            </w: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Disability</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984,759</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984,759</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 M. Labrucherie</w:t>
            </w:r>
            <w:r>
              <w:rPr>
                <w:rFonts w:ascii="Times New Roman" w:cs="Times New Roman" w:eastAsia="Times New Roman" w:hAnsi="Times New Roman"/>
                <w:sz w:val="29"/>
                <w:szCs w:val="29"/>
                <w:color w:val="auto"/>
                <w:vertAlign w:val="superscript"/>
              </w:rPr>
              <w:t>(4)</w:t>
            </w: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Voluntary Resignation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Northcott</w:t>
            </w:r>
            <w:r>
              <w:rPr>
                <w:rFonts w:ascii="Times New Roman" w:cs="Times New Roman" w:eastAsia="Times New Roman" w:hAnsi="Times New Roman"/>
                <w:sz w:val="29"/>
                <w:szCs w:val="29"/>
                <w:color w:val="auto"/>
                <w:vertAlign w:val="superscript"/>
              </w:rPr>
              <w:t>(5)</w:t>
            </w: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921,206</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-4199890</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-4199890</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-4199890</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-4199890</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-4199890</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COBRA benefits are based upon actual rates as of December 2022.</w:t>
      </w:r>
    </w:p>
    <w:p>
      <w:pPr>
        <w:spacing w:after="0" w:line="41"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we have assumed that (i) the price per share of our common stock is equal to the closing price per share on the last trading day of the fiscal year ended December 30, 2022 ($2.26), (ii) the value of any stock options that may be accelerated is equal to the full “spread” value of such awards on that date, and (iii) the value of any RSUs that may be accelerated (including the target number of TSR RSUs held by each NEO as of December 31, 2022) is equal to the underlying shares multiplied by $2.26.</w:t>
      </w:r>
    </w:p>
    <w:p>
      <w:pPr>
        <w:spacing w:after="0" w:line="14" w:lineRule="exact"/>
        <w:rPr>
          <w:rFonts w:ascii="Times New Roman" w:cs="Times New Roman" w:eastAsia="Times New Roman" w:hAnsi="Times New Roman"/>
          <w:sz w:val="14"/>
          <w:szCs w:val="14"/>
          <w:color w:val="auto"/>
        </w:rPr>
      </w:pPr>
    </w:p>
    <w:p>
      <w:pPr>
        <w:ind w:left="640" w:right="49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Dr. Zalevsky nor Mr. Wilson is a party to a letter agreement or our standard form executive employment agreement that provides for severance benefits upon certain terminations of employment that are not related to a change of control.</w:t>
      </w:r>
    </w:p>
    <w:p>
      <w:pPr>
        <w:ind w:left="640" w:right="45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Labrucherie voluntarily resigned as Chief Financial Officer and Chief Operating Officer effective as of July 1, 2022. Mr. Labrucherie did not receive any severance benefits upon termination of his employment on July 15, 2022.</w:t>
      </w: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Northcott’s employment with the Company ended on June 30, 2022.</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Benefits—Change of Control</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Each of the NEOs is covered under the CIC Plan. The CIC Plan provides for certain severance benefits to these executives and our other employees covered by the plan upon certain terminations of employment occurring in connection with a change of control of us.</w:t>
      </w:r>
    </w:p>
    <w:p>
      <w:pPr>
        <w:spacing w:after="0" w:line="68" w:lineRule="exact"/>
        <w:rPr>
          <w:sz w:val="20"/>
          <w:szCs w:val="20"/>
          <w:color w:val="auto"/>
        </w:rPr>
      </w:pPr>
    </w:p>
    <w:p>
      <w:pPr>
        <w:jc w:val="both"/>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If a change of control of the Company occurs, each NEO will be entitled to severance benefits under the CIC Plan if the executive’s employment is terminated by us or a successor company without Cause or by the executive for Good Reason Resignation (as defined in the CIC Plan), in each case within a period generally beginning on the date the agreement providing for a change of control is executed and ending twelve months following the change of control. Severance benefits under the CIC Plan include: (i) a cash severance payment equal to twelve (12) months of base salary (twenty-four (24) months for Mr. Robin) and the target value of the executive’s annual incentive bonus;</w:t>
      </w:r>
    </w:p>
    <w:p>
      <w:pPr>
        <w:spacing w:after="0" w:line="5" w:lineRule="exact"/>
        <w:rPr>
          <w:sz w:val="20"/>
          <w:szCs w:val="20"/>
          <w:color w:val="auto"/>
        </w:rPr>
      </w:pPr>
    </w:p>
    <w:p>
      <w:pPr>
        <w:ind w:left="300" w:right="399" w:hanging="8"/>
        <w:spacing w:after="0" w:line="250" w:lineRule="auto"/>
        <w:tabs>
          <w:tab w:leader="none" w:pos="5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us of the same portion of the executive’s COBRA premiums as we pay for active employees’ group health coverage for up to twelve (12) months (eighteen (18) months for Mr. Robin) following termination;</w:t>
      </w:r>
    </w:p>
    <w:p>
      <w:pPr>
        <w:ind w:left="600" w:hanging="308"/>
        <w:spacing w:after="0"/>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up to $5,000 for outplacement services received within twelve (12) months following termination;</w:t>
      </w:r>
    </w:p>
    <w:p>
      <w:pPr>
        <w:spacing w:after="0" w:line="9" w:lineRule="exact"/>
        <w:rPr>
          <w:rFonts w:ascii="Times New Roman" w:cs="Times New Roman" w:eastAsia="Times New Roman" w:hAnsi="Times New Roman"/>
          <w:sz w:val="18"/>
          <w:szCs w:val="18"/>
          <w:color w:val="auto"/>
        </w:rPr>
      </w:pPr>
    </w:p>
    <w:p>
      <w:pPr>
        <w:ind w:left="600" w:hanging="308"/>
        <w:spacing w:after="0"/>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outstanding stock options and other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outstanding equity awards; and (v) other than in the case of Dr. Zalevsky, a “gross up” payment to compensate the executive for excise taxes (if any) on payments that are considered “parachute payments” under Section 280G of the Internal Revenue Code and therefore subject to an excise tax imposed under Section 4999 of the Code, but only to the extent the excise tax cannot be avoided by reducing the severance benefits by an amount not exceeding 10% such that the executive receives a greater-after tax amount as a result of the “cut-back” in benefits. In April 2011, the board of directors amended the CIC Plan so that this “gross up” benefit is not available for new hires following January 1, 2010 but is grandfathered for employees who joined the CIC Plan before that date so long as they are not promoted to a position such that he or she would be entitled to additional benefits under the plan. Accordingly, Dr.</w:t>
      </w:r>
    </w:p>
    <w:p>
      <w:pPr>
        <w:spacing w:after="0" w:line="16"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Zalevsky is not entitled to this “gross up” benefit as he joined the CIC Plan after January 1, 2010. In order to receive the severance benefits described above, the executive must first execute an effective waiver and release of claims in favor of us pursuant to a separation and release agreement. Each executive’s cash severance payment will ordinarily be paid in a lump-sum within 60 days following the executive’s separation from service, although payment will be delayed to the extent required to comply with Section 409A of the Internal Revenue Code.</w:t>
      </w:r>
    </w:p>
    <w:p>
      <w:pPr>
        <w:spacing w:after="0" w:line="75"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For the purposes of the CIC Plan, a Good Reason Resignation means a resignation upon the occurrence of one or more of the following events: (i) assignment of any authority, duties or responsibilities that results in a material diminution in the executive’s authority, duties or responsibilities as in effect immediately prior to the change of control; (ii) assignment to a work location more than 50 miles from the executive’s immediately previous work location, unless such reassignment of work location decreases the executive’s commuting distance from his or her residence to the executive’s assigned work location; (iii) a material diminution in the executive’s monthly base salary as in effect on the date of the change of control or as increased thereafter; (iv) notice to the executive by us or the successor company during the 12-month period following the change of control that the executive’s employment will be terminated under circumstances that would trigger severance benefits under the CIC Plan but for the designation of a date for termination that is greater than 12 months following the change of control and (v) for</w:t>
      </w:r>
    </w:p>
    <w:p>
      <w:pPr>
        <w:spacing w:after="0" w:line="4"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Mr. Robin, if he does not serve in his same position in the successor company or is not appointed to the board of directors of the successor company. In order for a Good Reason Resignation to occur, the executive must first give us timely written notice of the grounds for good reason resignation, and we must have failed to cure such condition after a period of 30 days.</w:t>
      </w:r>
    </w:p>
    <w:p>
      <w:pPr>
        <w:spacing w:after="0" w:line="8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the CIC Plan, the separation and release agreement that each of the NEOs will be required to execute to receive severance benefits under the plan will also require each executive to agree to continue to be subject to the restrictions on the disclosure of our confidential information in his or her employment agreement, to non-solicitation restrictions and to certain other restrictions.</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Pursuant to the terms of the underlying award agreements, in the event of a “change in control” (as defined in the Company’s 2017 Plan) prior to the end of the applicable two year performance period for any TSR RSUs held by the NEOs, the Organization and Compensation Committee will determine the number of TSR RSUs credited based on a shortened performance period ending on the date of the change in control and such credited number of TSR RSUs shall equal the higher of the target number of TSR RSUs or the number of TSR RSUs credited based on actual performance over the shortened performance period. Such credited TSR RSUs remaining subject to continued vesting based on the executive’s continuous employment through each vesting date, with 2/3 of the credited TSR RSUs vesting at the end of the two-year performance period and 1/3 vesting on the first anniversary of the end of the performance period. If the Company terminates an NEO’s employment for any reason other than for cause, death, or disability, or the NEO terminates their employment for good reason (as defined in the NEO’s employment agreement), in either case within 36 months of a change in control, such termination a “qualifying termination,” the number of TSR RSUs credited based on the Organization and Compensation Committee’s determination will immediately vest and become payable upon the date of such termination, subject to the executive’s execution of an effective release.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Had a change of control occurred (where outstanding equity awards were assumed, continued or substituted by a successor entity) during the 2022 fiscal year and had the employment of each of the NEOs terminated on December 31, 2022 under one of the qualifying circumstances described above, each executive would have been entitled to receive the estimated benefits set forth in the table below.</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Value of</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Welfare and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Outplacement</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Excise Tax</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Forfeited by</w:t>
            </w: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Gross-Up</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7"/>
              </w:rPr>
              <w:t>Executive</w:t>
            </w:r>
            <w:r>
              <w:rPr>
                <w:rFonts w:ascii="Times New Roman" w:cs="Times New Roman" w:eastAsia="Times New Roman" w:hAnsi="Times New Roman"/>
                <w:sz w:val="23"/>
                <w:szCs w:val="23"/>
                <w:b w:val="1"/>
                <w:bCs w:val="1"/>
                <w:color w:val="auto"/>
                <w:w w:val="97"/>
                <w:vertAlign w:val="superscript"/>
              </w:rPr>
              <w:t>(3)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4,338,360</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173,529</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2,765,372</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7,277,261</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Jillian B. Thomsen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20" w:type="dxa"/>
            <w:vAlign w:val="bottom"/>
          </w:tcPr>
          <w:p>
            <w:pPr>
              <w:spacing w:after="0"/>
              <w:rPr>
                <w:sz w:val="23"/>
                <w:szCs w:val="23"/>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40,862</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878,950</w:t>
            </w:r>
          </w:p>
        </w:tc>
        <w:tc>
          <w:tcPr>
            <w:tcW w:w="100" w:type="dxa"/>
            <w:vAlign w:val="bottom"/>
          </w:tcPr>
          <w:p>
            <w:pPr>
              <w:spacing w:after="0"/>
              <w:rPr>
                <w:sz w:val="23"/>
                <w:szCs w:val="2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1,799,812</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Wilson</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864,000</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41,846</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1,004,378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1,910,224</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Jonathan Zalevsky, Ph.D.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1,125,584</w:t>
            </w:r>
          </w:p>
        </w:tc>
        <w:tc>
          <w:tcPr>
            <w:tcW w:w="120" w:type="dxa"/>
            <w:vAlign w:val="bottom"/>
          </w:tcPr>
          <w:p>
            <w:pPr>
              <w:spacing w:after="0"/>
              <w:rPr>
                <w:sz w:val="23"/>
                <w:szCs w:val="23"/>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19,246</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984,759</w:t>
            </w:r>
          </w:p>
        </w:tc>
        <w:tc>
          <w:tcPr>
            <w:tcW w:w="100" w:type="dxa"/>
            <w:vAlign w:val="bottom"/>
          </w:tcPr>
          <w:p>
            <w:pPr>
              <w:spacing w:after="0"/>
              <w:rPr>
                <w:sz w:val="23"/>
                <w:szCs w:val="2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2,129,588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-805180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-805180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-805180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-805180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-805180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-805180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759" w:hanging="348"/>
        <w:spacing w:after="0" w:line="261"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estimated COBRA premiums based upon actual rates as of December 2022 and up to $5,000 for outplacement services.</w:t>
      </w:r>
    </w:p>
    <w:p>
      <w:pPr>
        <w:ind w:left="640" w:right="319" w:hanging="348"/>
        <w:spacing w:after="0" w:line="225"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our equity compensation plans, these NEOs would also have been entitled to this same full equity acceleration (i) if a corporate transaction (as defined in the applicable plan) occurred and the surviving or acquiring corporation refused to assume outstanding equity awards or substitute similar replacement awards for outstanding equity awards or (ii) upon the acquisition by any person of beneficial ownership of 50% or more of the combined voting power of our shares in a transaction that is not a corporate transaction as defined in the applicable plan. For purposes of this table, we have assumed that (i) the price per share of our common stock is equal to the closing price per share on the last trading day of the fiscal year ended December 30, 2022 ($2.26), (ii) the value of any stock options that may be accelerated is equal to the full “spread” value of such awards on that date, and (iii) the value of any RSUs that may be accelerated is equal to the underlying shares multiplied by $2.26. In the event of a qualifying termination, the number of TSR RSUs credited based on the Organization and Compensation Committee’s determination will vest upon the date of such termination, subject to the executive’s execution of an effective release. Where a change in control occurs prior to the end of the applicable two year performance period, the Organization and Compensation Committee will determine the number of TSR RSUs based on a shortened performance period, with the number of shares earned to equal the higher of the target number of TSR RSUs or the number of TSR RSUs credited based on actual performance over the shortened performance period. Such credited TSR RSUs remaining subject to continued vesting based on the executive’s continuous employment through each vesting date, with 2/3 of the credited TSR RSUs vesting at the end of the two-year performance period and 1/3 vesting on the first anniversary of the end of the performance period.</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Executives with a gross-up provision are required to forfeit payments up to 10% if it will avoid an excise tax exposure.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we are required to disclose the median of the annual total compensation of our employees, the annual total compensation of our President and CEO Howard Robin, and the ratio of these two amounts.</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have estimated the median of the 2022 annual total compensation of our employees, excluding Mr. Robin, to be $240,505. The annual total compensation of our President and CEO, as reported in the Summary Compensation Table – Fiscal 2020-2022 is $11,257,830. The ratio of the annual total compensation of our President and CEO to the estimated median of the annual total compensation of our employees was 47 to 1. We believe this pay ratio is a reasonable estimate calculated in a manner consistent with SEC rules.</w:t>
      </w:r>
    </w:p>
    <w:p>
      <w:pPr>
        <w:spacing w:after="0" w:line="75"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selected December 31, 2022 as the date to identify our median employee. We determined our median employee based on the sum of taxable wages for 2022, FASB ASC Topic 718 value of option and stock awards granted in 2022, and other compensation including taxable benefits of each of our employees, excluding Mr. Robin, earned in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Organization and Compensation Committee did not consider the pay versus performance disclosure below in making its pay decisions for any of the years shown.</w:t>
      </w:r>
    </w:p>
    <w:p>
      <w:pPr>
        <w:spacing w:after="0" w:line="47"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40" w:type="dxa"/>
            <w:vAlign w:val="bottom"/>
            <w:tcBorders>
              <w:top w:val="single" w:sz="8" w:color="auto"/>
              <w:left w:val="single" w:sz="8" w:color="auto"/>
            </w:tcBorders>
          </w:tcPr>
          <w:p>
            <w:pPr>
              <w:spacing w:after="0"/>
              <w:rPr>
                <w:sz w:val="21"/>
                <w:szCs w:val="21"/>
                <w:color w:val="auto"/>
              </w:rPr>
            </w:pPr>
          </w:p>
        </w:tc>
        <w:tc>
          <w:tcPr>
            <w:tcW w:w="1160" w:type="dxa"/>
            <w:vAlign w:val="bottom"/>
            <w:tcBorders>
              <w:top w:val="single" w:sz="8" w:color="auto"/>
              <w:right w:val="single" w:sz="8" w:color="auto"/>
            </w:tcBorders>
          </w:tcPr>
          <w:p>
            <w:pPr>
              <w:spacing w:after="0"/>
              <w:rPr>
                <w:sz w:val="21"/>
                <w:szCs w:val="21"/>
                <w:color w:val="auto"/>
              </w:rPr>
            </w:pPr>
          </w:p>
        </w:tc>
        <w:tc>
          <w:tcPr>
            <w:tcW w:w="140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tcPr>
          <w:p>
            <w:pPr>
              <w:spacing w:after="0"/>
              <w:rPr>
                <w:sz w:val="21"/>
                <w:szCs w:val="21"/>
                <w:color w:val="auto"/>
              </w:rPr>
            </w:pPr>
          </w:p>
        </w:tc>
        <w:tc>
          <w:tcPr>
            <w:tcW w:w="106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78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Borders>
              <w:right w:val="single" w:sz="8" w:color="auto"/>
            </w:tcBorders>
            <w:gridSpan w:val="2"/>
          </w:tcPr>
          <w:p>
            <w:pPr>
              <w:jc w:val="center"/>
              <w:spacing w:after="0" w:line="166" w:lineRule="exact"/>
              <w:rPr>
                <w:sz w:val="20"/>
                <w:szCs w:val="20"/>
                <w:color w:val="auto"/>
              </w:rPr>
            </w:pP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9"/>
                <w:szCs w:val="19"/>
                <w:b w:val="1"/>
                <w:bCs w:val="1"/>
                <w:color w:val="auto"/>
                <w:vertAlign w:val="superscript"/>
              </w:rPr>
              <w:t>(4)</w:t>
            </w:r>
          </w:p>
        </w:tc>
        <w:tc>
          <w:tcPr>
            <w:tcW w:w="78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jc w:val="center"/>
              <w:ind w:right="5"/>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80" w:type="dxa"/>
            <w:vAlign w:val="bottom"/>
            <w:tcBorders>
              <w:right w:val="single" w:sz="8" w:color="auto"/>
            </w:tcBorders>
          </w:tcPr>
          <w:p>
            <w:pPr>
              <w:jc w:val="center"/>
              <w:ind w:right="6"/>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96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6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52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Compensation Table</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52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Peer</w:t>
            </w:r>
          </w:p>
        </w:tc>
        <w:tc>
          <w:tcPr>
            <w:tcW w:w="78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for Howard W.</w:t>
            </w:r>
          </w:p>
        </w:tc>
        <w:tc>
          <w:tcPr>
            <w:tcW w:w="10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Howard W.</w:t>
            </w:r>
          </w:p>
        </w:tc>
        <w:tc>
          <w:tcPr>
            <w:tcW w:w="960" w:type="dxa"/>
            <w:vAlign w:val="bottom"/>
            <w:tcBorders>
              <w:right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5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TSR</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0" w:type="dxa"/>
            <w:vAlign w:val="bottom"/>
          </w:tcPr>
          <w:p>
            <w:pPr>
              <w:spacing w:after="0"/>
              <w:rPr>
                <w:sz w:val="1"/>
                <w:szCs w:val="1"/>
                <w:color w:val="auto"/>
              </w:rPr>
            </w:pPr>
          </w:p>
        </w:tc>
      </w:tr>
      <w:tr>
        <w:trPr>
          <w:trHeight w:val="148"/>
        </w:trPr>
        <w:tc>
          <w:tcPr>
            <w:tcW w:w="40" w:type="dxa"/>
            <w:vAlign w:val="bottom"/>
            <w:tcBorders>
              <w:left w:val="single" w:sz="8" w:color="auto"/>
            </w:tcBorders>
          </w:tcPr>
          <w:p>
            <w:pPr>
              <w:spacing w:after="0"/>
              <w:rPr>
                <w:sz w:val="12"/>
                <w:szCs w:val="12"/>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0" w:type="dxa"/>
            <w:vAlign w:val="bottom"/>
            <w:tcBorders>
              <w:right w:val="single" w:sz="8" w:color="auto"/>
            </w:tcBorders>
          </w:tcPr>
          <w:p>
            <w:pPr>
              <w:jc w:val="center"/>
              <w:ind w:right="5"/>
              <w:spacing w:after="0" w:line="149" w:lineRule="exact"/>
              <w:rPr>
                <w:sz w:val="20"/>
                <w:szCs w:val="20"/>
                <w:color w:val="auto"/>
              </w:rPr>
            </w:pPr>
            <w:r>
              <w:rPr>
                <w:rFonts w:ascii="Times New Roman" w:cs="Times New Roman" w:eastAsia="Times New Roman" w:hAnsi="Times New Roman"/>
                <w:sz w:val="11"/>
                <w:szCs w:val="11"/>
                <w:b w:val="1"/>
                <w:bCs w:val="1"/>
                <w:color w:val="auto"/>
              </w:rPr>
              <w:t>Robin</w:t>
            </w:r>
            <w:r>
              <w:rPr>
                <w:rFonts w:ascii="Times New Roman" w:cs="Times New Roman" w:eastAsia="Times New Roman" w:hAnsi="Times New Roman"/>
                <w:sz w:val="17"/>
                <w:szCs w:val="17"/>
                <w:b w:val="1"/>
                <w:bCs w:val="1"/>
                <w:color w:val="auto"/>
                <w:vertAlign w:val="superscript"/>
              </w:rPr>
              <w:t>(1)</w:t>
            </w:r>
          </w:p>
        </w:tc>
        <w:tc>
          <w:tcPr>
            <w:tcW w:w="1080" w:type="dxa"/>
            <w:vAlign w:val="bottom"/>
            <w:tcBorders>
              <w:right w:val="single" w:sz="8" w:color="auto"/>
            </w:tcBorders>
          </w:tcPr>
          <w:p>
            <w:pPr>
              <w:jc w:val="center"/>
              <w:ind w:right="6"/>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Robin</w:t>
            </w:r>
            <w:r>
              <w:rPr>
                <w:rFonts w:ascii="Times New Roman" w:cs="Times New Roman" w:eastAsia="Times New Roman" w:hAnsi="Times New Roman"/>
                <w:sz w:val="9"/>
                <w:szCs w:val="9"/>
                <w:b w:val="1"/>
                <w:bCs w:val="1"/>
                <w:color w:val="auto"/>
              </w:rPr>
              <w:t>(1),(2),(3)</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NEOs</w:t>
            </w:r>
            <w:r>
              <w:rPr>
                <w:rFonts w:ascii="Times New Roman" w:cs="Times New Roman" w:eastAsia="Times New Roman" w:hAnsi="Times New Roman"/>
                <w:sz w:val="17"/>
                <w:szCs w:val="17"/>
                <w:b w:val="1"/>
                <w:bCs w:val="1"/>
                <w:color w:val="auto"/>
                <w:vertAlign w:val="superscript"/>
              </w:rPr>
              <w:t>(1)</w:t>
            </w:r>
          </w:p>
        </w:tc>
        <w:tc>
          <w:tcPr>
            <w:tcW w:w="10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NEOs</w:t>
            </w:r>
            <w:r>
              <w:rPr>
                <w:rFonts w:ascii="Times New Roman" w:cs="Times New Roman" w:eastAsia="Times New Roman" w:hAnsi="Times New Roman"/>
                <w:sz w:val="9"/>
                <w:szCs w:val="9"/>
                <w:b w:val="1"/>
                <w:bCs w:val="1"/>
                <w:color w:val="auto"/>
              </w:rPr>
              <w:t>(1),(2),(3)</w:t>
            </w:r>
          </w:p>
        </w:tc>
        <w:tc>
          <w:tcPr>
            <w:tcW w:w="520" w:type="dxa"/>
            <w:vAlign w:val="bottom"/>
            <w:tcBorders>
              <w:right w:val="single" w:sz="8" w:color="auto"/>
            </w:tcBorders>
            <w:vMerge w:val="continue"/>
          </w:tcPr>
          <w:p>
            <w:pPr>
              <w:spacing w:after="0"/>
              <w:rPr>
                <w:sz w:val="12"/>
                <w:szCs w:val="12"/>
                <w:color w:val="auto"/>
              </w:rPr>
            </w:pPr>
          </w:p>
        </w:tc>
        <w:tc>
          <w:tcPr>
            <w:tcW w:w="600" w:type="dxa"/>
            <w:vAlign w:val="bottom"/>
            <w:tcBorders>
              <w:right w:val="single" w:sz="8" w:color="auto"/>
            </w:tcBorders>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78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82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7"/>
              </w:rPr>
              <w:t>Percentile</w:t>
            </w:r>
            <w:r>
              <w:rPr>
                <w:rFonts w:ascii="Times New Roman" w:cs="Times New Roman" w:eastAsia="Times New Roman" w:hAnsi="Times New Roman"/>
                <w:sz w:val="23"/>
                <w:szCs w:val="23"/>
                <w:b w:val="1"/>
                <w:bCs w:val="1"/>
                <w:color w:val="auto"/>
                <w:w w:val="97"/>
                <w:vertAlign w:val="superscript"/>
              </w:rPr>
              <w:t>(5)</w:t>
            </w: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50"/>
        </w:trPr>
        <w:tc>
          <w:tcPr>
            <w:tcW w:w="40" w:type="dxa"/>
            <w:vAlign w:val="bottom"/>
            <w:tcBorders>
              <w:lef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200" w:type="dxa"/>
            <w:vAlign w:val="bottom"/>
            <w:tcBorders>
              <w:left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11,275,830</w:t>
            </w:r>
          </w:p>
        </w:tc>
        <w:tc>
          <w:tcPr>
            <w:tcW w:w="1080" w:type="dxa"/>
            <w:vAlign w:val="bottom"/>
            <w:tcBorders>
              <w:right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(8,738,814)</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3,091,330</w:t>
            </w:r>
          </w:p>
        </w:tc>
        <w:tc>
          <w:tcPr>
            <w:tcW w:w="1060" w:type="dxa"/>
            <w:vAlign w:val="bottom"/>
            <w:tcBorders>
              <w:right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(3,426,583)</w:t>
            </w:r>
          </w:p>
        </w:tc>
        <w:tc>
          <w:tcPr>
            <w:tcW w:w="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6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113.65</w:t>
            </w:r>
          </w:p>
        </w:tc>
        <w:tc>
          <w:tcPr>
            <w:tcW w:w="780" w:type="dxa"/>
            <w:vAlign w:val="bottom"/>
            <w:tcBorders>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(368)</w:t>
            </w:r>
          </w:p>
        </w:tc>
        <w:tc>
          <w:tcPr>
            <w:tcW w:w="820" w:type="dxa"/>
            <w:vAlign w:val="bottom"/>
            <w:tcBorders>
              <w:right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9th</w:t>
            </w:r>
          </w:p>
        </w:tc>
        <w:tc>
          <w:tcPr>
            <w:tcW w:w="0" w:type="dxa"/>
            <w:vAlign w:val="bottom"/>
          </w:tcPr>
          <w:p>
            <w:pPr>
              <w:spacing w:after="0"/>
              <w:rPr>
                <w:sz w:val="1"/>
                <w:szCs w:val="1"/>
                <w:color w:val="auto"/>
              </w:rPr>
            </w:pPr>
          </w:p>
        </w:tc>
      </w:tr>
      <w:tr>
        <w:trPr>
          <w:trHeight w:val="67"/>
        </w:trPr>
        <w:tc>
          <w:tcPr>
            <w:tcW w:w="40" w:type="dxa"/>
            <w:vAlign w:val="bottom"/>
            <w:tcBorders>
              <w:left w:val="single" w:sz="8" w:color="auto"/>
              <w:bottom w:val="single" w:sz="8" w:color="auto"/>
            </w:tcBorders>
            <w:shd w:val="clear" w:color="auto" w:fill="CCEEFF"/>
          </w:tcPr>
          <w:p>
            <w:pPr>
              <w:spacing w:after="0"/>
              <w:rPr>
                <w:sz w:val="5"/>
                <w:szCs w:val="5"/>
                <w:color w:val="auto"/>
              </w:rPr>
            </w:pPr>
          </w:p>
        </w:tc>
        <w:tc>
          <w:tcPr>
            <w:tcW w:w="1160" w:type="dxa"/>
            <w:vAlign w:val="bottom"/>
            <w:tcBorders>
              <w:bottom w:val="single" w:sz="8" w:color="auto"/>
              <w:right w:val="single" w:sz="8" w:color="auto"/>
            </w:tcBorders>
            <w:shd w:val="clear" w:color="auto" w:fill="CCEEFF"/>
          </w:tcPr>
          <w:p>
            <w:pPr>
              <w:spacing w:after="0"/>
              <w:rPr>
                <w:sz w:val="5"/>
                <w:szCs w:val="5"/>
                <w:color w:val="auto"/>
              </w:rPr>
            </w:pPr>
          </w:p>
        </w:tc>
        <w:tc>
          <w:tcPr>
            <w:tcW w:w="1400" w:type="dxa"/>
            <w:vAlign w:val="bottom"/>
            <w:tcBorders>
              <w:bottom w:val="single" w:sz="8" w:color="auto"/>
              <w:right w:val="single" w:sz="8" w:color="auto"/>
            </w:tcBorders>
            <w:shd w:val="clear" w:color="auto" w:fill="CCEEFF"/>
          </w:tcPr>
          <w:p>
            <w:pPr>
              <w:spacing w:after="0"/>
              <w:rPr>
                <w:sz w:val="5"/>
                <w:szCs w:val="5"/>
                <w:color w:val="auto"/>
              </w:rPr>
            </w:pPr>
          </w:p>
        </w:tc>
        <w:tc>
          <w:tcPr>
            <w:tcW w:w="1080" w:type="dxa"/>
            <w:vAlign w:val="bottom"/>
            <w:tcBorders>
              <w:bottom w:val="single" w:sz="8" w:color="auto"/>
              <w:right w:val="single" w:sz="8" w:color="auto"/>
            </w:tcBorders>
            <w:shd w:val="clear" w:color="auto" w:fill="CCEEFF"/>
          </w:tcPr>
          <w:p>
            <w:pPr>
              <w:spacing w:after="0"/>
              <w:rPr>
                <w:sz w:val="5"/>
                <w:szCs w:val="5"/>
                <w:color w:val="auto"/>
              </w:rPr>
            </w:pPr>
          </w:p>
        </w:tc>
        <w:tc>
          <w:tcPr>
            <w:tcW w:w="960" w:type="dxa"/>
            <w:vAlign w:val="bottom"/>
            <w:tcBorders>
              <w:bottom w:val="single" w:sz="8" w:color="auto"/>
              <w:right w:val="single" w:sz="8" w:color="auto"/>
            </w:tcBorders>
            <w:shd w:val="clear" w:color="auto" w:fill="CCEEFF"/>
          </w:tcPr>
          <w:p>
            <w:pPr>
              <w:spacing w:after="0"/>
              <w:rPr>
                <w:sz w:val="5"/>
                <w:szCs w:val="5"/>
                <w:color w:val="auto"/>
              </w:rPr>
            </w:pPr>
          </w:p>
        </w:tc>
        <w:tc>
          <w:tcPr>
            <w:tcW w:w="1060" w:type="dxa"/>
            <w:vAlign w:val="bottom"/>
            <w:tcBorders>
              <w:bottom w:val="single" w:sz="8" w:color="auto"/>
              <w:right w:val="single" w:sz="8" w:color="auto"/>
            </w:tcBorders>
            <w:shd w:val="clear" w:color="auto" w:fill="CCEEFF"/>
          </w:tcPr>
          <w:p>
            <w:pPr>
              <w:spacing w:after="0"/>
              <w:rPr>
                <w:sz w:val="5"/>
                <w:szCs w:val="5"/>
                <w:color w:val="auto"/>
              </w:rPr>
            </w:pPr>
          </w:p>
        </w:tc>
        <w:tc>
          <w:tcPr>
            <w:tcW w:w="520" w:type="dxa"/>
            <w:vAlign w:val="bottom"/>
            <w:tcBorders>
              <w:bottom w:val="single" w:sz="8" w:color="auto"/>
              <w:right w:val="single" w:sz="8" w:color="auto"/>
            </w:tcBorders>
            <w:shd w:val="clear" w:color="auto" w:fill="CCEEFF"/>
          </w:tcPr>
          <w:p>
            <w:pPr>
              <w:spacing w:after="0"/>
              <w:rPr>
                <w:sz w:val="5"/>
                <w:szCs w:val="5"/>
                <w:color w:val="auto"/>
              </w:rPr>
            </w:pPr>
          </w:p>
        </w:tc>
        <w:tc>
          <w:tcPr>
            <w:tcW w:w="60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right w:val="single" w:sz="8" w:color="auto"/>
            </w:tcBorders>
            <w:shd w:val="clear" w:color="auto" w:fill="CCEEFF"/>
          </w:tcPr>
          <w:p>
            <w:pPr>
              <w:spacing w:after="0"/>
              <w:rPr>
                <w:sz w:val="5"/>
                <w:szCs w:val="5"/>
                <w:color w:val="auto"/>
              </w:rPr>
            </w:pPr>
          </w:p>
        </w:tc>
        <w:tc>
          <w:tcPr>
            <w:tcW w:w="820" w:type="dxa"/>
            <w:vAlign w:val="bottom"/>
            <w:tcBorders>
              <w:bottom w:val="single" w:sz="8" w:color="auto"/>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20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11,153,616</w:t>
            </w:r>
          </w:p>
        </w:tc>
        <w:tc>
          <w:tcPr>
            <w:tcW w:w="1080" w:type="dxa"/>
            <w:vAlign w:val="bottom"/>
            <w:tcBorders>
              <w:right w:val="single" w:sz="8" w:color="auto"/>
            </w:tcBorders>
          </w:tcPr>
          <w:p>
            <w:pPr>
              <w:jc w:val="right"/>
              <w:ind w:right="106"/>
              <w:spacing w:after="0"/>
              <w:rPr>
                <w:sz w:val="20"/>
                <w:szCs w:val="20"/>
                <w:color w:val="auto"/>
              </w:rPr>
            </w:pPr>
            <w:r>
              <w:rPr>
                <w:rFonts w:ascii="Times New Roman" w:cs="Times New Roman" w:eastAsia="Times New Roman" w:hAnsi="Times New Roman"/>
                <w:sz w:val="18"/>
                <w:szCs w:val="18"/>
                <w:color w:val="auto"/>
              </w:rPr>
              <w:t>8,032,023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4,377,734</w:t>
            </w:r>
          </w:p>
        </w:tc>
        <w:tc>
          <w:tcPr>
            <w:tcW w:w="1060" w:type="dxa"/>
            <w:vAlign w:val="bottom"/>
            <w:tcBorders>
              <w:right w:val="single" w:sz="8" w:color="auto"/>
            </w:tcBorders>
          </w:tcPr>
          <w:p>
            <w:pPr>
              <w:jc w:val="right"/>
              <w:ind w:right="86"/>
              <w:spacing w:after="0"/>
              <w:rPr>
                <w:sz w:val="20"/>
                <w:szCs w:val="20"/>
                <w:color w:val="auto"/>
              </w:rPr>
            </w:pPr>
            <w:r>
              <w:rPr>
                <w:rFonts w:ascii="Times New Roman" w:cs="Times New Roman" w:eastAsia="Times New Roman" w:hAnsi="Times New Roman"/>
                <w:sz w:val="18"/>
                <w:szCs w:val="18"/>
                <w:color w:val="auto"/>
              </w:rPr>
              <w:t>3,290,039</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62.59</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126.45</w:t>
            </w:r>
          </w:p>
        </w:tc>
        <w:tc>
          <w:tcPr>
            <w:tcW w:w="78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(524)</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52nd</w:t>
            </w:r>
          </w:p>
        </w:tc>
        <w:tc>
          <w:tcPr>
            <w:tcW w:w="0" w:type="dxa"/>
            <w:vAlign w:val="bottom"/>
          </w:tcPr>
          <w:p>
            <w:pPr>
              <w:spacing w:after="0"/>
              <w:rPr>
                <w:sz w:val="1"/>
                <w:szCs w:val="1"/>
                <w:color w:val="auto"/>
              </w:rPr>
            </w:pPr>
          </w:p>
        </w:tc>
      </w:tr>
      <w:tr>
        <w:trPr>
          <w:trHeight w:val="68"/>
        </w:trPr>
        <w:tc>
          <w:tcPr>
            <w:tcW w:w="40" w:type="dxa"/>
            <w:vAlign w:val="bottom"/>
            <w:tcBorders>
              <w:left w:val="single" w:sz="8" w:color="auto"/>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200" w:type="dxa"/>
            <w:vAlign w:val="bottom"/>
            <w:tcBorders>
              <w:left w:val="single" w:sz="8" w:color="auto"/>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11,241,149</w:t>
            </w:r>
          </w:p>
        </w:tc>
        <w:tc>
          <w:tcPr>
            <w:tcW w:w="1080" w:type="dxa"/>
            <w:vAlign w:val="bottom"/>
            <w:tcBorders>
              <w:bottom w:val="single" w:sz="8" w:color="CCEEFF"/>
              <w:right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6,456,336</w:t>
            </w: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4,379,031</w:t>
            </w:r>
          </w:p>
        </w:tc>
        <w:tc>
          <w:tcPr>
            <w:tcW w:w="1060" w:type="dxa"/>
            <w:vAlign w:val="bottom"/>
            <w:tcBorders>
              <w:bottom w:val="single" w:sz="8" w:color="CCEEFF"/>
              <w:right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2,020,372</w:t>
            </w:r>
          </w:p>
        </w:tc>
        <w:tc>
          <w:tcPr>
            <w:tcW w:w="5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78.76</w:t>
            </w:r>
          </w:p>
        </w:tc>
        <w:tc>
          <w:tcPr>
            <w:tcW w:w="6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126.42</w:t>
            </w:r>
          </w:p>
        </w:tc>
        <w:tc>
          <w:tcPr>
            <w:tcW w:w="780" w:type="dxa"/>
            <w:vAlign w:val="bottom"/>
            <w:tcBorders>
              <w:bottom w:val="single" w:sz="8" w:color="CCEEFF"/>
              <w:right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(444)</w:t>
            </w:r>
          </w:p>
        </w:tc>
        <w:tc>
          <w:tcPr>
            <w:tcW w:w="820" w:type="dxa"/>
            <w:vAlign w:val="bottom"/>
            <w:tcBorders>
              <w:bottom w:val="single" w:sz="8" w:color="CCEEFF"/>
              <w:right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30th</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-873760</wp:posOffset>
            </wp:positionV>
            <wp:extent cx="34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-873760</wp:posOffset>
            </wp:positionV>
            <wp:extent cx="34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61"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Howard W. Robin was our PEO for each year presented. The individuals comprising the Non-PEO NEOs for each year presented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23495</wp:posOffset>
            </wp:positionV>
            <wp:extent cx="8255" cy="1157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15760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23495</wp:posOffset>
            </wp:positionV>
            <wp:extent cx="8255" cy="1157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1576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23495</wp:posOffset>
            </wp:positionV>
            <wp:extent cx="8890" cy="1157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115760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13"/>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Borders>
              <w:top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38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Gil M. Labrucherie</w:t>
            </w:r>
          </w:p>
        </w:tc>
        <w:tc>
          <w:tcPr>
            <w:tcW w:w="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Gil M. Labrucherie</w:t>
            </w:r>
          </w:p>
        </w:tc>
        <w:tc>
          <w:tcPr>
            <w:tcW w:w="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Gil M. Labrucherie</w:t>
            </w:r>
          </w:p>
        </w:tc>
        <w:tc>
          <w:tcPr>
            <w:tcW w:w="4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Mark A. Wilson</w:t>
            </w:r>
          </w:p>
        </w:tc>
        <w:tc>
          <w:tcPr>
            <w:tcW w:w="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Mark A. Wilson</w:t>
            </w:r>
          </w:p>
        </w:tc>
        <w:tc>
          <w:tcPr>
            <w:tcW w:w="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Jillian Thomsen</w:t>
            </w:r>
          </w:p>
        </w:tc>
        <w:tc>
          <w:tcPr>
            <w:tcW w:w="44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38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Jonathan Zalevsky</w:t>
            </w:r>
          </w:p>
        </w:tc>
        <w:tc>
          <w:tcPr>
            <w:tcW w:w="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Jonathan Zalevsky</w:t>
            </w:r>
          </w:p>
        </w:tc>
        <w:tc>
          <w:tcPr>
            <w:tcW w:w="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Mark A. Wilson</w:t>
            </w:r>
          </w:p>
        </w:tc>
        <w:tc>
          <w:tcPr>
            <w:tcW w:w="4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John Northcott</w:t>
            </w:r>
          </w:p>
        </w:tc>
        <w:tc>
          <w:tcPr>
            <w:tcW w:w="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John Northcott</w:t>
            </w:r>
          </w:p>
        </w:tc>
        <w:tc>
          <w:tcPr>
            <w:tcW w:w="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Jonathan Zalevsky</w:t>
            </w:r>
          </w:p>
        </w:tc>
        <w:tc>
          <w:tcPr>
            <w:tcW w:w="440" w:type="dxa"/>
            <w:vAlign w:val="bottom"/>
            <w:tcBorders>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38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18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John Northcott</w:t>
            </w:r>
          </w:p>
        </w:tc>
        <w:tc>
          <w:tcPr>
            <w:tcW w:w="4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3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519" w:hanging="348"/>
        <w:spacing w:after="0" w:line="24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4" w:lineRule="exact"/>
        <w:rPr>
          <w:rFonts w:ascii="Times New Roman" w:cs="Times New Roman" w:eastAsia="Times New Roman" w:hAnsi="Times New Roman"/>
          <w:sz w:val="14"/>
          <w:szCs w:val="14"/>
          <w:color w:val="auto"/>
        </w:rPr>
      </w:pPr>
    </w:p>
    <w:p>
      <w:pPr>
        <w:ind w:left="640" w:right="599" w:hanging="348"/>
        <w:spacing w:after="0" w:line="24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203835</wp:posOffset>
            </wp:positionV>
            <wp:extent cx="8890" cy="1157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11576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203835</wp:posOffset>
            </wp:positionV>
            <wp:extent cx="8890" cy="1157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1576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203835</wp:posOffset>
            </wp:positionV>
            <wp:extent cx="8255" cy="1157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15760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203835</wp:posOffset>
            </wp:positionV>
            <wp:extent cx="8255" cy="1157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1576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203835</wp:posOffset>
            </wp:positionV>
            <wp:extent cx="8890" cy="1157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157605"/>
                    </a:xfrm>
                    <a:prstGeom prst="rect">
                      <a:avLst/>
                    </a:prstGeom>
                    <a:noFill/>
                  </pic:spPr>
                </pic:pic>
              </a:graphicData>
            </a:graphic>
          </wp:anchor>
        </w:drawing>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 Stock</w:t>
            </w: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12"/>
                <w:szCs w:val="12"/>
                <w:color w:val="auto"/>
              </w:rPr>
            </w:pPr>
          </w:p>
        </w:tc>
        <w:tc>
          <w:tcPr>
            <w:tcW w:w="320" w:type="dxa"/>
            <w:vAlign w:val="bottom"/>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Howard W.</w:t>
            </w:r>
          </w:p>
        </w:tc>
        <w:tc>
          <w:tcPr>
            <w:tcW w:w="80" w:type="dxa"/>
            <w:vAlign w:val="bottom"/>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Awards for Howard W. </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50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Values for Howard W. </w:t>
            </w:r>
            <w:r>
              <w:rPr>
                <w:rFonts w:ascii="Times New Roman" w:cs="Times New Roman" w:eastAsia="Times New Roman" w:hAnsi="Times New Roman"/>
                <w:sz w:val="3"/>
                <w:szCs w:val="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to Howard W.</w:t>
            </w:r>
          </w:p>
        </w:tc>
        <w:tc>
          <w:tcPr>
            <w:tcW w:w="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Robin</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11,275,830</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(9,441,747)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(10,572,897)</w:t>
            </w: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(8,738,814)</w:t>
            </w:r>
          </w:p>
        </w:tc>
        <w:tc>
          <w:tcPr>
            <w:tcW w:w="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3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2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4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11,153,616</w:t>
            </w:r>
          </w:p>
        </w:tc>
        <w:tc>
          <w:tcPr>
            <w:tcW w:w="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(9,018,286)</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tcBorders>
              <w:top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5,896,693</w:t>
            </w:r>
          </w:p>
        </w:tc>
        <w:tc>
          <w:tcPr>
            <w:tcW w:w="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8,032,023</w:t>
            </w:r>
          </w:p>
        </w:tc>
        <w:tc>
          <w:tcPr>
            <w:tcW w:w="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5"/>
        </w:trPr>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11,241,149</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(9,000,374)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4,215,561</w:t>
            </w: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6,456,336</w:t>
            </w:r>
          </w:p>
        </w:tc>
        <w:tc>
          <w:tcPr>
            <w:tcW w:w="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11"/>
        </w:trPr>
        <w:tc>
          <w:tcPr>
            <w:tcW w:w="34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vMerge w:val="continue"/>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38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420" w:type="dxa"/>
            <w:vAlign w:val="bottom"/>
            <w:tcBorders>
              <w:bottom w:val="single" w:sz="8" w:color="CCEEFF"/>
            </w:tcBorders>
            <w:vMerge w:val="continue"/>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4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48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12"/>
                <w:szCs w:val="12"/>
                <w:color w:val="auto"/>
              </w:rPr>
            </w:pPr>
          </w:p>
        </w:tc>
        <w:tc>
          <w:tcPr>
            <w:tcW w:w="320" w:type="dxa"/>
            <w:vAlign w:val="bottom"/>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80" w:type="dxa"/>
            <w:vAlign w:val="bottom"/>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Option Awards for  </w:t>
            </w:r>
            <w:r>
              <w:rPr>
                <w:rFonts w:ascii="Times New Roman" w:cs="Times New Roman" w:eastAsia="Times New Roman" w:hAnsi="Times New Roman"/>
                <w:sz w:val="3"/>
                <w:szCs w:val="3"/>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50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Equity Values for Non- </w:t>
            </w:r>
            <w:r>
              <w:rPr>
                <w:rFonts w:ascii="Times New Roman" w:cs="Times New Roman" w:eastAsia="Times New Roman" w:hAnsi="Times New Roman"/>
                <w:sz w:val="3"/>
                <w:szCs w:val="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3,091,330</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(2,147,011)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(4,370,902)</w:t>
            </w: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(3,426,583)</w:t>
            </w:r>
          </w:p>
        </w:tc>
        <w:tc>
          <w:tcPr>
            <w:tcW w:w="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3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2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4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4,377,734</w:t>
            </w:r>
          </w:p>
        </w:tc>
        <w:tc>
          <w:tcPr>
            <w:tcW w:w="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(3,246,995)</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2,159,300</w:t>
            </w:r>
          </w:p>
        </w:tc>
        <w:tc>
          <w:tcPr>
            <w:tcW w:w="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3,290,039</w:t>
            </w:r>
          </w:p>
        </w:tc>
        <w:tc>
          <w:tcPr>
            <w:tcW w:w="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5"/>
        </w:trPr>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4,379,031</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(3,212,381)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42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853,722</w:t>
            </w: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2,020,372</w:t>
            </w:r>
          </w:p>
        </w:tc>
        <w:tc>
          <w:tcPr>
            <w:tcW w:w="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1"/>
        </w:trPr>
        <w:tc>
          <w:tcPr>
            <w:tcW w:w="34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38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8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-1156970</wp:posOffset>
            </wp:positionV>
            <wp:extent cx="8890" cy="1157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1576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-1156970</wp:posOffset>
            </wp:positionV>
            <wp:extent cx="8890" cy="1157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115760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-1156970</wp:posOffset>
            </wp:positionV>
            <wp:extent cx="8255" cy="1157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115760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-1156970</wp:posOffset>
            </wp:positionV>
            <wp:extent cx="8255" cy="1157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11576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-1156970</wp:posOffset>
            </wp:positionV>
            <wp:extent cx="8890" cy="1157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11576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amounts in the Inclusion of Equity Values in the tables above are derived from the amounts set forth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229235</wp:posOffset>
            </wp:positionV>
            <wp:extent cx="8255" cy="17227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229235</wp:posOffset>
            </wp:positionV>
            <wp:extent cx="8890" cy="17227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17227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229235</wp:posOffset>
            </wp:positionV>
            <wp:extent cx="8255" cy="17227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229235</wp:posOffset>
            </wp:positionV>
            <wp:extent cx="8255" cy="17227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229235</wp:posOffset>
            </wp:positionV>
            <wp:extent cx="8255" cy="17227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229235</wp:posOffset>
            </wp:positionV>
            <wp:extent cx="8255" cy="17227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229235</wp:posOffset>
            </wp:positionV>
            <wp:extent cx="8890" cy="17227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1722755"/>
                    </a:xfrm>
                    <a:prstGeom prst="rect">
                      <a:avLst/>
                    </a:prstGeom>
                    <a:noFill/>
                  </pic:spPr>
                </pic:pic>
              </a:graphicData>
            </a:graphic>
          </wp:anchor>
        </w:drawing>
      </w:r>
    </w:p>
    <w:p>
      <w:pPr>
        <w:spacing w:after="0" w:line="32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 Last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Equity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 Last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to Vesting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to Last Day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right w:val="single" w:sz="8" w:color="auto"/>
            </w:tcBorders>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 xml:space="preserve">Total - Inclusion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12"/>
                <w:szCs w:val="12"/>
                <w:color w:val="auto"/>
              </w:rPr>
            </w:pPr>
          </w:p>
        </w:tc>
        <w:tc>
          <w:tcPr>
            <w:tcW w:w="220" w:type="dxa"/>
            <w:vAlign w:val="bottom"/>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That Remained </w:t>
            </w:r>
            <w:r>
              <w:rPr>
                <w:rFonts w:ascii="Times New Roman" w:cs="Times New Roman" w:eastAsia="Times New Roman" w:hAnsi="Times New Roman"/>
                <w:sz w:val="3"/>
                <w:szCs w:val="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Year of</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Granted During </w:t>
            </w:r>
            <w:r>
              <w:rPr>
                <w:rFonts w:ascii="Times New Roman" w:cs="Times New Roman" w:eastAsia="Times New Roman" w:hAnsi="Times New Roman"/>
                <w:sz w:val="3"/>
                <w:szCs w:val="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Equity Awards </w:t>
            </w:r>
            <w:r>
              <w:rPr>
                <w:rFonts w:ascii="Times New Roman" w:cs="Times New Roman" w:eastAsia="Times New Roman" w:hAnsi="Times New Roman"/>
                <w:sz w:val="3"/>
                <w:szCs w:val="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1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 Vested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Last Day of Year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Howard W.</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Howard W.</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Howard W.</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Howard W.</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Howard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Howard W.</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Robin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 Robin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Robin</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3,767,091</w:t>
            </w:r>
          </w:p>
        </w:tc>
        <w:tc>
          <w:tcPr>
            <w:tcW w:w="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(10,961,983)</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323,187</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(3,020,288)</w:t>
            </w:r>
          </w:p>
        </w:tc>
        <w:tc>
          <w:tcPr>
            <w:tcW w:w="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(680,904)</w:t>
            </w:r>
          </w:p>
        </w:tc>
        <w:tc>
          <w:tcPr>
            <w:tcW w:w="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(10,572,897)</w:t>
            </w:r>
          </w:p>
        </w:tc>
        <w:tc>
          <w:tcPr>
            <w:tcW w:w="80" w:type="dxa"/>
            <w:vAlign w:val="bottom"/>
            <w:tcBorders>
              <w:bottom w:val="single" w:sz="8" w:color="CCEEFF"/>
              <w:right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27"/>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9,295,631</w:t>
            </w:r>
          </w:p>
        </w:tc>
        <w:tc>
          <w:tcPr>
            <w:tcW w:w="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(3,098,368)</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(300,570)</w:t>
            </w:r>
          </w:p>
        </w:tc>
        <w:tc>
          <w:tcPr>
            <w:tcW w:w="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5,896,693</w:t>
            </w:r>
          </w:p>
        </w:tc>
        <w:tc>
          <w:tcPr>
            <w:tcW w:w="80" w:type="dxa"/>
            <w:vAlign w:val="bottom"/>
            <w:tcBorders>
              <w:top w:val="single" w:sz="8" w:color="auto"/>
              <w:right w:val="single" w:sz="8" w:color="auto"/>
            </w:tcBorders>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51"/>
        </w:trPr>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7,998,651</w:t>
            </w:r>
          </w:p>
        </w:tc>
        <w:tc>
          <w:tcPr>
            <w:tcW w:w="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(3,330,924)</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(452,166)</w:t>
            </w:r>
          </w:p>
        </w:tc>
        <w:tc>
          <w:tcPr>
            <w:tcW w:w="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4,215,561</w:t>
            </w:r>
          </w:p>
        </w:tc>
        <w:tc>
          <w:tcPr>
            <w:tcW w:w="80" w:type="dxa"/>
            <w:vAlign w:val="bottom"/>
            <w:tcBorders>
              <w:bottom w:val="single" w:sz="8" w:color="CCEEFF"/>
              <w:right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18"/>
        </w:trPr>
        <w:tc>
          <w:tcPr>
            <w:tcW w:w="2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Fair Value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Average Vesting-</w:t>
            </w: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from Last Day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 Last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12"/>
                <w:szCs w:val="12"/>
                <w:color w:val="auto"/>
              </w:rPr>
            </w:pPr>
          </w:p>
        </w:tc>
        <w:tc>
          <w:tcPr>
            <w:tcW w:w="220" w:type="dxa"/>
            <w:vAlign w:val="bottom"/>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That Remained </w:t>
            </w:r>
            <w:r>
              <w:rPr>
                <w:rFonts w:ascii="Times New Roman" w:cs="Times New Roman" w:eastAsia="Times New Roman" w:hAnsi="Times New Roman"/>
                <w:sz w:val="3"/>
                <w:szCs w:val="3"/>
                <w:color w:val="auto"/>
              </w:rPr>
              <w:t>​</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4"/>
                <w:szCs w:val="14"/>
                <w:b w:val="1"/>
                <w:bCs w:val="1"/>
                <w:color w:val="auto"/>
              </w:rPr>
              <w:t>Last Day of Year</w:t>
            </w:r>
            <w:r>
              <w:rPr>
                <w:rFonts w:ascii="Times New Roman" w:cs="Times New Roman" w:eastAsia="Times New Roman" w:hAnsi="Times New Roman"/>
                <w:sz w:val="4"/>
                <w:szCs w:val="4"/>
                <w:color w:val="auto"/>
              </w:rPr>
              <w:t>​</w:t>
            </w:r>
          </w:p>
        </w:tc>
        <w:tc>
          <w:tcPr>
            <w:tcW w:w="1080" w:type="dxa"/>
            <w:vAlign w:val="bottom"/>
            <w:gridSpan w:val="3"/>
          </w:tcPr>
          <w:p>
            <w:pPr>
              <w:jc w:val="center"/>
              <w:ind w:right="11"/>
              <w:spacing w:after="0" w:line="149" w:lineRule="exact"/>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4"/>
                <w:szCs w:val="14"/>
                <w:b w:val="1"/>
                <w:bCs w:val="1"/>
                <w:color w:val="auto"/>
              </w:rPr>
              <w:t>Awards Granted</w:t>
            </w:r>
            <w:r>
              <w:rPr>
                <w:rFonts w:ascii="Times New Roman" w:cs="Times New Roman" w:eastAsia="Times New Roman" w:hAnsi="Times New Roman"/>
                <w:sz w:val="4"/>
                <w:szCs w:val="4"/>
                <w:color w:val="auto"/>
              </w:rPr>
              <w:t>​</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4"/>
                <w:szCs w:val="14"/>
                <w:b w:val="1"/>
                <w:bCs w:val="1"/>
                <w:color w:val="auto"/>
              </w:rPr>
              <w:t>Unvested Equity</w:t>
            </w:r>
            <w:r>
              <w:rPr>
                <w:rFonts w:ascii="Times New Roman" w:cs="Times New Roman" w:eastAsia="Times New Roman" w:hAnsi="Times New Roman"/>
                <w:sz w:val="4"/>
                <w:szCs w:val="4"/>
                <w:color w:val="auto"/>
              </w:rPr>
              <w:t xml:space="preserve"> ​</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of Equity</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 Average</w:t>
            </w:r>
          </w:p>
        </w:tc>
        <w:tc>
          <w:tcPr>
            <w:tcW w:w="80" w:type="dxa"/>
            <w:vAlign w:val="bottom"/>
            <w:tcBorders>
              <w:right w:val="single" w:sz="8" w:color="auto"/>
            </w:tcBorders>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Last Day of Year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for Non-</w:t>
            </w: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856,627</w:t>
            </w:r>
          </w:p>
        </w:tc>
        <w:tc>
          <w:tcPr>
            <w:tcW w:w="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(1,982,867)</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73,492</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(729,142)</w:t>
            </w:r>
          </w:p>
        </w:tc>
        <w:tc>
          <w:tcPr>
            <w:tcW w:w="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(2,589,012)</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(4,370,902)</w:t>
            </w:r>
          </w:p>
        </w:tc>
        <w:tc>
          <w:tcPr>
            <w:tcW w:w="80" w:type="dxa"/>
            <w:vAlign w:val="bottom"/>
            <w:tcBorders>
              <w:right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2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vMerge w:val="continue"/>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3,346,858</w:t>
            </w:r>
          </w:p>
        </w:tc>
        <w:tc>
          <w:tcPr>
            <w:tcW w:w="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(1,258,934)</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71,376</w:t>
            </w:r>
          </w:p>
        </w:tc>
        <w:tc>
          <w:tcPr>
            <w:tcW w:w="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2,159,300</w:t>
            </w:r>
          </w:p>
        </w:tc>
        <w:tc>
          <w:tcPr>
            <w:tcW w:w="80" w:type="dxa"/>
            <w:vAlign w:val="bottom"/>
            <w:tcBorders>
              <w:top w:val="single" w:sz="8" w:color="auto"/>
              <w:right w:val="single" w:sz="8" w:color="auto"/>
            </w:tcBorders>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2,849,255</w:t>
            </w:r>
          </w:p>
        </w:tc>
        <w:tc>
          <w:tcPr>
            <w:tcW w:w="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(1,668,738)</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(326,795)</w:t>
            </w:r>
          </w:p>
        </w:tc>
        <w:tc>
          <w:tcPr>
            <w:tcW w:w="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853,722</w:t>
            </w:r>
          </w:p>
        </w:tc>
        <w:tc>
          <w:tcPr>
            <w:tcW w:w="80" w:type="dxa"/>
            <w:vAlign w:val="bottom"/>
            <w:tcBorders>
              <w:right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1"/>
        </w:trPr>
        <w:tc>
          <w:tcPr>
            <w:tcW w:w="2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4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-1722120</wp:posOffset>
            </wp:positionV>
            <wp:extent cx="8255" cy="17227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-1722120</wp:posOffset>
            </wp:positionV>
            <wp:extent cx="8890" cy="17227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17227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-1722120</wp:posOffset>
            </wp:positionV>
            <wp:extent cx="8255" cy="17227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-1722120</wp:posOffset>
            </wp:positionV>
            <wp:extent cx="8255" cy="17227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-1722120</wp:posOffset>
            </wp:positionV>
            <wp:extent cx="8255" cy="17227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-1722120</wp:posOffset>
            </wp:positionV>
            <wp:extent cx="8255" cy="17227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7227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-1722120</wp:posOffset>
            </wp:positionV>
            <wp:extent cx="8890" cy="17227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1722755"/>
                    </a:xfrm>
                    <a:prstGeom prst="rect">
                      <a:avLst/>
                    </a:prstGeom>
                    <a:noFill/>
                  </pic:spPr>
                </pic:pic>
              </a:graphicData>
            </a:graphic>
          </wp:anchor>
        </w:drawing>
      </w:r>
    </w:p>
    <w:p>
      <w:pPr>
        <w:spacing w:after="0" w:line="11" w:lineRule="exact"/>
        <w:rPr>
          <w:sz w:val="20"/>
          <w:szCs w:val="20"/>
          <w:color w:val="auto"/>
        </w:rPr>
      </w:pPr>
    </w:p>
    <w:p>
      <w:pPr>
        <w:ind w:left="640" w:right="51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TSR set forth in this table utilizes the NASDAQ Biotechnology Index, which we also utilize in the stock performance graph required by Item 201(e) of Regulation S-K included in our Annual Report for the year ended December 31, 2022.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spacing w:after="0" w:line="14" w:lineRule="exact"/>
        <w:rPr>
          <w:rFonts w:ascii="Times New Roman" w:cs="Times New Roman" w:eastAsia="Times New Roman" w:hAnsi="Times New Roman"/>
          <w:sz w:val="14"/>
          <w:szCs w:val="14"/>
          <w:color w:val="auto"/>
        </w:rPr>
      </w:pPr>
    </w:p>
    <w:p>
      <w:pPr>
        <w:ind w:left="640" w:right="43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determined Relative TSR Percentile (relative to the NASDAQ Biotechnology Index) to be the most important financial performance measure used to link Company performance to Compensation Actually Paid to our PEO and Non-PEO NEOs in 2022. This performance measure may not have been the most important financial performance measure for years 2021 and 2020 and we may determine a different financial performance measure to be the most important financial performance measure in future years.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Compensation Actually Paid and Company Total Shareholder Return (“TSR”)</w:t>
      </w:r>
    </w:p>
    <w:p>
      <w:pPr>
        <w:spacing w:after="0" w:line="11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166370</wp:posOffset>
            </wp:positionV>
            <wp:extent cx="5177790" cy="2837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7779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Description of Relationship Compensation Actually Paid and Net Income</w:t>
      </w:r>
    </w:p>
    <w:p>
      <w:pPr>
        <w:spacing w:after="0" w:line="119"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157480</wp:posOffset>
            </wp:positionV>
            <wp:extent cx="5237480" cy="28714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3748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Description of Relationship Compensation Actually Paid and Relative TSR (Percentile Rank)</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Relative TSR Percentile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157480</wp:posOffset>
            </wp:positionV>
            <wp:extent cx="5237480" cy="28721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37480"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Company TSR and Peer Group TSR</w:t>
      </w:r>
    </w:p>
    <w:p>
      <w:pPr>
        <w:spacing w:after="0" w:line="11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chart compares our cumulative TSR over the three most recently completed fiscal years to that of the NASDAQ Biotechnology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148590</wp:posOffset>
            </wp:positionV>
            <wp:extent cx="5254625" cy="28803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5462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00" w:right="659" w:firstLine="360"/>
        <w:spacing w:after="0" w:line="289" w:lineRule="auto"/>
        <w:rPr>
          <w:sz w:val="20"/>
          <w:szCs w:val="20"/>
          <w:color w:val="auto"/>
        </w:rPr>
      </w:pPr>
      <w:r>
        <w:rPr>
          <w:rFonts w:ascii="Times New Roman" w:cs="Times New Roman" w:eastAsia="Times New Roman" w:hAnsi="Times New Roman"/>
          <w:sz w:val="17"/>
          <w:szCs w:val="17"/>
          <w:color w:val="auto"/>
        </w:rPr>
        <w:t>We believe that our compensation structure supports our business strategy while successfully aligning executive focus and interests with those of the Company and our stockholders. We seek to incentivize long-term performance and achievement of milestones that are important to building sustained success for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Our compensation structure includes several elements that collectively provide an effective compensation strategy that supports our philosophy of pay for performance. As discussed in the Compensation, Discussion and Analysis section, the performance-based component of our NEO’s compensation is tied to the achievement of critical objective, performance milestones and annual corporate goals, which we believe provides strong performance incentives to our executives. For 2022, we did not link any other financial performance measures to the Compensation Actually Paid to our PEO and other NEOS.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OUR INDEPENDENT REGISTERED PUBLIC ACCOUNTING FIRM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2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fiscal years ended December 31, 2022 and December 31, 2021 by Ernst &amp; Young LLP, our independent registered public accounting firm.</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50"/>
        </w:trPr>
        <w:tc>
          <w:tcPr>
            <w:tcW w:w="39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7"/>
        </w:trPr>
        <w:tc>
          <w:tcPr>
            <w:tcW w:w="3960" w:type="dxa"/>
            <w:vAlign w:val="bottom"/>
          </w:tcPr>
          <w:p>
            <w:pPr>
              <w:spacing w:after="0"/>
              <w:rPr>
                <w:sz w:val="19"/>
                <w:szCs w:val="19"/>
                <w:color w:val="auto"/>
              </w:rPr>
            </w:pPr>
          </w:p>
        </w:tc>
        <w:tc>
          <w:tcPr>
            <w:tcW w:w="338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3960" w:type="dxa"/>
            <w:vAlign w:val="bottom"/>
            <w:tcBorders>
              <w:bottom w:val="single" w:sz="8" w:color="CCEEFF"/>
            </w:tcBorders>
          </w:tcPr>
          <w:p>
            <w:pPr>
              <w:spacing w:after="0"/>
              <w:rPr>
                <w:sz w:val="4"/>
                <w:szCs w:val="4"/>
                <w:color w:val="auto"/>
              </w:rPr>
            </w:pPr>
          </w:p>
        </w:tc>
        <w:tc>
          <w:tcPr>
            <w:tcW w:w="25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$2,087,610</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$1,999,527</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580" w:type="dxa"/>
            <w:vAlign w:val="bottom"/>
          </w:tcPr>
          <w:p>
            <w:pPr>
              <w:spacing w:after="0"/>
              <w:rPr>
                <w:sz w:val="23"/>
                <w:szCs w:val="23"/>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5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61"/>
        </w:trPr>
        <w:tc>
          <w:tcPr>
            <w:tcW w:w="39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28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$2,090,855</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$2,016,845</w:t>
            </w:r>
          </w:p>
        </w:tc>
      </w:tr>
      <w:tr>
        <w:trPr>
          <w:trHeight w:val="54"/>
        </w:trPr>
        <w:tc>
          <w:tcPr>
            <w:tcW w:w="3960" w:type="dxa"/>
            <w:vAlign w:val="bottom"/>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-1062355</wp:posOffset>
            </wp:positionV>
            <wp:extent cx="1543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-1062355</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8"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This category consists of fees related to the audit of our annual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internal control over financial reporting, review of interim condensed consolidated financial statements included in our quarterly reports on Form 10-Q, and services that are normally provided by the independent registered public accounting firm in connection with statutory audit, registration statements and other regulatory filings.</w:t>
      </w:r>
    </w:p>
    <w:p>
      <w:pPr>
        <w:spacing w:after="0" w:line="75" w:lineRule="exact"/>
        <w:rPr>
          <w:sz w:val="20"/>
          <w:szCs w:val="20"/>
          <w:color w:val="auto"/>
        </w:rPr>
      </w:pPr>
    </w:p>
    <w:p>
      <w:pPr>
        <w:ind w:left="30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This category consists of fees related to services provided for international tax compliance and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 services.</w:t>
      </w:r>
    </w:p>
    <w:p>
      <w:pPr>
        <w:spacing w:after="0" w:line="50" w:lineRule="exact"/>
        <w:rPr>
          <w:sz w:val="20"/>
          <w:szCs w:val="20"/>
          <w:color w:val="auto"/>
        </w:rPr>
      </w:pPr>
    </w:p>
    <w:p>
      <w:pPr>
        <w:ind w:left="30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This category consists of fees related to accessing Ernst &amp; Young LLP’s online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database in 2021 and 2022.</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approved all fees described above.</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rendered by our independent registered public accounting firm, Ernst &amp; Young LLP. The policy generally requires pre-approval for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84"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Prior to Ernst &amp; Young LLP rendering services other than audit services, the Audit Committee would review and approve such non-audit services only if such services were compatible with maintaining Ernst &amp; Young LLP’s status as our independent registered public accounting firm.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or the Exchange Act, except as otherwise expressly stated in such filing.</w:t>
      </w:r>
    </w:p>
    <w:p>
      <w:pPr>
        <w:spacing w:after="0" w:line="77"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currently comprised of four non-employee directors, Karin Eastham, the Chairperson of the committee, R. Scott Greer, Jeff Ajer, and Roy A. Whitfield. Our board of directors determined that Mr. Greer, Mr. Ajer, Mr. Whitfield and Ms. Eastham meet the independence requirements set forth in Rule 10A-3(b)(1) under the Exchange Act and in the applicable NASDAQ rules. In addition, the board of directors determined that</w:t>
      </w:r>
    </w:p>
    <w:p>
      <w:pPr>
        <w:spacing w:after="0" w:line="3" w:lineRule="exact"/>
        <w:rPr>
          <w:sz w:val="20"/>
          <w:szCs w:val="20"/>
          <w:color w:val="auto"/>
        </w:rPr>
      </w:pPr>
    </w:p>
    <w:p>
      <w:pPr>
        <w:ind w:left="300" w:right="739"/>
        <w:spacing w:after="0" w:line="253" w:lineRule="auto"/>
        <w:rPr>
          <w:sz w:val="20"/>
          <w:szCs w:val="20"/>
          <w:color w:val="auto"/>
        </w:rPr>
      </w:pPr>
      <w:r>
        <w:rPr>
          <w:rFonts w:ascii="Times New Roman" w:cs="Times New Roman" w:eastAsia="Times New Roman" w:hAnsi="Times New Roman"/>
          <w:sz w:val="18"/>
          <w:szCs w:val="18"/>
          <w:color w:val="auto"/>
        </w:rPr>
        <w:t xml:space="preserve">Ms. Eastham and Mr. Greer qualify as Audit Committee financial experts as defined by SEC rules. The Audit Committee has the responsibility and authority described in the Nektar Therapeutics Audit Committee Charter, which has been approved by the board of directors. A copy of the Audit Committee Charter is available on our website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assessing the information provided by management and our independent registered public accounting firm in accordance with its business judgment. Management is responsible for the preparation, presentation and integrity of our financial statements and for the appropriateness of the accounting principles and reporting policies that are used. Management is also responsible for testing the system of internal controls and reports to the Audit Committee on any deficiencies found. Our independent registered public accounting firm, Ernst &amp; Young LLP, is responsible for auditing the annual financial statements and for reviewing the unaudited interim financial statements.</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has reviewed and discussed the audited financial statements in the annual report on Form 10-K for the year ended December 31, 2022 with both management and our independent registered public accounting firm. The Audit Committee’s review included a discussion of the quality and integrity of the accounting principles, the reasonableness of significant estimates and judgments and the clarity of disclosures in the financial statements.</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reviewed with our independent registered public accounting firm the overall scope and plan of the audit. In addition, it met with our independent registered public accounting firm, with and without management present, to discuss the results of our independent registered public accounting firm’s examination, the evaluation of our system of internal controls, the overall quality of our financial reporting and such other matters as are required to be discussed under generally accepted accounting standards in the United States. The Audit Committee has also received from, and discussed with, our independent registered public accounting firm the matters required to be discussed by Auditing Standard No. 16,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issued by the Public Company Accounting Oversight Board (“PCAOB”).</w:t>
      </w:r>
    </w:p>
    <w:p>
      <w:pPr>
        <w:spacing w:after="0" w:line="8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that firm’s independence from management and our Company, including the matters in the written disclosures and the letter regarding independence from Ernst &amp; Young LLP required by applicable requirements of the PCAOB. The Audit Committee has also considered the compatibility of audit related and tax services with the auditors’ independence. Based on its evaluation, the Audit Committee has selected Ernst &amp; Young LLP as our independent registered public accounting firm for the fiscal year ending December 31, 2023.</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of directors approved, the inclusion of the audited financial statements and management’s assessment of the effectiveness of our internal controls over financial reporting in the annual report on Form 10-K for the year ended December 31, 2022 filed with the SEC.</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Karin Eastham – Chairperson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 Ajer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 Scott Greer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Roy A. Whitfield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http://www.nektar.com</w:t>
      </w:r>
      <w:r>
        <w:rPr>
          <w:rFonts w:ascii="Times New Roman" w:cs="Times New Roman" w:eastAsia="Times New Roman" w:hAnsi="Times New Roman"/>
          <w:sz w:val="18"/>
          <w:szCs w:val="18"/>
          <w:color w:val="auto"/>
        </w:rPr>
        <w:t xml:space="preserve">. The information in, or that can be accessed through, our website is not deemed to be incorporated by reference into this proxy statement.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our Annual Report on Form 10-K for the fiscal year ended December 31, 2022 filed with the SEC is available without charge upon written request to: Secretary, Nektar Therapeutics, 455 Mission Bay Boulevard South, San Francisco, California 94158.</w:t>
      </w:r>
    </w:p>
    <w:p>
      <w:pPr>
        <w:spacing w:after="0" w:line="14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Mark A. Wilson</w:t>
      </w:r>
    </w:p>
    <w:p>
      <w:pPr>
        <w:spacing w:after="0" w:line="1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Mark A. Wilson</w:t>
      </w:r>
    </w:p>
    <w:p>
      <w:pPr>
        <w:spacing w:after="0" w:line="1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Senior Vice President, Chief Legal Officer and Secretary</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PERFORMANCE INCENTIVE PLAN</w:t>
      </w:r>
    </w:p>
    <w:p>
      <w:pPr>
        <w:spacing w:after="0" w:line="99" w:lineRule="exact"/>
        <w:rPr>
          <w:sz w:val="20"/>
          <w:szCs w:val="20"/>
          <w:color w:val="auto"/>
        </w:rPr>
      </w:pPr>
    </w:p>
    <w:p>
      <w:pPr>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In accordance with the provisions of the Nektar Therapeutics Amended and Restated 2017 Performance Incentive Plan (as amended from time to time, the “Plan”), the Plan is hereby amended as follows:</w:t>
      </w:r>
    </w:p>
    <w:p>
      <w:pPr>
        <w:spacing w:after="0" w:line="32" w:lineRule="exact"/>
        <w:rPr>
          <w:sz w:val="20"/>
          <w:szCs w:val="20"/>
          <w:color w:val="auto"/>
        </w:rPr>
      </w:pPr>
    </w:p>
    <w:p>
      <w:pPr>
        <w:ind w:left="1020" w:right="1539" w:hanging="368"/>
        <w:spacing w:after="0" w:line="406" w:lineRule="auto"/>
        <w:tabs>
          <w:tab w:leader="none" w:pos="10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4.2(1) of the Plan is hereby deleted in its entirety and replaced with the following: “51,200,000 shares of Common Stock, less”</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4.2(a) of the Plan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that may be delivered pursuant to options qualified as incentive stock options granted under this Plan is 51,200,000 shares.</w:t>
      </w:r>
    </w:p>
    <w:p>
      <w:pPr>
        <w:spacing w:after="0" w:line="53" w:lineRule="exact"/>
        <w:rPr>
          <w:rFonts w:ascii="Times New Roman" w:cs="Times New Roman" w:eastAsia="Times New Roman" w:hAnsi="Times New Roman"/>
          <w:sz w:val="18"/>
          <w:szCs w:val="18"/>
          <w:color w:val="auto"/>
        </w:rPr>
      </w:pPr>
    </w:p>
    <w:p>
      <w:pPr>
        <w:ind w:left="300" w:right="659" w:firstLine="352"/>
        <w:spacing w:after="0" w:line="422" w:lineRule="auto"/>
        <w:tabs>
          <w:tab w:leader="none" w:pos="10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herein, the Plan is not modified in any respect and remains in full force and effect. Approved by the Board of Directors: March 29, 2023</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Stockholders: June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-7620</wp:posOffset>
            </wp:positionV>
            <wp:extent cx="114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lvl w:ilvl="1">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lowerRoman"/>
      <w:start w:val="2"/>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6"/>
    </w:lvl>
  </w:abstractNum>
  <w:abstractNum w:abstractNumId="19">
    <w:nsid w:val="5E884ADC"/>
    <w:multiLevelType w:val="hybridMultilevel"/>
    <w:lvl w:ilvl="0">
      <w:lvlJc w:val="left"/>
      <w:lvlText w:val="(%1)"/>
      <w:numFmt w:val="decimal"/>
      <w:start w:val="11"/>
    </w:lvl>
  </w:abstractNum>
  <w:abstractNum w:abstractNumId="20">
    <w:nsid w:val="51EAD36B"/>
    <w:multiLevelType w:val="hybridMultilevel"/>
    <w:lvl w:ilvl="0">
      <w:lvlJc w:val="left"/>
      <w:lvlText w:val="(%1)"/>
      <w:numFmt w:val="lowerRoman"/>
      <w:start w:val="2"/>
    </w:lvl>
    <w:lvl w:ilvl="1">
      <w:lvlJc w:val="left"/>
      <w:lvlText w:val="•"/>
      <w:numFmt w:val="bullet"/>
      <w:start w:val="1"/>
    </w:lvl>
  </w:abstractNum>
  <w:abstractNum w:abstractNumId="21">
    <w:nsid w:val="2D517796"/>
    <w:multiLevelType w:val="hybridMultilevel"/>
    <w:lvl w:ilvl="0">
      <w:lvlJc w:val="left"/>
      <w:lvlText w:val="(%1)"/>
      <w:numFmt w:val="lowerRoman"/>
      <w:start w:val="6"/>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6"/>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lowerRoman"/>
      <w:start w:val="2"/>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1)"/>
      <w:numFmt w:val="decimal"/>
      <w:start w:val="4"/>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2023-04-28T16:12:02Z</dcterms:created>
  <dcterms:modified xsi:type="dcterms:W3CDTF">2023-04-28T16:12:02Z</dcterms:modified>
</cp:coreProperties>
</file>